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</w:p>
    <w:p>
      <w:pPr>
        <w:spacing w:after="160"/>
        <w:jc w:val="left"/>
      </w:pPr>
      <w:r>
        <w:rPr>
          <w:rFonts w:ascii="Microsoft YaHei" w:hAnsi="Microsoft YaHei"/>
          <w:b/>
          <w:color w:val="17365D"/>
          <w:sz w:val="48"/>
        </w:rPr>
        <w:t>钇贸易数据第三国绕道风险专项分析</w:t>
      </w:r>
    </w:p>
    <w:p>
      <w:pPr>
        <w:spacing w:after="400"/>
      </w:pPr>
      <w:r>
        <w:rPr>
          <w:rFonts w:ascii="Microsoft YaHei" w:hAnsi="Microsoft YaHei"/>
          <w:color w:val="666666"/>
          <w:sz w:val="24"/>
        </w:rPr>
        <w:t>基于易迅数据页面逐条查看结果 ｜ 检索词：YTTRIUM OXIDE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color w:val="17365D"/>
              </w:rPr>
              <w:t>核心结论：</w:t>
            </w:r>
            <w:r>
              <w:t>发现10条中优先级核查线索，主要适合做许可证、最终用户及后续流向核对；当前未形成可独立证明转口绕道的闭环。</w:t>
            </w:r>
          </w:p>
        </w:tc>
      </w:tr>
    </w:tbl>
    <w:p>
      <w:pPr>
        <w:spacing w:after="20"/>
      </w:pPr>
    </w:p>
    <w:p>
      <w:pPr>
        <w:pStyle w:val="Heading1"/>
      </w:pPr>
      <w:r>
        <w:t>一、查询范围与覆盖情况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72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结果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页面命中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105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逐条审阅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105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覆盖说明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页面结果全量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政策状态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现行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查询时间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2026年8月12—13日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数据获取方式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Chrome页面查看；未使用站点下载功能</w:t>
            </w:r>
          </w:p>
        </w:tc>
      </w:tr>
    </w:tbl>
    <w:p>
      <w:pPr>
        <w:pStyle w:val="Heading1"/>
      </w:pPr>
      <w:r>
        <w:t>二、风险分层结果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高优先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中优先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低风险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暂停期监测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排除误命中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95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pStyle w:val="ListBullet"/>
        <w:spacing w:after="100"/>
        <w:ind w:left="720" w:hanging="360"/>
      </w:pPr>
      <w:r>
        <w:t>高/中优先级仅用于确定核查顺序，不代表已经构成走私、规避许可或虚假申报。</w:t>
      </w:r>
    </w:p>
    <w:p>
      <w:pPr>
        <w:pStyle w:val="ListBullet"/>
        <w:spacing w:after="100"/>
        <w:ind w:left="720" w:hanging="360"/>
      </w:pPr>
      <w:r>
        <w:t>仅有“中国原产—第三国进口”记录时，只能识别为第一程候选链；确认绕道还需匹配第三国再出口、提单、集装箱、原产地变化或主体关联关系。</w:t>
      </w:r>
    </w:p>
    <w:p>
      <w:pPr>
        <w:pStyle w:val="ListBullet"/>
        <w:spacing w:after="100"/>
        <w:ind w:left="720" w:hanging="360"/>
      </w:pPr>
      <w:r>
        <w:t>明显与矿产品无关的关键词误命中已单独标记排除。</w:t>
      </w:r>
    </w:p>
    <w:p>
      <w:pPr>
        <w:pStyle w:val="Heading1"/>
      </w:pPr>
      <w:r>
        <w:t>三、主要贸易节点与主体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912"/>
        <w:gridCol w:w="2448"/>
      </w:tblGrid>
      <w:tr>
        <w:trPr>
          <w:tblHeader w:val="true"/>
        </w:trPr>
        <w:tc>
          <w:tcPr>
            <w:tcW w:type="dxa" w:w="691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主要目的地</w:t>
            </w:r>
          </w:p>
        </w:tc>
        <w:tc>
          <w:tcPr>
            <w:tcW w:type="dxa" w:w="2448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记录数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Vietnam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81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United States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17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India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Mexico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Ukraine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080"/>
        <w:gridCol w:w="3600"/>
        <w:gridCol w:w="1080"/>
      </w:tblGrid>
      <w:tr>
        <w:trPr>
          <w:tblHeader w:val="true"/>
        </w:trPr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采购方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供应方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CôNG TY TNHH SEOUL SEMICONDUCTOR VINA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70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JIANGSU BREE OPTRONICS CO.,LTD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38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PACIFIC INDUSTRIAL DEVELOPMENT CORP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INTEMATIX CORPORATION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21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ESSENTIAL ELEMENTS USA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YANTAI BRIGHT PHOTOELECTRIC MATERIALS…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CôNG TY TNHH KHOA HọC Kỹ THUậT AVC (V…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SIGMA ALDRICH INTERNATIONAL GMBH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CôNG TY TNHH MERCK VIệT NAM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JIANGSU SOHO INTERNATIONAL GROUP CO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6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SUD CHEMIE INDIA PRIVATE LIMITED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SOLVAY SPECIAL CHEM JAPAN LTD.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SIGMA ALDRICH CHEMICALS PRIVATE LIMIT…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RICHAIN ELECTRONICS (SHENZHEN) CO., L…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PPG INDUSTRIES DE MEXICO SA DE CV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WEIHAI PIDC NEW MATERIALS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4</w:t>
            </w:r>
          </w:p>
        </w:tc>
      </w:tr>
    </w:tbl>
    <w:p>
      <w:pPr>
        <w:pStyle w:val="Heading1"/>
      </w:pPr>
      <w:r>
        <w:t>四、优先核查记录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1123"/>
        <w:gridCol w:w="3096"/>
        <w:gridCol w:w="1584"/>
        <w:gridCol w:w="1036"/>
        <w:gridCol w:w="1728"/>
      </w:tblGrid>
      <w:tr>
        <w:trPr>
          <w:tblHeader w:val="true"/>
        </w:trPr>
        <w:tc>
          <w:tcPr>
            <w:tcW w:type="dxa" w:w="79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等级</w:t>
            </w:r>
          </w:p>
        </w:tc>
        <w:tc>
          <w:tcPr>
            <w:tcW w:type="dxa" w:w="1123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日期</w:t>
            </w:r>
          </w:p>
        </w:tc>
        <w:tc>
          <w:tcPr>
            <w:tcW w:type="dxa" w:w="3096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商品/申报描述</w:t>
            </w:r>
          </w:p>
        </w:tc>
        <w:tc>
          <w:tcPr>
            <w:tcW w:type="dxa" w:w="1584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采购商</w:t>
            </w:r>
          </w:p>
        </w:tc>
        <w:tc>
          <w:tcPr>
            <w:tcW w:type="dxa" w:w="1036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目的地</w:t>
            </w:r>
          </w:p>
        </w:tc>
        <w:tc>
          <w:tcPr>
            <w:tcW w:type="dxa" w:w="1728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核查依据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2026-03-24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SHIPPERS OWNER CONTAINER YTTRIUM OXIDE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PACIFIC INDUSTRIAL DEVEL…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United States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品名与代表性管制物项高度相关；交易主体含贸易、物流或分销特征；HS或品名信息不足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2026-03-26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SHIPPERS OWNER CONTAINER YTTRIUM OXIDE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PACIFIC INDUSTRIAL DEVEL…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United States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品名与代表性管制物项高度相关；交易主体含贸易、物流或分销特征；HS或品名信息不足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2026-04-19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SHIPPERS OWNER CONTAINER YTTRIUM OXIDE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PACIFIC INDUSTRIAL DEVEL…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United States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品名与代表性管制物项高度相关；交易主体含贸易、物流或分销特征；HS或品名信息不足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2026-04-19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SHIPPERS OWNER CONTAINER YTTRIUM OXIDE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PACIFIC INDUSTRIAL DEVEL…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United States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品名与代表性管制物项高度相关；交易主体含贸易、物流或分销特征；HS或品名信息不足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2026-04-19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SHIPPERS OWNER CONTAINER YTTRIUM OXIDE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PACIFIC INDUSTRIAL DEVEL…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United States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品名与代表性管制物项高度相关；交易主体含贸易、物流或分销特征；HS或品名信息不足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2026-04-19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SHIPPERS OWNER CONTAINER YTTRIUM OXIDE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PACIFIC INDUSTRIAL DEVEL…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United States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品名与代表性管制物项高度相关；交易主体含贸易、物流或分销特征；HS或品名信息不足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2026-04-20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Hoá chất Yttrium(III) oxide,99.99% gốc kim loại,là hợp ch…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MERCK VIệT 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2026-05-18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Hoá chất Yttrium(III) oxide,99.99% gốc kim loại,là hợp ch…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MERCK VIệT 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2026-05-29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Hoá chất Yttrium(III) oxide,99.99%,là hợp chất vô cơ của 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MERCK VIệT 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中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2026-05-29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Hoá chất Yttrium(III) oxide,99.99% gốc kim loại,là hợp ch…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MERCK VIệT 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品名与代表性管制物项高度相关；目的地具有区域加工/转运节点特征；交易主体含贸易、物流或分…</w:t>
            </w:r>
          </w:p>
        </w:tc>
      </w:tr>
    </w:tbl>
    <w:p>
      <w:pPr>
        <w:pStyle w:val="Heading1"/>
      </w:pPr>
      <w:r>
        <w:t>五、第三国绕道风险研判</w:t>
      </w:r>
    </w:p>
    <w:p>
      <w:pPr>
        <w:pStyle w:val="ListBullet"/>
        <w:spacing w:after="100"/>
        <w:ind w:left="720" w:hanging="360"/>
      </w:pPr>
      <w:r>
        <w:t>节点特征：82条记录进入区域加工或转运型目的地，需结合该地企业产能、进口规模和再出口方向复核。</w:t>
      </w:r>
    </w:p>
    <w:p>
      <w:pPr>
        <w:pStyle w:val="ListBullet"/>
        <w:spacing w:after="100"/>
        <w:ind w:left="720" w:hanging="360"/>
      </w:pPr>
      <w:r>
        <w:t>主体特征：12条记录涉及贸易、物流或分销型名称；该特征只能提升核查优先级，不能单独证明绕道。</w:t>
      </w:r>
    </w:p>
    <w:p>
      <w:pPr>
        <w:pStyle w:val="ListBullet"/>
        <w:spacing w:after="100"/>
        <w:ind w:left="720" w:hanging="360"/>
      </w:pPr>
      <w:r>
        <w:t>申报质量：17条记录存在HS缺失、位数不足或品名过宽情形，建议核对材质、纯度、粒径、牌号及最终用途。</w:t>
      </w:r>
    </w:p>
    <w:p>
      <w:pPr>
        <w:pStyle w:val="ListBullet"/>
        <w:spacing w:after="100"/>
        <w:ind w:left="720" w:hanging="360"/>
      </w:pPr>
      <w:r>
        <w:t>闭环条件：应至少再取得第三国后续出口记录，以及主体关联、时间数量匹配、提单/集装箱或原产地变更中的一项以上证据。</w:t>
      </w:r>
    </w:p>
    <w:p>
      <w:pPr>
        <w:pStyle w:val="Heading1"/>
      </w:pPr>
      <w:r>
        <w:t>六、建议核查动作</w:t>
      </w:r>
    </w:p>
    <w:p>
      <w:pPr>
        <w:pStyle w:val="ListBullet"/>
        <w:spacing w:after="100"/>
        <w:ind w:left="720" w:hanging="360"/>
      </w:pPr>
      <w:r>
        <w:t>核对出口许可证、报关单、合同、发票、装箱单、技术参数及最终用户声明。</w:t>
      </w:r>
    </w:p>
    <w:p>
      <w:pPr>
        <w:pStyle w:val="ListBullet"/>
        <w:spacing w:after="100"/>
        <w:ind w:left="720" w:hanging="360"/>
      </w:pPr>
      <w:r>
        <w:t>对高频第三国采购商建立主体画像，核验注册资本、经营范围、产能、员工和仓储条件。</w:t>
      </w:r>
    </w:p>
    <w:p>
      <w:pPr>
        <w:pStyle w:val="ListBullet"/>
        <w:spacing w:after="100"/>
        <w:ind w:left="720" w:hanging="360"/>
      </w:pPr>
      <w:r>
        <w:t>检索同一商品在目的国向其他市场再出口的时间、重量和价格，进行近似匹配。</w:t>
      </w:r>
    </w:p>
    <w:p>
      <w:pPr>
        <w:pStyle w:val="ListBullet"/>
        <w:spacing w:after="100"/>
        <w:ind w:left="720" w:hanging="360"/>
      </w:pPr>
      <w:r>
        <w:t>对品名宽泛或HS异常样本开展实验室成分、纯度、粒径和用途核验。</w:t>
      </w:r>
    </w:p>
    <w:p>
      <w:pPr>
        <w:pStyle w:val="ListBullet"/>
        <w:spacing w:after="100"/>
        <w:ind w:left="720" w:hanging="360"/>
      </w:pPr>
      <w:r>
        <w:t>对重复记录先按日期、商品、双方主体、数量和金额去重，再进行票级调查。</w:t>
      </w:r>
    </w:p>
    <w:p>
      <w:pPr>
        <w:pStyle w:val="Heading1"/>
      </w:pPr>
      <w:r>
        <w:t>七、局限性说明</w:t>
      </w:r>
    </w:p>
    <w:p>
      <w:r>
        <w:t>本报告基于易迅数据页面当前可见记录及代表性英文关键词，页面数据库可能存在镜像记录、字段缺失、金额币种不一致、国别转译和数据时滞。报告用于线索排序，不替代海关原始单证、许可证系统、执法调查和法律定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66666"/>
        <w:sz w:val="16"/>
      </w:rPr>
      <w:t>数据来源：易迅数据页面查询 ｜ 生成日期：2026年8月13日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66666"/>
        <w:sz w:val="16"/>
      </w:rPr>
      <w:t>关键矿产贸易数据穿透分析  |  内部研判材料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