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EB9E7">
      <w:pPr>
        <w:ind w:left="0" w:leftChars="0" w:firstLine="0" w:firstLineChars="0"/>
      </w:pPr>
    </w:p>
    <w:p w14:paraId="46601EE0">
      <w:pPr>
        <w:ind w:left="0" w:leftChars="0" w:firstLine="0" w:firstLineChars="0"/>
      </w:pPr>
    </w:p>
    <w:p w14:paraId="68632AF7">
      <w:pPr>
        <w:ind w:left="0" w:leftChars="0" w:firstLine="0" w:firstLineChars="0"/>
      </w:pPr>
    </w:p>
    <w:p w14:paraId="643FBFBB">
      <w:pPr>
        <w:ind w:left="0" w:leftChars="0" w:firstLine="0" w:firstLineChars="0"/>
      </w:pPr>
    </w:p>
    <w:p w14:paraId="0299A86E">
      <w:pPr>
        <w:ind w:left="0" w:leftChars="0" w:firstLine="0" w:firstLineChars="0"/>
        <w:jc w:val="center"/>
        <w:rPr>
          <w:rFonts w:hint="eastAsia" w:ascii="黑体" w:hAnsi="黑体" w:eastAsia="黑体" w:cs="黑体"/>
          <w:b/>
          <w:bCs/>
          <w:sz w:val="48"/>
          <w:szCs w:val="48"/>
        </w:rPr>
      </w:pPr>
      <w:r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  <w:t>中</w:t>
      </w:r>
      <w:r>
        <w:rPr>
          <w:rFonts w:hint="eastAsia" w:ascii="黑体" w:hAnsi="黑体" w:eastAsia="黑体" w:cs="黑体"/>
          <w:b/>
          <w:bCs/>
          <w:sz w:val="48"/>
          <w:szCs w:val="48"/>
        </w:rPr>
        <w:t>国出口管制</w:t>
      </w:r>
      <w:r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  <w:t>及</w:t>
      </w:r>
      <w:r>
        <w:rPr>
          <w:rFonts w:hint="eastAsia" w:ascii="黑体" w:hAnsi="黑体" w:eastAsia="黑体" w:cs="黑体"/>
          <w:b/>
          <w:bCs/>
          <w:sz w:val="48"/>
          <w:szCs w:val="48"/>
        </w:rPr>
        <w:t>对外反制政策法规</w:t>
      </w:r>
    </w:p>
    <w:p w14:paraId="3E9AE483">
      <w:pPr>
        <w:ind w:left="0" w:leftChars="0" w:firstLine="0" w:firstLineChars="0"/>
        <w:jc w:val="center"/>
        <w:rPr>
          <w:rFonts w:hint="eastAsia" w:ascii="黑体" w:hAnsi="黑体" w:eastAsia="黑体" w:cs="黑体"/>
          <w:b/>
          <w:bCs/>
          <w:sz w:val="48"/>
          <w:szCs w:val="48"/>
        </w:rPr>
      </w:pPr>
      <w:r>
        <w:rPr>
          <w:rFonts w:hint="eastAsia" w:ascii="黑体" w:hAnsi="黑体" w:eastAsia="黑体" w:cs="黑体"/>
          <w:b/>
          <w:bCs/>
          <w:sz w:val="48"/>
          <w:szCs w:val="48"/>
        </w:rPr>
        <w:t>专题报告</w:t>
      </w:r>
    </w:p>
    <w:p w14:paraId="44E39C91">
      <w:pPr>
        <w:ind w:left="0" w:leftChars="0" w:firstLine="0" w:firstLineChars="0"/>
      </w:pPr>
    </w:p>
    <w:p w14:paraId="3E2C0794">
      <w:pPr>
        <w:ind w:left="0" w:leftChars="0" w:firstLine="0" w:firstLineChars="0"/>
      </w:pPr>
    </w:p>
    <w:p w14:paraId="7792B8E3">
      <w:pPr>
        <w:ind w:left="0" w:leftChars="0" w:firstLine="0" w:firstLineChars="0"/>
      </w:pPr>
    </w:p>
    <w:p w14:paraId="5E15CBF1">
      <w:pPr>
        <w:ind w:left="0" w:leftChars="0" w:firstLine="0" w:firstLineChars="0"/>
      </w:pPr>
    </w:p>
    <w:p w14:paraId="794786AC">
      <w:pPr>
        <w:ind w:left="0" w:leftChars="0" w:firstLine="0" w:firstLineChars="0"/>
      </w:pPr>
    </w:p>
    <w:p w14:paraId="00A037FB">
      <w:pPr>
        <w:ind w:left="0" w:leftChars="0" w:firstLine="0" w:firstLineChars="0"/>
      </w:pPr>
    </w:p>
    <w:p w14:paraId="3A1B5846">
      <w:pPr>
        <w:ind w:left="0" w:leftChars="0" w:firstLine="0" w:firstLineChars="0"/>
      </w:pPr>
    </w:p>
    <w:p w14:paraId="021E96A9">
      <w:pPr>
        <w:ind w:left="0" w:leftChars="0" w:firstLine="0" w:firstLineChars="0"/>
      </w:pPr>
    </w:p>
    <w:p w14:paraId="3349D36A">
      <w:pPr>
        <w:ind w:left="0" w:leftChars="0" w:firstLine="0" w:firstLineChars="0"/>
      </w:pPr>
    </w:p>
    <w:p w14:paraId="4EDFD4D4">
      <w:pPr>
        <w:ind w:left="0" w:leftChars="0" w:firstLine="0" w:firstLineChars="0"/>
      </w:pPr>
    </w:p>
    <w:p w14:paraId="271FB764">
      <w:pPr>
        <w:ind w:left="0" w:leftChars="0" w:firstLine="0" w:firstLineChars="0"/>
      </w:pPr>
    </w:p>
    <w:p w14:paraId="62EE8B78">
      <w:pPr>
        <w:ind w:left="0" w:leftChars="0" w:firstLine="0" w:firstLineChars="0"/>
      </w:pPr>
    </w:p>
    <w:p w14:paraId="3AE54FFF">
      <w:pPr>
        <w:ind w:left="0" w:leftChars="0" w:firstLine="0" w:firstLineChars="0"/>
      </w:pPr>
    </w:p>
    <w:p w14:paraId="05D588B4">
      <w:pPr>
        <w:ind w:left="0" w:leftChars="0" w:firstLine="0" w:firstLineChars="0"/>
      </w:pPr>
    </w:p>
    <w:p w14:paraId="118E31ED">
      <w:pPr>
        <w:ind w:left="0" w:leftChars="0" w:firstLine="0" w:firstLineChars="0"/>
      </w:pPr>
    </w:p>
    <w:p w14:paraId="2937C53F">
      <w:pPr>
        <w:ind w:left="0" w:leftChars="0" w:firstLine="0" w:firstLineChars="0"/>
      </w:pPr>
    </w:p>
    <w:p w14:paraId="76F064D9">
      <w:pPr>
        <w:ind w:left="0" w:leftChars="0" w:firstLine="0" w:firstLineChars="0"/>
        <w:jc w:val="center"/>
        <w:rPr>
          <w:rFonts w:hint="default" w:eastAsia="方正仿宋_GBK"/>
          <w:lang w:val="en-US" w:eastAsia="zh-CN"/>
        </w:rPr>
      </w:pPr>
      <w:r>
        <w:rPr>
          <w:rFonts w:hint="eastAsia"/>
          <w:lang w:val="en-US" w:eastAsia="zh-CN"/>
        </w:rPr>
        <w:t>2025年5月</w:t>
      </w:r>
    </w:p>
    <w:p w14:paraId="6DDA5CBB">
      <w:pPr>
        <w:ind w:left="0" w:leftChars="0" w:firstLine="0" w:firstLineChars="0"/>
      </w:pPr>
    </w:p>
    <w:p w14:paraId="3C7CB716">
      <w:r>
        <w:br w:type="page"/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82627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方正仿宋_GBK" w:cstheme="minorBidi"/>
          <w:kern w:val="2"/>
          <w:sz w:val="32"/>
          <w:szCs w:val="24"/>
          <w:lang w:val="en-US" w:eastAsia="zh-CN" w:bidi="ar-SA"/>
        </w:rPr>
      </w:sdtEndPr>
      <w:sdtContent>
        <w:p w14:paraId="6AAB1FCF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left="0" w:leftChars="0" w:right="0" w:rightChars="0" w:firstLine="0" w:firstLineChars="0"/>
            <w:jc w:val="center"/>
            <w:textAlignment w:val="auto"/>
            <w:rPr>
              <w:rFonts w:hint="default" w:ascii="Times New Roman" w:hAnsi="Times New Roman" w:eastAsia="黑体" w:cs="Times New Roman"/>
              <w:sz w:val="21"/>
              <w:szCs w:val="21"/>
            </w:rPr>
          </w:pP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目录</w:t>
          </w:r>
        </w:p>
        <w:p w14:paraId="2928A11B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  <w:sz w:val="21"/>
              <w:szCs w:val="21"/>
            </w:rPr>
          </w:pP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instrText xml:space="preserve">TOC \o "1-3" \h \u </w:instrText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instrText xml:space="preserve"> HYPERLINK \l _Toc2870 </w:instrText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  <w:lang w:val="en-US" w:eastAsia="zh-CN"/>
            </w:rPr>
            <w:t>一、中国出口管制政策的背景和发展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ab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instrText xml:space="preserve"> PAGEREF _Toc2870 \h </w:instrTex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4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  <w:p w14:paraId="34040CC1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  <w:sz w:val="21"/>
              <w:szCs w:val="21"/>
            </w:rPr>
          </w:pP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instrText xml:space="preserve"> HYPERLINK \l _Toc7877 </w:instrText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  <w:lang w:eastAsia="zh-CN"/>
            </w:rPr>
            <w:t>（</w:t>
          </w:r>
          <w:r>
            <w:rPr>
              <w:rFonts w:hint="default" w:ascii="Times New Roman" w:hAnsi="Times New Roman" w:eastAsia="黑体" w:cs="Times New Roman"/>
              <w:sz w:val="21"/>
              <w:szCs w:val="21"/>
              <w:lang w:val="en-US" w:eastAsia="zh-CN"/>
            </w:rPr>
            <w:t>一</w:t>
          </w:r>
          <w:r>
            <w:rPr>
              <w:rFonts w:hint="default" w:ascii="Times New Roman" w:hAnsi="Times New Roman" w:eastAsia="黑体" w:cs="Times New Roman"/>
              <w:sz w:val="21"/>
              <w:szCs w:val="21"/>
              <w:lang w:eastAsia="zh-CN"/>
            </w:rPr>
            <w:t>）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政策背景：国家安全与国际博弈的双重驱动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ab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instrText xml:space="preserve"> PAGEREF _Toc7877 \h </w:instrTex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4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  <w:p w14:paraId="51D4CD5D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  <w:sz w:val="21"/>
              <w:szCs w:val="21"/>
            </w:rPr>
          </w:pP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instrText xml:space="preserve"> HYPERLINK \l _Toc448 </w:instrText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  <w:lang w:eastAsia="zh-CN"/>
            </w:rPr>
            <w:t>（</w:t>
          </w:r>
          <w:r>
            <w:rPr>
              <w:rFonts w:hint="default" w:ascii="Times New Roman" w:hAnsi="Times New Roman" w:eastAsia="黑体" w:cs="Times New Roman"/>
              <w:sz w:val="21"/>
              <w:szCs w:val="21"/>
              <w:lang w:val="en-US" w:eastAsia="zh-CN"/>
            </w:rPr>
            <w:t>二</w:t>
          </w:r>
          <w:r>
            <w:rPr>
              <w:rFonts w:hint="default" w:ascii="Times New Roman" w:hAnsi="Times New Roman" w:eastAsia="黑体" w:cs="Times New Roman"/>
              <w:sz w:val="21"/>
              <w:szCs w:val="21"/>
              <w:lang w:eastAsia="zh-CN"/>
            </w:rPr>
            <w:t>）发展历程：从萌芽到全面体系化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ab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instrText xml:space="preserve"> PAGEREF _Toc448 \h </w:instrTex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4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  <w:p w14:paraId="7E43596A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  <w:sz w:val="21"/>
              <w:szCs w:val="21"/>
            </w:rPr>
          </w:pP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instrText xml:space="preserve"> HYPERLINK \l _Toc26887 </w:instrText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1.萌芽阶段（1979—1992年）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ab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instrText xml:space="preserve"> PAGEREF _Toc26887 \h </w:instrTex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4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  <w:p w14:paraId="0636795B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  <w:sz w:val="21"/>
              <w:szCs w:val="21"/>
            </w:rPr>
          </w:pP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instrText xml:space="preserve"> HYPERLINK \l _Toc1791 </w:instrText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2.初步建立阶段（1993—2001年）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ab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instrText xml:space="preserve"> PAGEREF _Toc1791 \h </w:instrTex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5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  <w:p w14:paraId="0FDD8426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  <w:sz w:val="21"/>
              <w:szCs w:val="21"/>
            </w:rPr>
          </w:pP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instrText xml:space="preserve"> HYPERLINK \l _Toc25695 </w:instrText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3.调整完善阶段（2002—2019年）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ab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instrText xml:space="preserve"> PAGEREF _Toc25695 \h </w:instrTex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5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  <w:p w14:paraId="041323A6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  <w:sz w:val="21"/>
              <w:szCs w:val="21"/>
            </w:rPr>
          </w:pP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instrText xml:space="preserve"> HYPERLINK \l _Toc20051 </w:instrText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4.全面体系化阶段（2020年至今）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ab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instrText xml:space="preserve"> PAGEREF _Toc20051 \h </w:instrTex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5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  <w:p w14:paraId="49FD15B3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  <w:sz w:val="21"/>
              <w:szCs w:val="21"/>
            </w:rPr>
          </w:pP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instrText xml:space="preserve"> HYPERLINK \l _Toc21098 </w:instrText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  <w:lang w:val="en-US" w:eastAsia="zh-CN"/>
            </w:rPr>
            <w:t>二、主要出口管制法规和政策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ab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instrText xml:space="preserve"> PAGEREF _Toc21098 \h </w:instrTex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6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  <w:p w14:paraId="16B0078C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  <w:sz w:val="21"/>
              <w:szCs w:val="21"/>
            </w:rPr>
          </w:pP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instrText xml:space="preserve"> HYPERLINK \l _Toc26558 </w:instrText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  <w:lang w:eastAsia="zh-CN"/>
            </w:rPr>
            <w:t>（</w:t>
          </w:r>
          <w:r>
            <w:rPr>
              <w:rFonts w:hint="default" w:ascii="Times New Roman" w:hAnsi="Times New Roman" w:eastAsia="黑体" w:cs="Times New Roman"/>
              <w:sz w:val="21"/>
              <w:szCs w:val="21"/>
              <w:lang w:val="en-US" w:eastAsia="zh-CN"/>
            </w:rPr>
            <w:t>一</w:t>
          </w:r>
          <w:r>
            <w:rPr>
              <w:rFonts w:hint="default" w:ascii="Times New Roman" w:hAnsi="Times New Roman" w:eastAsia="黑体" w:cs="Times New Roman"/>
              <w:sz w:val="21"/>
              <w:szCs w:val="21"/>
              <w:lang w:eastAsia="zh-CN"/>
            </w:rPr>
            <w:t>）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法律框架与核心法规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ab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instrText xml:space="preserve"> PAGEREF _Toc26558 \h </w:instrTex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6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  <w:p w14:paraId="4BE34D6F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  <w:sz w:val="21"/>
              <w:szCs w:val="21"/>
            </w:rPr>
          </w:pP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instrText xml:space="preserve"> HYPERLINK \l _Toc19630 </w:instrText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1.基础法律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ab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instrText xml:space="preserve"> PAGEREF _Toc19630 \h </w:instrTex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6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  <w:p w14:paraId="0CE63CBD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  <w:sz w:val="21"/>
              <w:szCs w:val="21"/>
            </w:rPr>
          </w:pP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instrText xml:space="preserve"> HYPERLINK \l _Toc21001 </w:instrText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2.专项行政法规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ab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instrText xml:space="preserve"> PAGEREF _Toc21001 \h </w:instrTex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6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  <w:p w14:paraId="1FE64DC8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  <w:sz w:val="21"/>
              <w:szCs w:val="21"/>
            </w:rPr>
          </w:pP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instrText xml:space="preserve"> HYPERLINK \l _Toc31906 </w:instrText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  <w:lang w:eastAsia="zh-CN"/>
            </w:rPr>
            <w:t>（</w:t>
          </w:r>
          <w:r>
            <w:rPr>
              <w:rFonts w:hint="default" w:ascii="Times New Roman" w:hAnsi="Times New Roman" w:eastAsia="黑体" w:cs="Times New Roman"/>
              <w:sz w:val="21"/>
              <w:szCs w:val="21"/>
              <w:lang w:val="en-US" w:eastAsia="zh-CN"/>
            </w:rPr>
            <w:t>二</w:t>
          </w:r>
          <w:r>
            <w:rPr>
              <w:rFonts w:hint="default" w:ascii="Times New Roman" w:hAnsi="Times New Roman" w:eastAsia="黑体" w:cs="Times New Roman"/>
              <w:sz w:val="21"/>
              <w:szCs w:val="21"/>
              <w:lang w:eastAsia="zh-CN"/>
            </w:rPr>
            <w:t>）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管制物项与政策动态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ab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instrText xml:space="preserve"> PAGEREF _Toc31906 \h </w:instrTex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7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  <w:p w14:paraId="1BB4A4EC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  <w:sz w:val="21"/>
              <w:szCs w:val="21"/>
            </w:rPr>
          </w:pP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instrText xml:space="preserve"> HYPERLINK \l _Toc1860 </w:instrText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1.关键矿产与材料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ab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instrText xml:space="preserve"> PAGEREF _Toc1860 \h </w:instrTex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7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  <w:p w14:paraId="21568F51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  <w:sz w:val="21"/>
              <w:szCs w:val="21"/>
            </w:rPr>
          </w:pP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instrText xml:space="preserve"> HYPERLINK \l _Toc22730 </w:instrText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2.技术与设备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ab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instrText xml:space="preserve"> PAGEREF _Toc22730 \h </w:instrTex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8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  <w:p w14:paraId="0B76C36E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  <w:sz w:val="21"/>
              <w:szCs w:val="21"/>
            </w:rPr>
          </w:pP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instrText xml:space="preserve"> HYPERLINK \l _Toc7655 </w:instrText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3.数据与密码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ab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instrText xml:space="preserve"> PAGEREF _Toc7655 \h </w:instrTex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8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  <w:p w14:paraId="6EAB9443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  <w:sz w:val="21"/>
              <w:szCs w:val="21"/>
            </w:rPr>
          </w:pP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instrText xml:space="preserve"> HYPERLINK \l _Toc14256 </w:instrText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  <w:lang w:val="en-US" w:eastAsia="zh-CN"/>
            </w:rPr>
            <w:t>三、对外反制政策与法规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ab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instrText xml:space="preserve"> PAGEREF _Toc14256 \h </w:instrTex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9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  <w:p w14:paraId="07F996B8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  <w:sz w:val="21"/>
              <w:szCs w:val="21"/>
            </w:rPr>
          </w:pP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instrText xml:space="preserve"> HYPERLINK \l _Toc11364 </w:instrText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  <w:lang w:eastAsia="zh-CN"/>
            </w:rPr>
            <w:t>（</w:t>
          </w:r>
          <w:r>
            <w:rPr>
              <w:rFonts w:hint="default" w:ascii="Times New Roman" w:hAnsi="Times New Roman" w:eastAsia="黑体" w:cs="Times New Roman"/>
              <w:sz w:val="21"/>
              <w:szCs w:val="21"/>
              <w:lang w:val="en-US" w:eastAsia="zh-CN"/>
            </w:rPr>
            <w:t>一</w:t>
          </w:r>
          <w:r>
            <w:rPr>
              <w:rFonts w:hint="default" w:ascii="Times New Roman" w:hAnsi="Times New Roman" w:eastAsia="黑体" w:cs="Times New Roman"/>
              <w:sz w:val="21"/>
              <w:szCs w:val="21"/>
              <w:lang w:eastAsia="zh-CN"/>
            </w:rPr>
            <w:t>）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核心法律框架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ab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instrText xml:space="preserve"> PAGEREF _Toc11364 \h </w:instrTex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9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  <w:p w14:paraId="1BAD305F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  <w:sz w:val="21"/>
              <w:szCs w:val="21"/>
            </w:rPr>
          </w:pP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instrText xml:space="preserve"> HYPERLINK \l _Toc20431 </w:instrText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1.《反外国制裁法》及其实施细则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ab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instrText xml:space="preserve"> PAGEREF _Toc20431 \h </w:instrTex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9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  <w:p w14:paraId="2BAB1D8E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  <w:sz w:val="21"/>
              <w:szCs w:val="21"/>
            </w:rPr>
          </w:pP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instrText xml:space="preserve"> HYPERLINK \l _Toc18924 </w:instrText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2.《阻断外国法律与措施不当域外适用办法》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ab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instrText xml:space="preserve"> PAGEREF _Toc18924 \h </w:instrTex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9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  <w:p w14:paraId="197677C0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  <w:sz w:val="21"/>
              <w:szCs w:val="21"/>
            </w:rPr>
          </w:pP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instrText xml:space="preserve"> HYPERLINK \l _Toc13223 </w:instrText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3.《对外贸易法》与《</w:t>
          </w:r>
          <w:bookmarkStart w:id="29" w:name="_GoBack"/>
          <w:bookmarkEnd w:id="29"/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不可靠实体清单规定》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ab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instrText xml:space="preserve"> PAGEREF _Toc13223 \h </w:instrTex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9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  <w:p w14:paraId="0AFBC502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  <w:sz w:val="21"/>
              <w:szCs w:val="21"/>
            </w:rPr>
          </w:pP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instrText xml:space="preserve"> HYPERLINK \l _Toc7858 </w:instrText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  <w:lang w:eastAsia="zh-CN"/>
            </w:rPr>
            <w:t>（</w:t>
          </w:r>
          <w:r>
            <w:rPr>
              <w:rFonts w:hint="default" w:ascii="Times New Roman" w:hAnsi="Times New Roman" w:eastAsia="黑体" w:cs="Times New Roman"/>
              <w:sz w:val="21"/>
              <w:szCs w:val="21"/>
              <w:lang w:val="en-US" w:eastAsia="zh-CN"/>
            </w:rPr>
            <w:t>二</w:t>
          </w:r>
          <w:r>
            <w:rPr>
              <w:rFonts w:hint="default" w:ascii="Times New Roman" w:hAnsi="Times New Roman" w:eastAsia="黑体" w:cs="Times New Roman"/>
              <w:sz w:val="21"/>
              <w:szCs w:val="21"/>
              <w:lang w:eastAsia="zh-CN"/>
            </w:rPr>
            <w:t>）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多维反制措施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ab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instrText xml:space="preserve"> PAGEREF _Toc7858 \h </w:instrTex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10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  <w:p w14:paraId="38085958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  <w:sz w:val="21"/>
              <w:szCs w:val="21"/>
            </w:rPr>
          </w:pP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instrText xml:space="preserve"> HYPERLINK \l _Toc5006 </w:instrText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1.关税与贸易管制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ab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instrText xml:space="preserve"> PAGEREF _Toc5006 \h </w:instrTex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10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  <w:p w14:paraId="0D4E0D4D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  <w:sz w:val="21"/>
              <w:szCs w:val="21"/>
            </w:rPr>
          </w:pP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instrText xml:space="preserve"> HYPERLINK \l _Toc18163 </w:instrText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2.法律诉讼与执法协作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ab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instrText xml:space="preserve"> PAGEREF _Toc18163 \h </w:instrTex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10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  <w:p w14:paraId="70CEBB6D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  <w:sz w:val="21"/>
              <w:szCs w:val="21"/>
            </w:rPr>
          </w:pP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instrText xml:space="preserve"> HYPERLINK \l _Toc6915 </w:instrText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3.国际合作与规则博弈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ab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instrText xml:space="preserve"> PAGEREF _Toc6915 \h </w:instrTex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10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  <w:p w14:paraId="1493F664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  <w:sz w:val="21"/>
              <w:szCs w:val="21"/>
            </w:rPr>
          </w:pP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instrText xml:space="preserve"> HYPERLINK \l _Toc10122 </w:instrText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  <w:lang w:eastAsia="zh-CN"/>
            </w:rPr>
            <w:t>（</w:t>
          </w:r>
          <w:r>
            <w:rPr>
              <w:rFonts w:hint="default" w:ascii="Times New Roman" w:hAnsi="Times New Roman" w:eastAsia="黑体" w:cs="Times New Roman"/>
              <w:sz w:val="21"/>
              <w:szCs w:val="21"/>
              <w:lang w:val="en-US" w:eastAsia="zh-CN"/>
            </w:rPr>
            <w:t>三</w:t>
          </w:r>
          <w:r>
            <w:rPr>
              <w:rFonts w:hint="default" w:ascii="Times New Roman" w:hAnsi="Times New Roman" w:eastAsia="黑体" w:cs="Times New Roman"/>
              <w:sz w:val="21"/>
              <w:szCs w:val="21"/>
              <w:lang w:eastAsia="zh-CN"/>
            </w:rPr>
            <w:t>）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执行机制与企业合规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ab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instrText xml:space="preserve"> PAGEREF _Toc10122 \h </w:instrTex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11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  <w:p w14:paraId="7D5AFBA5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  <w:sz w:val="21"/>
              <w:szCs w:val="21"/>
            </w:rPr>
          </w:pP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instrText xml:space="preserve"> HYPERLINK \l _Toc11651 </w:instrText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1.出口许可与最终用户管理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ab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instrText xml:space="preserve"> PAGEREF _Toc11651 \h </w:instrTex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11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  <w:p w14:paraId="69D67D35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  <w:sz w:val="21"/>
              <w:szCs w:val="21"/>
            </w:rPr>
          </w:pP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instrText xml:space="preserve"> HYPERLINK \l _Toc2011 </w:instrText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2.企业应对策略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ab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instrText xml:space="preserve"> PAGEREF _Toc2011 \h </w:instrTex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11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  <w:p w14:paraId="71467FA6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hint="default" w:ascii="Times New Roman" w:hAnsi="Times New Roman" w:eastAsia="黑体" w:cs="Times New Roman"/>
              <w:sz w:val="21"/>
              <w:szCs w:val="21"/>
            </w:rPr>
          </w:pP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instrText xml:space="preserve"> HYPERLINK \l _Toc10043 </w:instrText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  <w:lang w:val="en-US" w:eastAsia="zh-CN"/>
            </w:rPr>
            <w:t>四、2022年以来的出口管制公告及具体物项清单、技术参数、适用标准等细节内容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ab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instrText xml:space="preserve"> PAGEREF _Toc10043 \h </w:instrTex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t>12</w:t>
          </w:r>
          <w:r>
            <w:rPr>
              <w:rFonts w:hint="default" w:ascii="Times New Roman" w:hAnsi="Times New Roman" w:eastAsia="黑体" w:cs="Times New Roman"/>
              <w:sz w:val="21"/>
              <w:szCs w:val="21"/>
            </w:rPr>
            <w:fldChar w:fldCharType="end"/>
          </w: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  <w:p w14:paraId="48D5F768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left="0" w:leftChars="0" w:firstLine="0" w:firstLineChars="0"/>
            <w:textAlignment w:val="auto"/>
            <w:rPr>
              <w:rFonts w:ascii="Times New Roman" w:hAnsi="Times New Roman" w:eastAsia="方正仿宋_GBK" w:cstheme="minorBidi"/>
              <w:kern w:val="2"/>
              <w:sz w:val="32"/>
              <w:szCs w:val="24"/>
              <w:lang w:val="en-US" w:eastAsia="zh-CN" w:bidi="ar-SA"/>
            </w:rPr>
          </w:pPr>
          <w:r>
            <w:rPr>
              <w:rFonts w:hint="default" w:ascii="Times New Roman" w:hAnsi="Times New Roman" w:eastAsia="黑体" w:cs="Times New Roman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</w:sdtContent>
    </w:sdt>
    <w:p w14:paraId="14AB4A87">
      <w:pPr>
        <w:ind w:left="0" w:leftChars="0" w:firstLine="0" w:firstLineChars="0"/>
        <w:rPr>
          <w:rFonts w:ascii="Times New Roman" w:hAnsi="Times New Roman" w:eastAsia="方正仿宋_GBK" w:cstheme="minorBidi"/>
          <w:kern w:val="2"/>
          <w:sz w:val="32"/>
          <w:szCs w:val="24"/>
          <w:lang w:val="en-US" w:eastAsia="zh-CN" w:bidi="ar-SA"/>
        </w:rPr>
      </w:pPr>
    </w:p>
    <w:p w14:paraId="556F83EF">
      <w:pPr>
        <w:ind w:left="0" w:leftChars="0" w:firstLine="0" w:firstLineChars="0"/>
      </w:pPr>
    </w:p>
    <w:p w14:paraId="286F6F08">
      <w:pPr>
        <w:ind w:left="0" w:leftChars="0" w:firstLine="0" w:firstLineChars="0"/>
      </w:pPr>
    </w:p>
    <w:p w14:paraId="2377E1E7">
      <w:pPr>
        <w:ind w:left="0" w:leftChars="0" w:firstLine="0" w:firstLineChars="0"/>
      </w:pPr>
    </w:p>
    <w:p w14:paraId="1A25F42B">
      <w:r>
        <w:br w:type="page"/>
      </w:r>
    </w:p>
    <w:p w14:paraId="507E65F5">
      <w:pPr>
        <w:pStyle w:val="2"/>
        <w:bidi w:val="0"/>
        <w:rPr>
          <w:rFonts w:hint="eastAsia"/>
          <w:lang w:val="en-US" w:eastAsia="zh-CN"/>
        </w:rPr>
      </w:pPr>
      <w:bookmarkStart w:id="0" w:name="_Toc2870"/>
      <w:r>
        <w:rPr>
          <w:rFonts w:hint="eastAsia"/>
          <w:lang w:val="en-US" w:eastAsia="zh-CN"/>
        </w:rPr>
        <w:t>一、中国出口管制政策的背景和发展</w:t>
      </w:r>
      <w:bookmarkEnd w:id="0"/>
    </w:p>
    <w:p w14:paraId="357EB2D2">
      <w:pPr>
        <w:pStyle w:val="3"/>
        <w:bidi w:val="0"/>
        <w:rPr>
          <w:rFonts w:hint="eastAsia"/>
        </w:rPr>
      </w:pPr>
      <w:bookmarkStart w:id="1" w:name="_Toc7877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一</w:t>
      </w:r>
      <w:r>
        <w:rPr>
          <w:rFonts w:hint="eastAsia"/>
          <w:lang w:eastAsia="zh-CN"/>
        </w:rPr>
        <w:t>）</w:t>
      </w:r>
      <w:r>
        <w:rPr>
          <w:rFonts w:hint="eastAsia"/>
        </w:rPr>
        <w:t>政策背景：国家安全与国际博弈的双重驱动</w:t>
      </w:r>
      <w:bookmarkEnd w:id="1"/>
    </w:p>
    <w:p w14:paraId="1599C133">
      <w:pPr>
        <w:bidi w:val="0"/>
      </w:pPr>
      <w:r>
        <w:rPr>
          <w:rFonts w:hint="default"/>
          <w:b/>
          <w:bCs/>
          <w:lang w:val="en-US" w:eastAsia="zh-CN"/>
        </w:rPr>
        <w:t>国际环境压力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default"/>
          <w:lang w:val="en-US" w:eastAsia="zh-CN"/>
        </w:rPr>
        <w:t>全球战略竞争加剧，美国等西方国家以“国家安全”为由对华实施技术封锁和出口限制，例如2018年对中兴、华为的制裁，迫使中国强化反制能力。同时，防扩散国际义务（如履行《不扩散核武器条约》）要求中国建立合规的出口管制体系。</w:t>
      </w:r>
    </w:p>
    <w:p w14:paraId="6C0F506C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国内战略需求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default"/>
          <w:lang w:val="en-US" w:eastAsia="zh-CN"/>
        </w:rPr>
        <w:t>中国作为全球最大稀土生产国（占全球产量70%以上）和制造业大国，需通过出口管制保护关键战略资源（如稀土、半导体材料）和技术优势，防止其被用于损害中国安全的领域。此外，产业升级要求通过管制倒逼技术自主化，例如2024年对镓、锗的出口管制直接推动国内半导体材料研发。</w:t>
      </w:r>
    </w:p>
    <w:p w14:paraId="7177618F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法律体系完善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default"/>
          <w:lang w:val="en-US" w:eastAsia="zh-CN"/>
        </w:rPr>
        <w:t>2018年中美贸易战暴露中国出口管制法律分散的短板，促使《出口管制法》于2020年出台，统一规范两用物项、军品、核等领域的管制规则，确立“国家安全”和“防扩散”双重目标。</w:t>
      </w:r>
    </w:p>
    <w:p w14:paraId="4703608F">
      <w:pPr>
        <w:pStyle w:val="3"/>
        <w:bidi w:val="0"/>
        <w:rPr>
          <w:rFonts w:hint="eastAsia"/>
          <w:lang w:eastAsia="zh-CN"/>
        </w:rPr>
      </w:pPr>
      <w:bookmarkStart w:id="2" w:name="_Toc448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二</w:t>
      </w:r>
      <w:r>
        <w:rPr>
          <w:rFonts w:hint="eastAsia"/>
          <w:lang w:eastAsia="zh-CN"/>
        </w:rPr>
        <w:t>）发展历程：从萌芽到全面体系化</w:t>
      </w:r>
      <w:bookmarkEnd w:id="2"/>
    </w:p>
    <w:p w14:paraId="6E01757C">
      <w:pPr>
        <w:pStyle w:val="4"/>
        <w:bidi w:val="0"/>
        <w:rPr>
          <w:rFonts w:hint="eastAsia"/>
        </w:rPr>
      </w:pPr>
      <w:bookmarkStart w:id="3" w:name="_Toc26887"/>
      <w:r>
        <w:rPr>
          <w:rFonts w:hint="eastAsia"/>
        </w:rPr>
        <w:t>1.萌芽阶段（1979—1992年）</w:t>
      </w:r>
      <w:bookmarkEnd w:id="3"/>
    </w:p>
    <w:p w14:paraId="25ED6C77">
      <w:pPr>
        <w:bidi w:val="0"/>
        <w:rPr>
          <w:rFonts w:hint="eastAsia"/>
        </w:rPr>
      </w:pPr>
      <w:r>
        <w:rPr>
          <w:rFonts w:hint="eastAsia"/>
          <w:b/>
          <w:bCs/>
        </w:rPr>
        <w:t>被动应对：</w:t>
      </w:r>
      <w:r>
        <w:rPr>
          <w:rFonts w:hint="eastAsia"/>
        </w:rPr>
        <w:t>重点管控军品出口，成立国家军品贸易管理委员会，但缺乏两用物项管制框架。</w:t>
      </w:r>
    </w:p>
    <w:p w14:paraId="55BDCFC6">
      <w:pPr>
        <w:bidi w:val="0"/>
        <w:rPr>
          <w:rFonts w:hint="eastAsia"/>
        </w:rPr>
      </w:pPr>
      <w:r>
        <w:rPr>
          <w:rFonts w:hint="eastAsia"/>
          <w:b/>
          <w:bCs/>
        </w:rPr>
        <w:t>国际参与：</w:t>
      </w:r>
      <w:r>
        <w:rPr>
          <w:rFonts w:hint="eastAsia"/>
        </w:rPr>
        <w:t>1984年加入国际原子能机构（IAEA），开始履行核不扩散义务。</w:t>
      </w:r>
    </w:p>
    <w:p w14:paraId="4DBFAEC9">
      <w:pPr>
        <w:pStyle w:val="4"/>
        <w:bidi w:val="0"/>
        <w:rPr>
          <w:rFonts w:hint="eastAsia"/>
        </w:rPr>
      </w:pPr>
      <w:bookmarkStart w:id="4" w:name="_Toc1791"/>
      <w:r>
        <w:rPr>
          <w:rFonts w:hint="eastAsia"/>
        </w:rPr>
        <w:t>2.初步建立阶段（1993—2001年）</w:t>
      </w:r>
      <w:bookmarkEnd w:id="4"/>
    </w:p>
    <w:p w14:paraId="1CE228DB">
      <w:pPr>
        <w:bidi w:val="0"/>
        <w:rPr>
          <w:rFonts w:hint="eastAsia"/>
        </w:rPr>
      </w:pPr>
      <w:r>
        <w:rPr>
          <w:rFonts w:hint="eastAsia"/>
          <w:b/>
          <w:bCs/>
        </w:rPr>
        <w:t>法规奠基：</w:t>
      </w:r>
      <w:r>
        <w:rPr>
          <w:rFonts w:hint="eastAsia"/>
          <w:b w:val="0"/>
          <w:bCs w:val="0"/>
          <w:lang w:val="en-US" w:eastAsia="zh-CN"/>
        </w:rPr>
        <w:t>1997年，</w:t>
      </w:r>
      <w:r>
        <w:rPr>
          <w:rFonts w:hint="eastAsia"/>
        </w:rPr>
        <w:t>颁布《核出口管制条例》、《军品出口管理条例》等行政法规，构建分领域管制体系。</w:t>
      </w:r>
    </w:p>
    <w:p w14:paraId="6D72DD45">
      <w:pPr>
        <w:bidi w:val="0"/>
        <w:rPr>
          <w:rFonts w:hint="eastAsia"/>
        </w:rPr>
      </w:pPr>
      <w:r>
        <w:rPr>
          <w:rFonts w:hint="eastAsia"/>
          <w:b/>
          <w:bCs/>
        </w:rPr>
        <w:t>国际接轨：</w:t>
      </w:r>
      <w:r>
        <w:rPr>
          <w:rFonts w:hint="eastAsia"/>
        </w:rPr>
        <w:t>1996年签署《全面禁止核试验条约》，逐步参与《瓦森纳协定》等国际机制（虽未加入，但借鉴其清单管理模式）。</w:t>
      </w:r>
    </w:p>
    <w:p w14:paraId="75612136">
      <w:pPr>
        <w:pStyle w:val="4"/>
        <w:bidi w:val="0"/>
        <w:rPr>
          <w:rFonts w:hint="eastAsia"/>
        </w:rPr>
      </w:pPr>
      <w:bookmarkStart w:id="5" w:name="_Toc25695"/>
      <w:r>
        <w:rPr>
          <w:rFonts w:hint="eastAsia"/>
        </w:rPr>
        <w:t>3.调整完善阶段（2002—2019年）</w:t>
      </w:r>
      <w:bookmarkEnd w:id="5"/>
    </w:p>
    <w:p w14:paraId="543EA66A">
      <w:pPr>
        <w:bidi w:val="0"/>
        <w:rPr>
          <w:rFonts w:hint="eastAsia"/>
        </w:rPr>
      </w:pPr>
      <w:r>
        <w:rPr>
          <w:rFonts w:hint="eastAsia"/>
          <w:b/>
          <w:bCs/>
        </w:rPr>
        <w:t>适应WTO规则：</w:t>
      </w:r>
      <w:r>
        <w:rPr>
          <w:rFonts w:hint="eastAsia"/>
        </w:rPr>
        <w:t>加入WTO后，逐步取消稀土出口配额，转而通过出口关税和环保标准实施间接管控，同时加强技术出口限制。</w:t>
      </w:r>
    </w:p>
    <w:p w14:paraId="7395D156">
      <w:pPr>
        <w:bidi w:val="0"/>
        <w:rPr>
          <w:rFonts w:hint="eastAsia"/>
        </w:rPr>
      </w:pPr>
      <w:r>
        <w:rPr>
          <w:rFonts w:hint="eastAsia"/>
          <w:b/>
          <w:bCs/>
        </w:rPr>
        <w:t>动态调整：</w:t>
      </w:r>
      <w:r>
        <w:rPr>
          <w:rFonts w:hint="eastAsia"/>
        </w:rPr>
        <w:t>2006年实施稀土开采总量控制，2010年将稀土纳入《中国禁止出口限制出口技术目录》，2015年修订《核出口管制条例》强化最终用户管理。</w:t>
      </w:r>
    </w:p>
    <w:p w14:paraId="02FC01DC">
      <w:pPr>
        <w:pStyle w:val="4"/>
        <w:bidi w:val="0"/>
        <w:rPr>
          <w:rFonts w:hint="eastAsia"/>
        </w:rPr>
      </w:pPr>
      <w:bookmarkStart w:id="6" w:name="_Toc20051"/>
      <w:r>
        <w:rPr>
          <w:rFonts w:hint="eastAsia"/>
        </w:rPr>
        <w:t>4.全面体系化阶段（2020年至今）</w:t>
      </w:r>
      <w:bookmarkEnd w:id="6"/>
    </w:p>
    <w:p w14:paraId="68F076F2">
      <w:pPr>
        <w:bidi w:val="0"/>
        <w:rPr>
          <w:rFonts w:hint="eastAsia"/>
        </w:rPr>
      </w:pPr>
      <w:r>
        <w:rPr>
          <w:rFonts w:hint="eastAsia"/>
          <w:b/>
          <w:bCs/>
        </w:rPr>
        <w:t>立法突破：</w:t>
      </w:r>
      <w:r>
        <w:rPr>
          <w:rFonts w:hint="eastAsia"/>
        </w:rPr>
        <w:t>2020年《出口管制法》实施，统一管制清单、临时管制、管控名单等制度，实现物项、主体、环节全覆盖。</w:t>
      </w:r>
    </w:p>
    <w:p w14:paraId="4C21B323">
      <w:pPr>
        <w:bidi w:val="0"/>
        <w:rPr>
          <w:rFonts w:hint="eastAsia"/>
        </w:rPr>
      </w:pPr>
      <w:r>
        <w:rPr>
          <w:rFonts w:hint="eastAsia"/>
          <w:b/>
          <w:bCs/>
        </w:rPr>
        <w:t>精准管控：</w:t>
      </w:r>
      <w:r>
        <w:rPr>
          <w:rFonts w:hint="eastAsia"/>
        </w:rPr>
        <w:t>2023年对镓、锗实施出口管制，2025年新增钨、碲等7类中重稀土管控。2023年修订《中国禁止出口限制出口技术目录》，新增基因编辑、激光雷达等技术。依据《反外国制裁法》对美企实施对等措施，如2025年对美煤炭、液化天然气加征15%关税。</w:t>
      </w:r>
    </w:p>
    <w:p w14:paraId="4C36BF0C">
      <w:pPr>
        <w:bidi w:val="0"/>
        <w:rPr>
          <w:rFonts w:hint="eastAsia"/>
        </w:rPr>
      </w:pPr>
      <w:r>
        <w:rPr>
          <w:rFonts w:hint="eastAsia"/>
          <w:b/>
          <w:bCs/>
        </w:rPr>
        <w:t>机制优化：</w:t>
      </w:r>
      <w:r>
        <w:rPr>
          <w:rFonts w:hint="eastAsia"/>
        </w:rPr>
        <w:t>2024年修订《两用物项出口管制条例》，取消出口经营者登记制度，建立通用许可和关注名单制度，提升贸易便利化与监管效能。</w:t>
      </w:r>
    </w:p>
    <w:p w14:paraId="6E513849">
      <w:pPr>
        <w:rPr>
          <w:rFonts w:hint="eastAsia"/>
        </w:rPr>
      </w:pPr>
      <w:r>
        <w:rPr>
          <w:rFonts w:hint="eastAsia"/>
        </w:rPr>
        <w:br w:type="page"/>
      </w:r>
    </w:p>
    <w:p w14:paraId="6D8F1FBA">
      <w:pPr>
        <w:pStyle w:val="2"/>
        <w:bidi w:val="0"/>
        <w:rPr>
          <w:rFonts w:hint="eastAsia"/>
          <w:lang w:val="en-US" w:eastAsia="zh-CN"/>
        </w:rPr>
      </w:pPr>
      <w:bookmarkStart w:id="7" w:name="_Toc21098"/>
      <w:r>
        <w:rPr>
          <w:rFonts w:hint="eastAsia"/>
          <w:lang w:val="en-US" w:eastAsia="zh-CN"/>
        </w:rPr>
        <w:t>二、主要出口管制法规和政策</w:t>
      </w:r>
      <w:bookmarkEnd w:id="7"/>
    </w:p>
    <w:p w14:paraId="271CBDAD">
      <w:pPr>
        <w:pStyle w:val="3"/>
        <w:bidi w:val="0"/>
        <w:rPr>
          <w:rFonts w:hint="eastAsia"/>
        </w:rPr>
      </w:pPr>
      <w:bookmarkStart w:id="8" w:name="_Toc26558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一</w:t>
      </w:r>
      <w:r>
        <w:rPr>
          <w:rFonts w:hint="eastAsia"/>
          <w:lang w:eastAsia="zh-CN"/>
        </w:rPr>
        <w:t>）</w:t>
      </w:r>
      <w:r>
        <w:rPr>
          <w:rFonts w:hint="eastAsia"/>
        </w:rPr>
        <w:t>法律框架与核心法规</w:t>
      </w:r>
      <w:bookmarkEnd w:id="8"/>
    </w:p>
    <w:p w14:paraId="1E8512AD">
      <w:pPr>
        <w:pStyle w:val="4"/>
        <w:bidi w:val="0"/>
        <w:rPr>
          <w:rFonts w:hint="eastAsia"/>
        </w:rPr>
      </w:pPr>
      <w:bookmarkStart w:id="9" w:name="_Toc19630"/>
      <w:r>
        <w:rPr>
          <w:rFonts w:hint="eastAsia"/>
        </w:rPr>
        <w:t>1.基础法律</w:t>
      </w:r>
      <w:bookmarkEnd w:id="9"/>
    </w:p>
    <w:p w14:paraId="55D668F3">
      <w:pPr>
        <w:bidi w:val="0"/>
        <w:rPr>
          <w:rFonts w:hint="eastAsia"/>
        </w:rPr>
      </w:pPr>
      <w:r>
        <w:rPr>
          <w:rFonts w:hint="eastAsia"/>
          <w:b/>
          <w:bCs/>
        </w:rPr>
        <w:t>《出口管制法》（2020年实施）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作为出口管制的统领性法律，覆盖两用物项、军品、核及其他敏感物项，确立“国家安全”和“防扩散”双重目标。法律明确出口许可、临时管制、管控名单等制度，实现物项、主体、环节全覆盖。配套法规包括《两用物项出口管制条例》《商用密码管理条例》等，形成“法律—行政法规—部门规章”衔接的体系。</w:t>
      </w:r>
    </w:p>
    <w:p w14:paraId="558A3195">
      <w:pPr>
        <w:bidi w:val="0"/>
        <w:rPr>
          <w:rFonts w:hint="eastAsia"/>
        </w:rPr>
      </w:pPr>
      <w:r>
        <w:rPr>
          <w:rFonts w:hint="eastAsia"/>
          <w:b/>
          <w:bCs/>
        </w:rPr>
        <w:t>《反外国制裁法》（2021年实施）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授权对实施歧视性限制的外国实体采取反制措施，包括冻结资产、禁止交易、限制入境等。2025年3月发布的《实施规定》细化执行机制，新增对参与诉讼和判决执行的外国主体的反制条款。</w:t>
      </w:r>
    </w:p>
    <w:p w14:paraId="0955F352">
      <w:pPr>
        <w:pStyle w:val="4"/>
        <w:bidi w:val="0"/>
        <w:rPr>
          <w:rFonts w:hint="eastAsia"/>
        </w:rPr>
      </w:pPr>
      <w:bookmarkStart w:id="10" w:name="_Toc21001"/>
      <w:r>
        <w:rPr>
          <w:rFonts w:hint="eastAsia"/>
        </w:rPr>
        <w:t>2.专项行政法规</w:t>
      </w:r>
      <w:bookmarkEnd w:id="10"/>
    </w:p>
    <w:p w14:paraId="37F5BF90">
      <w:pPr>
        <w:bidi w:val="0"/>
        <w:rPr>
          <w:rFonts w:hint="eastAsia"/>
        </w:rPr>
      </w:pPr>
      <w:r>
        <w:rPr>
          <w:rFonts w:hint="eastAsia"/>
          <w:b/>
          <w:bCs/>
        </w:rPr>
        <w:t>《两用物项出口管制条例》（2025年修订）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统一规范除监控化学品外的所有两用物项出口，建立分类许可制度。2025年修订版取消出口经营者登记制度，引入通用许可和关注名单，提升贸易便利化与监管效能。</w:t>
      </w:r>
    </w:p>
    <w:p w14:paraId="1792335C">
      <w:pPr>
        <w:bidi w:val="0"/>
        <w:rPr>
          <w:rFonts w:hint="eastAsia"/>
        </w:rPr>
      </w:pPr>
      <w:r>
        <w:rPr>
          <w:rFonts w:hint="eastAsia"/>
          <w:b/>
          <w:bCs/>
        </w:rPr>
        <w:t>《核出口管制条例》（2011年修订）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规定核出口专营制度，要求核出口仅用于和平目的并接受国际原子能机构保障监督。出口需向国家原子能机构申请许可，最终用户需提供严格保证。</w:t>
      </w:r>
    </w:p>
    <w:p w14:paraId="7C6A40BC">
      <w:pPr>
        <w:bidi w:val="0"/>
        <w:rPr>
          <w:rFonts w:hint="eastAsia"/>
        </w:rPr>
      </w:pPr>
      <w:r>
        <w:rPr>
          <w:rFonts w:hint="eastAsia"/>
          <w:b/>
          <w:bCs/>
        </w:rPr>
        <w:t>《军品出口管理条例》（2002年修订）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规范军品出口专营资格审批、许可流程及处罚措施。军品出口需经国家国防科技工业局与中央军委装备发展部联合审查，重大项目需国务院和中央军委批准。</w:t>
      </w:r>
    </w:p>
    <w:p w14:paraId="2BB683CB">
      <w:pPr>
        <w:bidi w:val="0"/>
        <w:rPr>
          <w:rFonts w:hint="eastAsia"/>
        </w:rPr>
      </w:pPr>
      <w:r>
        <w:rPr>
          <w:rFonts w:hint="eastAsia"/>
          <w:b/>
          <w:bCs/>
        </w:rPr>
        <w:t>《生物两用品及相关设备和技术出口管制条例》（2002年实施）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防止生物两用品被用于生物武器目的，对《管制清单》所列物项实施许可管理，出口需提交最终用户和最终用途证明。</w:t>
      </w:r>
    </w:p>
    <w:p w14:paraId="70E7C9AA">
      <w:pPr>
        <w:bidi w:val="0"/>
        <w:rPr>
          <w:rFonts w:hint="eastAsia"/>
        </w:rPr>
      </w:pPr>
      <w:r>
        <w:rPr>
          <w:rFonts w:hint="eastAsia"/>
          <w:b/>
          <w:bCs/>
        </w:rPr>
        <w:t>《有关化学品及相关设备和技术出口管制办法》（2002年实施）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管控可用于化学武器的化学品及设备出口，要求接受方保证不用于申明用途以外的目的，并建立登记和许可制度。</w:t>
      </w:r>
    </w:p>
    <w:p w14:paraId="3884FBCE">
      <w:pPr>
        <w:bidi w:val="0"/>
        <w:rPr>
          <w:rFonts w:hint="eastAsia"/>
        </w:rPr>
      </w:pPr>
      <w:r>
        <w:rPr>
          <w:rFonts w:hint="eastAsia"/>
          <w:b/>
          <w:bCs/>
        </w:rPr>
        <w:t>《导弹及相关物项和技术出口管制条例》（2013年修订）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防止导弹及相关技术扩散，对《管制清单》所列物项实施许可证管理，出口需经多部门联合审查。</w:t>
      </w:r>
    </w:p>
    <w:p w14:paraId="229F8596">
      <w:pPr>
        <w:pStyle w:val="3"/>
        <w:bidi w:val="0"/>
        <w:rPr>
          <w:rFonts w:hint="eastAsia"/>
        </w:rPr>
      </w:pPr>
      <w:bookmarkStart w:id="11" w:name="_Toc31906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二</w:t>
      </w:r>
      <w:r>
        <w:rPr>
          <w:rFonts w:hint="eastAsia"/>
          <w:lang w:eastAsia="zh-CN"/>
        </w:rPr>
        <w:t>）</w:t>
      </w:r>
      <w:r>
        <w:rPr>
          <w:rFonts w:hint="eastAsia"/>
        </w:rPr>
        <w:t>管制物项与政策动态</w:t>
      </w:r>
      <w:bookmarkEnd w:id="11"/>
    </w:p>
    <w:p w14:paraId="0B6BCD2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国针对国家安全、外交政策和防扩散需要，持续优化出口管制目录，逐步涵盖关键矿产、先进制造设备、敏感技术和高性能材料等多个领域。管制物项主要包括两用物项、军品、核物项以及其他具有潜在军事用途或对国家安全构成威胁的物项。具体项目按照《出口管制清单》分类施行管理，并根据形势变化进行动态更新。</w:t>
      </w:r>
    </w:p>
    <w:p w14:paraId="4D75E6B8">
      <w:pPr>
        <w:bidi w:val="0"/>
        <w:rPr>
          <w:rFonts w:hint="default" w:eastAsia="方正仿宋_GBK"/>
          <w:lang w:val="en-US" w:eastAsia="zh-CN"/>
        </w:rPr>
      </w:pPr>
      <w:r>
        <w:rPr>
          <w:rFonts w:hint="eastAsia"/>
          <w:lang w:val="en-US" w:eastAsia="zh-CN"/>
        </w:rPr>
        <w:t>2022年以来的出口管制公告及具体物项清单、技术参数、适用标准等细节内容详见附录中的公告原文。</w:t>
      </w:r>
    </w:p>
    <w:p w14:paraId="22B0AB48">
      <w:pPr>
        <w:pStyle w:val="4"/>
        <w:bidi w:val="0"/>
        <w:rPr>
          <w:rFonts w:hint="eastAsia"/>
        </w:rPr>
      </w:pPr>
      <w:bookmarkStart w:id="12" w:name="_Toc1860"/>
      <w:r>
        <w:rPr>
          <w:rFonts w:hint="eastAsia"/>
        </w:rPr>
        <w:t>1.关键矿产与材料</w:t>
      </w:r>
      <w:bookmarkEnd w:id="12"/>
    </w:p>
    <w:p w14:paraId="72AFD2B1">
      <w:pPr>
        <w:bidi w:val="0"/>
        <w:rPr>
          <w:rFonts w:hint="eastAsia"/>
        </w:rPr>
      </w:pPr>
      <w:r>
        <w:rPr>
          <w:rFonts w:hint="eastAsia"/>
        </w:rPr>
        <w:t>稀土与稀有金属：2023年起对镓、锗、钨、碲、铋、钼、铟等实施出口管制，2025年新增7类中重稀土管控，覆盖军工、半导体等领域。</w:t>
      </w:r>
    </w:p>
    <w:p w14:paraId="36D5454C">
      <w:pPr>
        <w:bidi w:val="0"/>
        <w:rPr>
          <w:rFonts w:hint="eastAsia"/>
        </w:rPr>
      </w:pPr>
      <w:r>
        <w:rPr>
          <w:rFonts w:hint="eastAsia"/>
        </w:rPr>
        <w:t>石墨与超硬材料：2023年将高纯度人造石墨纳入管制，2024年严控锑及超硬材料对美出口。</w:t>
      </w:r>
    </w:p>
    <w:p w14:paraId="6AE17F6B">
      <w:pPr>
        <w:pStyle w:val="4"/>
        <w:bidi w:val="0"/>
        <w:rPr>
          <w:rFonts w:hint="eastAsia"/>
        </w:rPr>
      </w:pPr>
      <w:bookmarkStart w:id="13" w:name="_Toc22730"/>
      <w:r>
        <w:rPr>
          <w:rFonts w:hint="eastAsia"/>
        </w:rPr>
        <w:t>2.技术与设备</w:t>
      </w:r>
      <w:bookmarkEnd w:id="13"/>
    </w:p>
    <w:p w14:paraId="6B7B4B01">
      <w:pPr>
        <w:bidi w:val="0"/>
        <w:rPr>
          <w:rFonts w:hint="eastAsia"/>
        </w:rPr>
      </w:pPr>
      <w:r>
        <w:rPr>
          <w:rFonts w:hint="eastAsia"/>
        </w:rPr>
        <w:t>无人机与激光技术：2023年对特定无人机发动机、载荷及民用反无人机系统实施管制，2025年《中国禁止出口限制出口技术目录》新增基因编辑、激光雷达等技术。</w:t>
      </w:r>
    </w:p>
    <w:p w14:paraId="20D03438">
      <w:pPr>
        <w:bidi w:val="0"/>
        <w:rPr>
          <w:rFonts w:hint="eastAsia"/>
        </w:rPr>
      </w:pPr>
      <w:r>
        <w:rPr>
          <w:rFonts w:hint="eastAsia"/>
        </w:rPr>
        <w:t>半导体与人工智能：2025年拟将人工智能芯片、量子计算设备纳入管制，强化对新兴技术的控制。</w:t>
      </w:r>
    </w:p>
    <w:p w14:paraId="08509D4E">
      <w:pPr>
        <w:pStyle w:val="4"/>
        <w:bidi w:val="0"/>
        <w:rPr>
          <w:rFonts w:hint="eastAsia"/>
        </w:rPr>
      </w:pPr>
      <w:bookmarkStart w:id="14" w:name="_Toc7655"/>
      <w:r>
        <w:rPr>
          <w:rFonts w:hint="eastAsia"/>
        </w:rPr>
        <w:t>3.数据与密码</w:t>
      </w:r>
      <w:bookmarkEnd w:id="14"/>
    </w:p>
    <w:p w14:paraId="0C2C1125">
      <w:pPr>
        <w:bidi w:val="0"/>
        <w:rPr>
          <w:rFonts w:hint="eastAsia"/>
        </w:rPr>
      </w:pPr>
      <w:r>
        <w:rPr>
          <w:rFonts w:hint="eastAsia"/>
        </w:rPr>
        <w:t>商用密码：2023年修订《商用密码管理条例》，将密码产品出口纳入清单管理，涉及国家安全的需申请许可。</w:t>
      </w:r>
    </w:p>
    <w:p w14:paraId="60BDC961">
      <w:pPr>
        <w:bidi w:val="0"/>
        <w:rPr>
          <w:rFonts w:hint="eastAsia"/>
        </w:rPr>
      </w:pPr>
      <w:r>
        <w:rPr>
          <w:rFonts w:hint="eastAsia"/>
        </w:rPr>
        <w:t>数据安全：依据《数据安全法》，对涉及关键信息基础设施的数据出口实施严格审查。</w:t>
      </w:r>
    </w:p>
    <w:p w14:paraId="5C647315">
      <w:pPr>
        <w:rPr>
          <w:rFonts w:hint="eastAsia"/>
        </w:rPr>
      </w:pPr>
      <w:r>
        <w:rPr>
          <w:rFonts w:hint="eastAsia"/>
        </w:rPr>
        <w:br w:type="page"/>
      </w:r>
    </w:p>
    <w:p w14:paraId="713AE10F">
      <w:pPr>
        <w:pStyle w:val="2"/>
        <w:bidi w:val="0"/>
        <w:rPr>
          <w:rFonts w:hint="eastAsia"/>
          <w:lang w:val="en-US" w:eastAsia="zh-CN"/>
        </w:rPr>
      </w:pPr>
      <w:bookmarkStart w:id="15" w:name="_Toc14256"/>
      <w:r>
        <w:rPr>
          <w:rFonts w:hint="eastAsia"/>
          <w:lang w:val="en-US" w:eastAsia="zh-CN"/>
        </w:rPr>
        <w:t>三、对外反制政策与法规</w:t>
      </w:r>
      <w:bookmarkEnd w:id="15"/>
    </w:p>
    <w:p w14:paraId="2E8FC997">
      <w:pPr>
        <w:pStyle w:val="3"/>
        <w:bidi w:val="0"/>
        <w:rPr>
          <w:rFonts w:hint="eastAsia"/>
        </w:rPr>
      </w:pPr>
      <w:bookmarkStart w:id="16" w:name="_Toc11364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一</w:t>
      </w:r>
      <w:r>
        <w:rPr>
          <w:rFonts w:hint="eastAsia"/>
          <w:lang w:eastAsia="zh-CN"/>
        </w:rPr>
        <w:t>）</w:t>
      </w:r>
      <w:r>
        <w:rPr>
          <w:rFonts w:hint="eastAsia"/>
        </w:rPr>
        <w:t>核心法律框架</w:t>
      </w:r>
      <w:bookmarkEnd w:id="16"/>
    </w:p>
    <w:p w14:paraId="68996713">
      <w:pPr>
        <w:pStyle w:val="4"/>
        <w:bidi w:val="0"/>
        <w:rPr>
          <w:rFonts w:hint="eastAsia"/>
        </w:rPr>
      </w:pPr>
      <w:bookmarkStart w:id="17" w:name="_Toc20431"/>
      <w:r>
        <w:rPr>
          <w:rFonts w:hint="eastAsia"/>
        </w:rPr>
        <w:t>1.《反外国制裁法》及其实施细则</w:t>
      </w:r>
      <w:bookmarkEnd w:id="17"/>
    </w:p>
    <w:p w14:paraId="015F2F24">
      <w:pPr>
        <w:bidi w:val="0"/>
        <w:rPr>
          <w:rFonts w:hint="eastAsia"/>
        </w:rPr>
      </w:pPr>
      <w:r>
        <w:rPr>
          <w:rFonts w:hint="eastAsia"/>
          <w:b/>
          <w:bCs/>
        </w:rPr>
        <w:t>立法宗旨：</w:t>
      </w:r>
      <w:r>
        <w:rPr>
          <w:rFonts w:hint="eastAsia"/>
        </w:rPr>
        <w:t>针对外国以涉疆、涉港等议题实施的单边制裁，提供法治反制工具。该法于2021年6月施行，2025年3月发布《实施规定》，细化反制措施执行规则。</w:t>
      </w:r>
    </w:p>
    <w:p w14:paraId="6A21C1F5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主要内容：</w:t>
      </w:r>
    </w:p>
    <w:p w14:paraId="5B0A0044">
      <w:pPr>
        <w:numPr>
          <w:ilvl w:val="0"/>
          <w:numId w:val="0"/>
        </w:numPr>
        <w:bidi w:val="0"/>
        <w:ind w:firstLine="640" w:firstLineChars="200"/>
        <w:rPr>
          <w:rFonts w:hint="eastAsia"/>
        </w:rPr>
      </w:pPr>
      <w:r>
        <w:rPr>
          <w:rFonts w:hint="eastAsia" w:ascii="Times New Roman" w:hAnsi="Times New Roman" w:eastAsia="方正仿宋_GBK" w:cstheme="minorBidi"/>
          <w:kern w:val="2"/>
          <w:sz w:val="32"/>
          <w:szCs w:val="24"/>
          <w:lang w:val="en-US" w:eastAsia="zh-CN" w:bidi="ar-SA"/>
        </w:rPr>
        <w:t>（1）</w:t>
      </w:r>
      <w:r>
        <w:rPr>
          <w:rFonts w:hint="eastAsia"/>
        </w:rPr>
        <w:t>反制清单：明确将参与制定、实施歧视性措施的外国个人、组织及其关联方列入清单。</w:t>
      </w:r>
    </w:p>
    <w:p w14:paraId="6BC657CF">
      <w:pPr>
        <w:numPr>
          <w:ilvl w:val="0"/>
          <w:numId w:val="0"/>
        </w:numPr>
        <w:bidi w:val="0"/>
        <w:ind w:firstLine="640" w:firstLineChars="200"/>
        <w:rPr>
          <w:rFonts w:hint="eastAsia"/>
        </w:rPr>
      </w:pPr>
      <w:r>
        <w:rPr>
          <w:rFonts w:hint="eastAsia"/>
          <w:lang w:val="en-US" w:eastAsia="zh-CN"/>
        </w:rPr>
        <w:t>（2）</w:t>
      </w:r>
      <w:r>
        <w:rPr>
          <w:rFonts w:hint="eastAsia"/>
        </w:rPr>
        <w:t>措施类型：包括限制入境、冻结资产、禁止交易等。</w:t>
      </w:r>
    </w:p>
    <w:p w14:paraId="60856CF9">
      <w:pPr>
        <w:numPr>
          <w:ilvl w:val="0"/>
          <w:numId w:val="0"/>
        </w:numPr>
        <w:bidi w:val="0"/>
        <w:ind w:firstLine="640" w:firstLineChars="20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3）</w:t>
      </w:r>
      <w:r>
        <w:rPr>
          <w:rFonts w:hint="eastAsia"/>
        </w:rPr>
        <w:t>执行机制：设立跨部门协调机制，明确外交部、商务部等部门职责分工，建立反制措施暂停、变更程序。</w:t>
      </w:r>
    </w:p>
    <w:p w14:paraId="64769A91">
      <w:pPr>
        <w:pStyle w:val="4"/>
        <w:bidi w:val="0"/>
        <w:rPr>
          <w:rFonts w:hint="eastAsia"/>
        </w:rPr>
      </w:pPr>
      <w:bookmarkStart w:id="18" w:name="_Toc18924"/>
      <w:r>
        <w:rPr>
          <w:rFonts w:hint="eastAsia"/>
        </w:rPr>
        <w:t>2.《阻断外国法律与措施不当域外适用办法》</w:t>
      </w:r>
      <w:bookmarkEnd w:id="18"/>
    </w:p>
    <w:p w14:paraId="3707446C">
      <w:pPr>
        <w:bidi w:val="0"/>
        <w:rPr>
          <w:rFonts w:hint="eastAsia"/>
        </w:rPr>
      </w:pPr>
      <w:r>
        <w:rPr>
          <w:rFonts w:hint="eastAsia"/>
          <w:b/>
          <w:bCs/>
        </w:rPr>
        <w:t>适用范围：</w:t>
      </w:r>
      <w:r>
        <w:rPr>
          <w:rFonts w:hint="eastAsia"/>
        </w:rPr>
        <w:t>针对外国法律不当限制中国企业与第三国经贸活动的“次级制裁”，例如美国对华为的芯片禁令。</w:t>
      </w:r>
    </w:p>
    <w:p w14:paraId="25CEA36B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制度设计：</w:t>
      </w:r>
    </w:p>
    <w:p w14:paraId="6A19EA81">
      <w:pPr>
        <w:bidi w:val="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禁令制度：商务部可发布禁令，禁止承认、执行外国不当措施，2025年对美光纤反倾销案中援引该办法阻断美企规避行为。</w:t>
      </w:r>
    </w:p>
    <w:p w14:paraId="0226FDFC">
      <w:pPr>
        <w:bidi w:val="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司法救济：企业可起诉协助执行外国制裁的主体，如某海洋工程公司通过诉讼迫使外方申请支付许可。</w:t>
      </w:r>
    </w:p>
    <w:p w14:paraId="6AD24E16">
      <w:pPr>
        <w:pStyle w:val="4"/>
        <w:bidi w:val="0"/>
        <w:rPr>
          <w:rFonts w:hint="eastAsia"/>
        </w:rPr>
      </w:pPr>
      <w:bookmarkStart w:id="19" w:name="_Toc13223"/>
      <w:r>
        <w:rPr>
          <w:rFonts w:hint="eastAsia"/>
        </w:rPr>
        <w:t>3.《对外贸易法》与《不可靠实体清单规定》</w:t>
      </w:r>
      <w:bookmarkEnd w:id="19"/>
    </w:p>
    <w:p w14:paraId="68533420">
      <w:pPr>
        <w:bidi w:val="0"/>
        <w:rPr>
          <w:rFonts w:hint="eastAsia"/>
        </w:rPr>
      </w:pPr>
      <w:r>
        <w:rPr>
          <w:rFonts w:hint="eastAsia"/>
          <w:b/>
          <w:bCs/>
        </w:rPr>
        <w:t>反制条款：</w:t>
      </w:r>
      <w:r>
        <w:rPr>
          <w:rFonts w:hint="eastAsia"/>
        </w:rPr>
        <w:t>授权对滥用贸易救济措施的国家采取对等措施，2025年对美光纤发起反规避调查即依据该法第三十六条。</w:t>
      </w:r>
    </w:p>
    <w:p w14:paraId="27D8B2EB">
      <w:pPr>
        <w:bidi w:val="0"/>
        <w:rPr>
          <w:rFonts w:hint="eastAsia"/>
        </w:rPr>
      </w:pPr>
      <w:r>
        <w:rPr>
          <w:rFonts w:hint="eastAsia"/>
          <w:b/>
          <w:bCs/>
        </w:rPr>
        <w:t>不可靠实体清单：</w:t>
      </w:r>
      <w:r>
        <w:rPr>
          <w:rFonts w:hint="eastAsia"/>
        </w:rPr>
        <w:t>2025年将因美纳（Illumina）等企业列入清单，因其中断与中国企业合作，导致其在华营收同比下滑35%。</w:t>
      </w:r>
    </w:p>
    <w:p w14:paraId="3A327526">
      <w:pPr>
        <w:pStyle w:val="3"/>
        <w:bidi w:val="0"/>
        <w:rPr>
          <w:rFonts w:hint="eastAsia"/>
        </w:rPr>
      </w:pPr>
      <w:bookmarkStart w:id="20" w:name="_Toc7858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二</w:t>
      </w:r>
      <w:r>
        <w:rPr>
          <w:rFonts w:hint="eastAsia"/>
          <w:lang w:eastAsia="zh-CN"/>
        </w:rPr>
        <w:t>）</w:t>
      </w:r>
      <w:r>
        <w:rPr>
          <w:rFonts w:hint="eastAsia"/>
        </w:rPr>
        <w:t>多维反制措施</w:t>
      </w:r>
      <w:bookmarkEnd w:id="20"/>
    </w:p>
    <w:p w14:paraId="55F7BD0C">
      <w:pPr>
        <w:pStyle w:val="4"/>
        <w:bidi w:val="0"/>
        <w:rPr>
          <w:rFonts w:hint="eastAsia"/>
        </w:rPr>
      </w:pPr>
      <w:bookmarkStart w:id="21" w:name="_Toc5006"/>
      <w:r>
        <w:rPr>
          <w:rFonts w:hint="eastAsia"/>
        </w:rPr>
        <w:t>1.关税与贸易管制</w:t>
      </w:r>
      <w:bookmarkEnd w:id="21"/>
    </w:p>
    <w:p w14:paraId="69DE4B27">
      <w:pPr>
        <w:bidi w:val="0"/>
        <w:rPr>
          <w:rFonts w:hint="eastAsia"/>
        </w:rPr>
      </w:pPr>
      <w:r>
        <w:rPr>
          <w:rFonts w:hint="eastAsia"/>
          <w:b/>
          <w:bCs/>
        </w:rPr>
        <w:t>关税反制：</w:t>
      </w:r>
      <w:r>
        <w:rPr>
          <w:rFonts w:hint="eastAsia"/>
        </w:rPr>
        <w:t>2025年针对美国“对等关税”政策，对美进口商品加征最高125%关税，涉及鸡肉、小麦、大豆等农产品及工业制品，迫使美方重启谈判。</w:t>
      </w:r>
    </w:p>
    <w:p w14:paraId="3D6644B7">
      <w:pPr>
        <w:bidi w:val="0"/>
        <w:rPr>
          <w:rFonts w:hint="eastAsia"/>
        </w:rPr>
      </w:pPr>
      <w:r>
        <w:rPr>
          <w:rFonts w:hint="eastAsia"/>
          <w:b/>
          <w:bCs/>
        </w:rPr>
        <w:t>出口管制：</w:t>
      </w:r>
      <w:r>
        <w:rPr>
          <w:rFonts w:hint="eastAsia"/>
        </w:rPr>
        <w:t>叠加《出口管制法》，对镓、锗等关键矿产及稀土实施技术封锁，导致国际氧化镝价格飙升210%-310%，直接影响美军工供应链。</w:t>
      </w:r>
    </w:p>
    <w:p w14:paraId="2E3B0C83">
      <w:pPr>
        <w:pStyle w:val="4"/>
        <w:bidi w:val="0"/>
        <w:rPr>
          <w:rFonts w:hint="eastAsia"/>
        </w:rPr>
      </w:pPr>
      <w:bookmarkStart w:id="22" w:name="_Toc18163"/>
      <w:r>
        <w:rPr>
          <w:rFonts w:hint="eastAsia"/>
        </w:rPr>
        <w:t>2.法律诉讼与执法协作</w:t>
      </w:r>
      <w:bookmarkEnd w:id="22"/>
    </w:p>
    <w:p w14:paraId="441395BF">
      <w:pPr>
        <w:bidi w:val="0"/>
        <w:rPr>
          <w:rFonts w:hint="eastAsia"/>
        </w:rPr>
      </w:pPr>
      <w:r>
        <w:rPr>
          <w:rFonts w:hint="eastAsia"/>
          <w:b/>
          <w:bCs/>
        </w:rPr>
        <w:t>WTO争端解决：</w:t>
      </w:r>
      <w:r>
        <w:rPr>
          <w:rFonts w:hint="eastAsia"/>
        </w:rPr>
        <w:t>2025年就美国《通胀削减法》和“芬太尼税”提起诉讼，同时针对美多次加税措施累计发起6起诉讼，推动多边规则重塑。</w:t>
      </w:r>
    </w:p>
    <w:p w14:paraId="0CBE83F6">
      <w:pPr>
        <w:bidi w:val="0"/>
        <w:rPr>
          <w:rFonts w:hint="eastAsia"/>
        </w:rPr>
      </w:pPr>
      <w:r>
        <w:rPr>
          <w:rFonts w:hint="eastAsia"/>
          <w:b/>
          <w:bCs/>
        </w:rPr>
        <w:t>多部门联合执法：</w:t>
      </w:r>
      <w:r>
        <w:rPr>
          <w:rFonts w:hint="eastAsia"/>
        </w:rPr>
        <w:t>商务部、海关总署等协作查处稀土走私案件，2023年涉案企业被处以货值五倍罚款，并追究刑事责任。</w:t>
      </w:r>
    </w:p>
    <w:p w14:paraId="10682CBA">
      <w:pPr>
        <w:pStyle w:val="4"/>
        <w:bidi w:val="0"/>
        <w:rPr>
          <w:rFonts w:hint="eastAsia"/>
        </w:rPr>
      </w:pPr>
      <w:bookmarkStart w:id="23" w:name="_Toc6915"/>
      <w:r>
        <w:rPr>
          <w:rFonts w:hint="eastAsia"/>
        </w:rPr>
        <w:t>3.国际合作与规则博弈</w:t>
      </w:r>
      <w:bookmarkEnd w:id="23"/>
    </w:p>
    <w:p w14:paraId="24C3D8E5">
      <w:pPr>
        <w:bidi w:val="0"/>
        <w:rPr>
          <w:rFonts w:hint="eastAsia"/>
        </w:rPr>
      </w:pPr>
      <w:r>
        <w:rPr>
          <w:rFonts w:hint="eastAsia"/>
          <w:b/>
          <w:bCs/>
        </w:rPr>
        <w:t>多边机制：</w:t>
      </w:r>
      <w:r>
        <w:rPr>
          <w:rFonts w:hint="eastAsia"/>
        </w:rPr>
        <w:t>通过金砖国家、上合组织协调立场，2025年4月外交部呼吁金砖国家共同抵制美国关税霸凌，推动建立公平贸易规则。</w:t>
      </w:r>
    </w:p>
    <w:p w14:paraId="05EC47E5">
      <w:pPr>
        <w:bidi w:val="0"/>
        <w:rPr>
          <w:rFonts w:hint="eastAsia"/>
        </w:rPr>
      </w:pPr>
      <w:r>
        <w:rPr>
          <w:rFonts w:hint="eastAsia"/>
          <w:b/>
          <w:bCs/>
        </w:rPr>
        <w:t>对等反制：</w:t>
      </w:r>
      <w:r>
        <w:rPr>
          <w:rFonts w:hint="eastAsia"/>
        </w:rPr>
        <w:t>依据《反外国制裁法》对美企实施“不可靠实体清单”和司法诉讼，例如对美煤炭加征关税的同时，将16家美企列入出口管制名单。</w:t>
      </w:r>
    </w:p>
    <w:p w14:paraId="69734038">
      <w:pPr>
        <w:pStyle w:val="3"/>
        <w:bidi w:val="0"/>
        <w:rPr>
          <w:rFonts w:hint="eastAsia"/>
        </w:rPr>
      </w:pPr>
      <w:bookmarkStart w:id="24" w:name="_Toc10122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三</w:t>
      </w:r>
      <w:r>
        <w:rPr>
          <w:rFonts w:hint="eastAsia"/>
          <w:lang w:eastAsia="zh-CN"/>
        </w:rPr>
        <w:t>）</w:t>
      </w:r>
      <w:r>
        <w:rPr>
          <w:rFonts w:hint="eastAsia"/>
        </w:rPr>
        <w:t>执行机制与企业合规</w:t>
      </w:r>
      <w:bookmarkEnd w:id="24"/>
    </w:p>
    <w:p w14:paraId="2DECED3D">
      <w:pPr>
        <w:pStyle w:val="4"/>
        <w:bidi w:val="0"/>
        <w:rPr>
          <w:rFonts w:hint="eastAsia"/>
        </w:rPr>
      </w:pPr>
      <w:bookmarkStart w:id="25" w:name="_Toc11651"/>
      <w:r>
        <w:rPr>
          <w:rFonts w:hint="eastAsia"/>
        </w:rPr>
        <w:t>1.出口许可与最终用户管理</w:t>
      </w:r>
      <w:bookmarkEnd w:id="25"/>
    </w:p>
    <w:p w14:paraId="358A14DB">
      <w:pPr>
        <w:bidi w:val="0"/>
        <w:rPr>
          <w:rFonts w:hint="eastAsia"/>
        </w:rPr>
      </w:pPr>
      <w:r>
        <w:rPr>
          <w:rFonts w:hint="eastAsia"/>
          <w:b/>
          <w:bCs/>
        </w:rPr>
        <w:t>分类审批：</w:t>
      </w:r>
      <w:r>
        <w:rPr>
          <w:rFonts w:hint="eastAsia"/>
        </w:rPr>
        <w:t>分单项许可、通用许可和登记填报，2021年起实施无纸化审批，缩短办证时间5-7天。</w:t>
      </w:r>
    </w:p>
    <w:p w14:paraId="7401A7A0">
      <w:pPr>
        <w:bidi w:val="0"/>
        <w:rPr>
          <w:rFonts w:hint="eastAsia"/>
        </w:rPr>
      </w:pPr>
      <w:r>
        <w:rPr>
          <w:rFonts w:hint="eastAsia"/>
          <w:b/>
          <w:bCs/>
        </w:rPr>
        <w:t>风险管控：</w:t>
      </w:r>
      <w:r>
        <w:rPr>
          <w:rFonts w:hint="eastAsia"/>
        </w:rPr>
        <w:t>要求企业提交最终用户证明，2025年将28家美企列入管控名单，禁止两用物项出口。</w:t>
      </w:r>
    </w:p>
    <w:p w14:paraId="1882DBDE">
      <w:pPr>
        <w:pStyle w:val="4"/>
        <w:bidi w:val="0"/>
        <w:rPr>
          <w:rFonts w:hint="eastAsia"/>
        </w:rPr>
      </w:pPr>
      <w:bookmarkStart w:id="26" w:name="_Toc2011"/>
      <w:r>
        <w:rPr>
          <w:rFonts w:hint="eastAsia"/>
        </w:rPr>
        <w:t>2.企业应对策略</w:t>
      </w:r>
      <w:bookmarkEnd w:id="26"/>
    </w:p>
    <w:p w14:paraId="7896F302">
      <w:pPr>
        <w:bidi w:val="0"/>
        <w:rPr>
          <w:rFonts w:hint="eastAsia"/>
        </w:rPr>
      </w:pPr>
      <w:r>
        <w:rPr>
          <w:rFonts w:hint="eastAsia"/>
          <w:b/>
          <w:bCs/>
        </w:rPr>
        <w:t>合规审查：</w:t>
      </w:r>
      <w:r>
        <w:rPr>
          <w:rFonts w:hint="eastAsia"/>
        </w:rPr>
        <w:t>建立涉制裁风险评估体系，如某海洋工程公司通过申请支付许可避免违约风险。</w:t>
      </w:r>
    </w:p>
    <w:p w14:paraId="5B539EC9">
      <w:pPr>
        <w:bidi w:val="0"/>
      </w:pPr>
      <w:r>
        <w:rPr>
          <w:rFonts w:hint="eastAsia"/>
          <w:b/>
          <w:bCs/>
        </w:rPr>
        <w:t>法律救济：</w:t>
      </w:r>
      <w:r>
        <w:rPr>
          <w:rFonts w:hint="eastAsia"/>
        </w:rPr>
        <w:t>利用《反外国制裁法》第十二条提起诉讼，2025年首例案件中企业通过调解获赔，开创司法先例。</w:t>
      </w:r>
    </w:p>
    <w:p w14:paraId="6BC972AC">
      <w:pPr>
        <w:pStyle w:val="2"/>
        <w:bidi w:val="0"/>
        <w:rPr>
          <w:rFonts w:hint="eastAsia"/>
          <w:lang w:val="en-US" w:eastAsia="zh-CN"/>
        </w:rPr>
      </w:pPr>
      <w:r>
        <w:br w:type="page"/>
      </w:r>
      <w:bookmarkStart w:id="27" w:name="_Toc17676"/>
      <w:bookmarkStart w:id="28" w:name="_Toc10043"/>
      <w:r>
        <w:rPr>
          <w:rFonts w:hint="eastAsia"/>
          <w:lang w:val="en-US" w:eastAsia="zh-CN"/>
        </w:rPr>
        <w:t>四、</w:t>
      </w:r>
      <w:bookmarkEnd w:id="27"/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t>022年以来的出口管制公告及具体物项清单、技术参数、适用标准等细节内容</w:t>
      </w:r>
      <w:bookmarkEnd w:id="28"/>
    </w:p>
    <w:p w14:paraId="7E3C7BD2">
      <w:pPr>
        <w:bidi w:val="0"/>
        <w:ind w:left="0" w:leftChars="0" w:firstLine="0" w:firstLineChars="0"/>
        <w:outlineLvl w:val="9"/>
        <w:rPr>
          <w:rFonts w:hint="eastAsia" w:ascii="Times New Roman" w:hAnsi="Times New Roman" w:eastAsia="方正仿宋_GBK" w:cstheme="minorBidi"/>
          <w:b w:val="0"/>
          <w:kern w:val="2"/>
          <w:sz w:val="32"/>
          <w:szCs w:val="24"/>
          <w:lang w:val="en-US" w:eastAsia="zh-CN" w:bidi="ar-SA"/>
        </w:rPr>
      </w:pPr>
      <w:r>
        <w:rPr>
          <w:rFonts w:hint="eastAsia" w:ascii="Times New Roman" w:hAnsi="Times New Roman" w:eastAsia="方正仿宋_GBK" w:cstheme="minorBidi"/>
          <w:b w:val="0"/>
          <w:kern w:val="2"/>
          <w:sz w:val="32"/>
          <w:szCs w:val="24"/>
          <w:lang w:val="en-US" w:eastAsia="zh-CN" w:bidi="ar-SA"/>
        </w:rPr>
        <w:t>注释:具体公告原文内容详见附件</w:t>
      </w:r>
    </w:p>
    <w:tbl>
      <w:tblPr>
        <w:tblStyle w:val="11"/>
        <w:tblW w:w="5093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3698"/>
        <w:gridCol w:w="1409"/>
        <w:gridCol w:w="2016"/>
      </w:tblGrid>
      <w:tr w14:paraId="0043F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EA79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公告号</w:t>
            </w:r>
          </w:p>
        </w:tc>
        <w:tc>
          <w:tcPr>
            <w:tcW w:w="2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1142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公告内容</w:t>
            </w:r>
          </w:p>
        </w:tc>
        <w:tc>
          <w:tcPr>
            <w:tcW w:w="8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17E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发布单位</w:t>
            </w:r>
          </w:p>
        </w:tc>
        <w:tc>
          <w:tcPr>
            <w:tcW w:w="11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0B65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发布日期</w:t>
            </w:r>
          </w:p>
        </w:tc>
      </w:tr>
      <w:tr w14:paraId="622181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D50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2022年第31号</w:t>
            </w:r>
          </w:p>
        </w:tc>
        <w:tc>
          <w:tcPr>
            <w:tcW w:w="2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2B4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高压水炮类产品</w:t>
            </w:r>
          </w:p>
        </w:tc>
        <w:tc>
          <w:tcPr>
            <w:tcW w:w="8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162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安全与管制局</w:t>
            </w:r>
          </w:p>
        </w:tc>
        <w:tc>
          <w:tcPr>
            <w:tcW w:w="11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FFA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2022年11月1日</w:t>
            </w:r>
          </w:p>
        </w:tc>
      </w:tr>
      <w:tr w14:paraId="650EC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43E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2023年第23号</w:t>
            </w:r>
          </w:p>
        </w:tc>
        <w:tc>
          <w:tcPr>
            <w:tcW w:w="2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7D8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镓、锗相关物项</w:t>
            </w:r>
          </w:p>
        </w:tc>
        <w:tc>
          <w:tcPr>
            <w:tcW w:w="8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09E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安全与管制局</w:t>
            </w:r>
          </w:p>
        </w:tc>
        <w:tc>
          <w:tcPr>
            <w:tcW w:w="11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907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2023年7月3日</w:t>
            </w:r>
          </w:p>
        </w:tc>
      </w:tr>
      <w:tr w14:paraId="33168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4C7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2023年第27号</w:t>
            </w:r>
          </w:p>
        </w:tc>
        <w:tc>
          <w:tcPr>
            <w:tcW w:w="2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ACC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无人机相关物项</w:t>
            </w:r>
          </w:p>
        </w:tc>
        <w:tc>
          <w:tcPr>
            <w:tcW w:w="8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6888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安全与管制局</w:t>
            </w:r>
          </w:p>
        </w:tc>
        <w:tc>
          <w:tcPr>
            <w:tcW w:w="11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C88D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2023年7月31日</w:t>
            </w:r>
          </w:p>
        </w:tc>
      </w:tr>
      <w:tr w14:paraId="35F27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19E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2023年第28号</w:t>
            </w:r>
          </w:p>
        </w:tc>
        <w:tc>
          <w:tcPr>
            <w:tcW w:w="2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F7C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部分无人机</w:t>
            </w:r>
          </w:p>
        </w:tc>
        <w:tc>
          <w:tcPr>
            <w:tcW w:w="8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CB0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安全与管制局</w:t>
            </w:r>
          </w:p>
        </w:tc>
        <w:tc>
          <w:tcPr>
            <w:tcW w:w="11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C1BD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2023年7月31日</w:t>
            </w:r>
          </w:p>
        </w:tc>
      </w:tr>
      <w:tr w14:paraId="19834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1986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2023年第39号</w:t>
            </w:r>
          </w:p>
        </w:tc>
        <w:tc>
          <w:tcPr>
            <w:tcW w:w="2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827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优化调整石墨物项</w:t>
            </w:r>
          </w:p>
        </w:tc>
        <w:tc>
          <w:tcPr>
            <w:tcW w:w="8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CDA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安全与管制局</w:t>
            </w:r>
          </w:p>
        </w:tc>
        <w:tc>
          <w:tcPr>
            <w:tcW w:w="11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35B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2023年10月20日</w:t>
            </w:r>
          </w:p>
        </w:tc>
      </w:tr>
      <w:tr w14:paraId="227DF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68BA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2024年第21号</w:t>
            </w:r>
          </w:p>
        </w:tc>
        <w:tc>
          <w:tcPr>
            <w:tcW w:w="2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C4DC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航空航天有关物项</w:t>
            </w:r>
          </w:p>
        </w:tc>
        <w:tc>
          <w:tcPr>
            <w:tcW w:w="8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E21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安全与管制局</w:t>
            </w:r>
          </w:p>
        </w:tc>
        <w:tc>
          <w:tcPr>
            <w:tcW w:w="11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2AA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2024年5月30日</w:t>
            </w:r>
          </w:p>
        </w:tc>
      </w:tr>
      <w:tr w14:paraId="46124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5B5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2024年第31号</w:t>
            </w:r>
          </w:p>
        </w:tc>
        <w:tc>
          <w:tcPr>
            <w:tcW w:w="2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17A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优化调整无人机</w:t>
            </w:r>
          </w:p>
        </w:tc>
        <w:tc>
          <w:tcPr>
            <w:tcW w:w="8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5A5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安全与管制局</w:t>
            </w:r>
          </w:p>
        </w:tc>
        <w:tc>
          <w:tcPr>
            <w:tcW w:w="11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474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2024年7月31日</w:t>
            </w:r>
          </w:p>
        </w:tc>
      </w:tr>
      <w:tr w14:paraId="6CC51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003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2024年第33号</w:t>
            </w:r>
          </w:p>
        </w:tc>
        <w:tc>
          <w:tcPr>
            <w:tcW w:w="2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623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锑等物项</w:t>
            </w:r>
          </w:p>
        </w:tc>
        <w:tc>
          <w:tcPr>
            <w:tcW w:w="8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315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安全与管制局</w:t>
            </w:r>
          </w:p>
        </w:tc>
        <w:tc>
          <w:tcPr>
            <w:tcW w:w="11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AE88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2024年8月15日</w:t>
            </w:r>
          </w:p>
        </w:tc>
      </w:tr>
      <w:tr w14:paraId="19944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9CC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2024年第51号</w:t>
            </w:r>
          </w:p>
        </w:tc>
        <w:tc>
          <w:tcPr>
            <w:tcW w:w="2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F00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两用物项</w:t>
            </w:r>
          </w:p>
        </w:tc>
        <w:tc>
          <w:tcPr>
            <w:tcW w:w="8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365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安全与管制局</w:t>
            </w:r>
          </w:p>
        </w:tc>
        <w:tc>
          <w:tcPr>
            <w:tcW w:w="11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4BC0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2024年11月15日</w:t>
            </w:r>
          </w:p>
        </w:tc>
      </w:tr>
      <w:tr w14:paraId="0DA86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BEF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2024年第46号</w:t>
            </w:r>
          </w:p>
        </w:tc>
        <w:tc>
          <w:tcPr>
            <w:tcW w:w="2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53B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加强相关两用物项</w:t>
            </w:r>
          </w:p>
        </w:tc>
        <w:tc>
          <w:tcPr>
            <w:tcW w:w="8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AF0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安全与管制局</w:t>
            </w:r>
          </w:p>
        </w:tc>
        <w:tc>
          <w:tcPr>
            <w:tcW w:w="11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090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2024年12月3日</w:t>
            </w:r>
          </w:p>
        </w:tc>
      </w:tr>
      <w:tr w14:paraId="1166F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16DA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2025年第1号</w:t>
            </w:r>
          </w:p>
        </w:tc>
        <w:tc>
          <w:tcPr>
            <w:tcW w:w="2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59B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将28家美国实体列入出口管制管控名单</w:t>
            </w:r>
          </w:p>
        </w:tc>
        <w:tc>
          <w:tcPr>
            <w:tcW w:w="8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7A8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安全与管制局</w:t>
            </w:r>
          </w:p>
        </w:tc>
        <w:tc>
          <w:tcPr>
            <w:tcW w:w="11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6107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2025年1月2日</w:t>
            </w:r>
          </w:p>
        </w:tc>
      </w:tr>
      <w:tr w14:paraId="064C7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B05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2025年第10号</w:t>
            </w:r>
          </w:p>
        </w:tc>
        <w:tc>
          <w:tcPr>
            <w:tcW w:w="2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BE3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钨、碲、铋、钼、铟相关物项</w:t>
            </w:r>
          </w:p>
        </w:tc>
        <w:tc>
          <w:tcPr>
            <w:tcW w:w="8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BD0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安全与管制局</w:t>
            </w:r>
          </w:p>
        </w:tc>
        <w:tc>
          <w:tcPr>
            <w:tcW w:w="11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194E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2025年2月4日</w:t>
            </w:r>
          </w:p>
        </w:tc>
      </w:tr>
      <w:tr w14:paraId="5F987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464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2025年第13号</w:t>
            </w:r>
          </w:p>
        </w:tc>
        <w:tc>
          <w:tcPr>
            <w:tcW w:w="2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614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15家美国实体列入出口管制管控名单</w:t>
            </w:r>
          </w:p>
        </w:tc>
        <w:tc>
          <w:tcPr>
            <w:tcW w:w="8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FA6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安全与管制局</w:t>
            </w:r>
          </w:p>
        </w:tc>
        <w:tc>
          <w:tcPr>
            <w:tcW w:w="11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989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2025年3月4日</w:t>
            </w:r>
          </w:p>
        </w:tc>
      </w:tr>
      <w:tr w14:paraId="1D28A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FA1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2025年第18号</w:t>
            </w:r>
          </w:p>
        </w:tc>
        <w:tc>
          <w:tcPr>
            <w:tcW w:w="2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716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部分中重稀土相关物项</w:t>
            </w:r>
          </w:p>
        </w:tc>
        <w:tc>
          <w:tcPr>
            <w:tcW w:w="8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606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安全与管制局</w:t>
            </w:r>
          </w:p>
        </w:tc>
        <w:tc>
          <w:tcPr>
            <w:tcW w:w="11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9AD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2025年4月4日</w:t>
            </w:r>
          </w:p>
        </w:tc>
      </w:tr>
      <w:tr w14:paraId="6D542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57C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2025年第21号</w:t>
            </w:r>
          </w:p>
        </w:tc>
        <w:tc>
          <w:tcPr>
            <w:tcW w:w="2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F482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将16家美国实体列入出口管制管控名单</w:t>
            </w:r>
          </w:p>
        </w:tc>
        <w:tc>
          <w:tcPr>
            <w:tcW w:w="8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A05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安全与管制局</w:t>
            </w:r>
          </w:p>
        </w:tc>
        <w:tc>
          <w:tcPr>
            <w:tcW w:w="11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6F9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2025年4月4日</w:t>
            </w:r>
          </w:p>
        </w:tc>
      </w:tr>
      <w:tr w14:paraId="13A82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4DE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2025年第7号</w:t>
            </w:r>
          </w:p>
        </w:tc>
        <w:tc>
          <w:tcPr>
            <w:tcW w:w="2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551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将11家美国企业列入不可靠实体清单</w:t>
            </w:r>
          </w:p>
        </w:tc>
        <w:tc>
          <w:tcPr>
            <w:tcW w:w="8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380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安全与管制局</w:t>
            </w:r>
          </w:p>
        </w:tc>
        <w:tc>
          <w:tcPr>
            <w:tcW w:w="11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E4BE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2025年4月4日</w:t>
            </w:r>
          </w:p>
        </w:tc>
      </w:tr>
      <w:tr w14:paraId="4BAA9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FCC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2025年第22号</w:t>
            </w:r>
          </w:p>
        </w:tc>
        <w:tc>
          <w:tcPr>
            <w:tcW w:w="2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C03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将12家美国实体列入出口管制管控名单</w:t>
            </w:r>
          </w:p>
        </w:tc>
        <w:tc>
          <w:tcPr>
            <w:tcW w:w="8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670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安全与管制局</w:t>
            </w:r>
          </w:p>
        </w:tc>
        <w:tc>
          <w:tcPr>
            <w:tcW w:w="11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AEC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2025年4月9日</w:t>
            </w:r>
          </w:p>
        </w:tc>
      </w:tr>
      <w:tr w14:paraId="1853A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FA7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2025年第8号 </w:t>
            </w:r>
          </w:p>
        </w:tc>
        <w:tc>
          <w:tcPr>
            <w:tcW w:w="21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0334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将6家美国企业列入不可靠实体清单</w:t>
            </w:r>
          </w:p>
        </w:tc>
        <w:tc>
          <w:tcPr>
            <w:tcW w:w="8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8555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安全与管制局</w:t>
            </w:r>
          </w:p>
        </w:tc>
        <w:tc>
          <w:tcPr>
            <w:tcW w:w="11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14E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2025年4月9日</w:t>
            </w:r>
          </w:p>
        </w:tc>
      </w:tr>
    </w:tbl>
    <w:p w14:paraId="6FD5B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ind w:left="0" w:leftChars="0" w:firstLine="0" w:firstLineChars="0"/>
        <w:textAlignment w:val="auto"/>
        <w:rPr>
          <w:vanish/>
          <w:sz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56DCE"/>
    <w:rsid w:val="0DB51CE4"/>
    <w:rsid w:val="0E8042DE"/>
    <w:rsid w:val="0F346D49"/>
    <w:rsid w:val="11927A40"/>
    <w:rsid w:val="22394A78"/>
    <w:rsid w:val="22EE7A6F"/>
    <w:rsid w:val="23A93537"/>
    <w:rsid w:val="27BA0A31"/>
    <w:rsid w:val="289A5B44"/>
    <w:rsid w:val="30B21334"/>
    <w:rsid w:val="321E77E6"/>
    <w:rsid w:val="41741A7D"/>
    <w:rsid w:val="439B3F9B"/>
    <w:rsid w:val="4727303E"/>
    <w:rsid w:val="4729079A"/>
    <w:rsid w:val="4C013C83"/>
    <w:rsid w:val="551B5793"/>
    <w:rsid w:val="56E47159"/>
    <w:rsid w:val="5E7D301B"/>
    <w:rsid w:val="5FD11E68"/>
    <w:rsid w:val="694E1F35"/>
    <w:rsid w:val="72266504"/>
    <w:rsid w:val="73DC65DE"/>
    <w:rsid w:val="7C5B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ind w:firstLine="420" w:firstLineChars="200"/>
      <w:jc w:val="both"/>
    </w:pPr>
    <w:rPr>
      <w:rFonts w:ascii="Times New Roman" w:hAnsi="Times New Roman" w:eastAsia="方正仿宋_GBK" w:cstheme="minorBidi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560" w:lineRule="exact"/>
      <w:ind w:firstLine="0" w:firstLineChars="0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unhideWhenUsed/>
    <w:qFormat/>
    <w:uiPriority w:val="0"/>
    <w:pPr>
      <w:spacing w:beforeAutospacing="0" w:after="0" w:afterAutospacing="0" w:line="560" w:lineRule="exact"/>
      <w:ind w:firstLine="0" w:firstLineChars="0"/>
      <w:jc w:val="left"/>
      <w:outlineLvl w:val="1"/>
    </w:pPr>
    <w:rPr>
      <w:rFonts w:hint="eastAsia" w:eastAsia="黑体" w:cs="Times New Roman"/>
      <w:b/>
      <w:bCs/>
      <w:kern w:val="0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560" w:lineRule="exact"/>
      <w:outlineLvl w:val="2"/>
    </w:pPr>
    <w:rPr>
      <w:rFonts w:eastAsia="黑体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ind w:firstLine="210" w:firstLineChars="10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8">
    <w:name w:val="toc 1"/>
    <w:basedOn w:val="1"/>
    <w:next w:val="1"/>
    <w:qFormat/>
    <w:uiPriority w:val="0"/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basedOn w:val="12"/>
    <w:qFormat/>
    <w:uiPriority w:val="0"/>
    <w:rPr>
      <w:color w:val="0000FF"/>
      <w:u w:val="single"/>
    </w:rPr>
  </w:style>
  <w:style w:type="character" w:customStyle="1" w:styleId="15">
    <w:name w:val="页脚 字符"/>
    <w:basedOn w:val="12"/>
    <w:link w:val="7"/>
    <w:autoRedefine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4265</Words>
  <Characters>4678</Characters>
  <Lines>0</Lines>
  <Paragraphs>0</Paragraphs>
  <TotalTime>0</TotalTime>
  <ScaleCrop>false</ScaleCrop>
  <LinksUpToDate>false</LinksUpToDate>
  <CharactersWithSpaces>4707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2024-06-17T02:41:00Z</dcterms:created>
  <dc:creator>v-zhenghailong1</dc:creator>
  <cp:lastModifiedBy>李双双</cp:lastModifiedBy>
  <dcterms:modified xsi:type="dcterms:W3CDTF">2025-05-26T09:16:26Z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657BEDB0DC0E40AD8BCA345D416E74A6_13</vt:lpwstr>
  </property>
  <property fmtid="{D5CDD505-2E9C-101B-9397-08002B2CF9AE}" pid="4" name="KSOTemplateDocerSaveRecord">
    <vt:lpwstr>eyJoZGlkIjoiMDdiODBiMzMxZmEwOWYyYTZjZmY4N2Q4ZTRkNDVhMDQiLCJ1c2VySWQiOiIxOTUwMzY3NDUifQ==</vt:lpwstr>
  </property>
</Properties>
</file>