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778" w:rsidRDefault="00980778">
      <w:pPr>
        <w:ind w:firstLineChars="0" w:firstLine="0"/>
        <w:jc w:val="center"/>
        <w:rPr>
          <w:rFonts w:eastAsia="方正小标宋简体" w:cs="Times New Roman"/>
          <w:color w:val="FF0000"/>
          <w:spacing w:val="34"/>
          <w:sz w:val="52"/>
          <w:szCs w:val="52"/>
        </w:rPr>
      </w:pPr>
    </w:p>
    <w:p w:rsidR="00980778" w:rsidRDefault="0054406F">
      <w:pPr>
        <w:ind w:firstLineChars="0" w:firstLine="0"/>
        <w:jc w:val="center"/>
        <w:outlineLvl w:val="0"/>
        <w:rPr>
          <w:rFonts w:eastAsia="方正小标宋简体" w:cs="Times New Roman"/>
          <w:color w:val="FF0000"/>
          <w:spacing w:val="34"/>
          <w:sz w:val="52"/>
          <w:szCs w:val="52"/>
        </w:rPr>
      </w:pPr>
      <w:bookmarkStart w:id="0" w:name="_Toc10923"/>
      <w:bookmarkStart w:id="1" w:name="_Toc28119"/>
      <w:bookmarkStart w:id="2" w:name="_Toc17795"/>
      <w:bookmarkStart w:id="3" w:name="_Toc5661"/>
      <w:bookmarkStart w:id="4" w:name="_Toc1928"/>
      <w:bookmarkStart w:id="5" w:name="_Toc22273"/>
      <w:bookmarkStart w:id="6" w:name="_Toc18969"/>
      <w:bookmarkStart w:id="7" w:name="_Toc9037"/>
      <w:bookmarkStart w:id="8" w:name="_Toc203057427"/>
      <w:bookmarkStart w:id="9" w:name="_Toc203120494"/>
      <w:r>
        <w:rPr>
          <w:rFonts w:eastAsia="方正小标宋简体" w:cs="Times New Roman" w:hint="eastAsia"/>
          <w:color w:val="FF0000"/>
          <w:spacing w:val="34"/>
          <w:sz w:val="52"/>
          <w:szCs w:val="52"/>
        </w:rPr>
        <w:t>出口管制金属（稀土）管制风险挑战与防控策略研究报告</w:t>
      </w:r>
      <w:bookmarkEnd w:id="0"/>
      <w:bookmarkEnd w:id="1"/>
      <w:bookmarkEnd w:id="2"/>
      <w:bookmarkEnd w:id="3"/>
      <w:bookmarkEnd w:id="4"/>
      <w:bookmarkEnd w:id="5"/>
      <w:bookmarkEnd w:id="6"/>
      <w:bookmarkEnd w:id="7"/>
      <w:bookmarkEnd w:id="8"/>
      <w:bookmarkEnd w:id="9"/>
    </w:p>
    <w:p w:rsidR="00980778" w:rsidRDefault="00980778">
      <w:pPr>
        <w:ind w:firstLine="640"/>
        <w:jc w:val="center"/>
        <w:rPr>
          <w:rFonts w:cs="Times New Roman"/>
          <w:color w:val="000000" w:themeColor="text1"/>
        </w:rPr>
      </w:pPr>
    </w:p>
    <w:p w:rsidR="00980778" w:rsidRDefault="0054406F">
      <w:pPr>
        <w:ind w:firstLineChars="0" w:firstLine="0"/>
        <w:rPr>
          <w:rFonts w:ascii="仿宋" w:eastAsiaTheme="minorEastAsia" w:hAnsi="仿宋"/>
        </w:rPr>
      </w:pPr>
      <w:r>
        <w:rPr>
          <w:rFonts w:eastAsia="方正仿宋简体" w:cs="Times New Roman"/>
          <w:noProof/>
          <w:color w:val="000000" w:themeColor="text1"/>
        </w:rPr>
        <mc:AlternateContent>
          <mc:Choice Requires="wps">
            <w:drawing>
              <wp:anchor distT="0" distB="0" distL="114300" distR="114300" simplePos="0" relativeHeight="251658240"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95A7DA" id="直接连接符 29" o:spid="_x0000_s1026" style="position:absolute;left:0;text-align:left;flip:y;z-index:251658240;visibility:visible;mso-wrap-style:square;mso-wrap-distance-left:9pt;mso-wrap-distance-top:0;mso-wrap-distance-right:9pt;mso-wrap-distance-bottom:0;mso-position-horizontal:absolute;mso-position-horizontal-relative:text;mso-position-vertical:absolute;mso-position-vertical-relative:text" from="-4.25pt,26pt" to="42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" strokecolor="red" strokeweight="1.5pt">
                <v:stroke joinstyle="miter"/>
              </v:line>
            </w:pict>
          </mc:Fallback>
        </mc:AlternateContent>
      </w:r>
      <w:r>
        <w:rPr>
          <w:rFonts w:eastAsia="方正仿宋简体" w:cs="Times New Roman"/>
          <w:color w:val="000000" w:themeColor="text1"/>
        </w:rPr>
        <w:t>海关总署风险防控局（黄埔）编</w:t>
      </w:r>
      <w:r>
        <w:rPr>
          <w:rFonts w:eastAsia="方正仿宋简体" w:cs="Times New Roman"/>
          <w:color w:val="000000" w:themeColor="text1"/>
        </w:rPr>
        <w:t xml:space="preserve">  </w:t>
      </w:r>
      <w:r>
        <w:rPr>
          <w:rFonts w:cs="Times New Roman"/>
          <w:color w:val="000000" w:themeColor="text1"/>
        </w:rPr>
        <w:t xml:space="preserve">     </w:t>
      </w:r>
      <w:r>
        <w:rPr>
          <w:rFonts w:eastAsia="方正仿宋简体" w:cs="Times New Roman"/>
          <w:color w:val="000000" w:themeColor="text1"/>
        </w:rPr>
        <w:t xml:space="preserve"> 202</w:t>
      </w:r>
      <w:r>
        <w:rPr>
          <w:rFonts w:eastAsia="方正仿宋简体" w:cs="Times New Roman" w:hint="eastAsia"/>
          <w:color w:val="000000" w:themeColor="text1"/>
        </w:rPr>
        <w:t>5</w:t>
      </w:r>
      <w:r>
        <w:rPr>
          <w:rFonts w:eastAsia="方正仿宋简体" w:cs="Times New Roman" w:hint="eastAsia"/>
          <w:color w:val="000000" w:themeColor="text1"/>
        </w:rPr>
        <w:t>年</w:t>
      </w:r>
      <w:r>
        <w:rPr>
          <w:rFonts w:eastAsia="方正仿宋简体" w:cs="Times New Roman" w:hint="eastAsia"/>
          <w:color w:val="000000" w:themeColor="text1"/>
        </w:rPr>
        <w:t>7</w:t>
      </w:r>
      <w:r>
        <w:rPr>
          <w:rFonts w:eastAsia="方正仿宋简体" w:cs="Times New Roman" w:hint="eastAsia"/>
          <w:color w:val="000000" w:themeColor="text1"/>
        </w:rPr>
        <w:t>月</w:t>
      </w:r>
      <w:r>
        <w:rPr>
          <w:rFonts w:eastAsia="方正仿宋简体" w:cs="Times New Roman" w:hint="eastAsia"/>
          <w:color w:val="000000" w:themeColor="text1"/>
        </w:rPr>
        <w:t>9</w:t>
      </w:r>
      <w:r>
        <w:rPr>
          <w:rFonts w:eastAsia="方正仿宋简体" w:cs="Times New Roman" w:hint="eastAsia"/>
          <w:color w:val="000000" w:themeColor="text1"/>
        </w:rPr>
        <w:t>日</w:t>
      </w:r>
    </w:p>
    <w:p w:rsidR="00980778" w:rsidRDefault="0054406F">
      <w:pPr>
        <w:pStyle w:val="TOC1"/>
        <w:jc w:val="center"/>
        <w:rPr>
          <w:rFonts w:ascii="Times New Roman" w:eastAsia="方正仿宋简体" w:hAnsi="Times New Roman" w:cs="Times New Roman"/>
          <w:b/>
          <w:bCs/>
          <w:color w:val="auto"/>
          <w:kern w:val="2"/>
          <w:sz w:val="32"/>
          <w:szCs w:val="22"/>
          <w:lang w:val="zh-CN"/>
        </w:rPr>
      </w:pPr>
      <w:r>
        <w:rPr>
          <w:rFonts w:ascii="Times New Roman" w:eastAsia="方正仿宋简体" w:hAnsi="Times New Roman" w:cs="Times New Roman"/>
          <w:b/>
          <w:bCs/>
          <w:color w:val="auto"/>
          <w:kern w:val="2"/>
          <w:sz w:val="32"/>
          <w:szCs w:val="22"/>
          <w:lang w:val="zh-CN"/>
        </w:rPr>
        <w:t>目录</w:t>
      </w:r>
    </w:p>
    <w:p w:rsidR="00980778" w:rsidRDefault="00980778">
      <w:pPr>
        <w:ind w:firstLineChars="0" w:firstLine="0"/>
      </w:pPr>
    </w:p>
    <w:sdt>
      <w:sdtPr>
        <w:rPr>
          <w:rFonts w:eastAsia="方正仿宋_GBK"/>
          <w:snapToGrid/>
          <w:sz w:val="32"/>
          <w:szCs w:val="32"/>
          <w:lang w:val="zh-CN"/>
        </w:rPr>
        <w:id w:val="181951266"/>
        <w:docPartObj>
          <w:docPartGallery w:val="Table of Contents"/>
          <w:docPartUnique/>
        </w:docPartObj>
      </w:sdtPr>
      <w:sdtEndPr>
        <w:rPr>
          <w:b/>
          <w:bCs/>
        </w:rPr>
      </w:sdtEndPr>
      <w:sdtContent>
        <w:p w:rsidR="00F764B1" w:rsidRPr="00F764B1" w:rsidRDefault="00830ECF" w:rsidP="00F764B1">
          <w:pPr>
            <w:pStyle w:val="10"/>
            <w:tabs>
              <w:tab w:val="right" w:leader="dot" w:pos="8296"/>
            </w:tabs>
            <w:spacing w:line="240" w:lineRule="auto"/>
            <w:ind w:firstLineChars="0" w:firstLine="0"/>
            <w:rPr>
              <w:rFonts w:ascii="黑体" w:hAnsi="黑体"/>
              <w:noProof/>
              <w:snapToGrid/>
              <w:szCs w:val="21"/>
            </w:rPr>
          </w:pPr>
          <w:r>
            <w:rPr>
              <w:rFonts w:asciiTheme="majorHAnsi" w:eastAsiaTheme="majorEastAsia" w:hAnsiTheme="majorHAnsi" w:cstheme="majorBidi"/>
              <w:color w:val="2D53A0" w:themeColor="accent1" w:themeShade="BF"/>
              <w:kern w:val="0"/>
            </w:rPr>
            <w:fldChar w:fldCharType="begin"/>
          </w:r>
          <w:r>
            <w:instrText xml:space="preserve"> TOC \o "1-3" \h \z \u </w:instrText>
          </w:r>
          <w:r>
            <w:rPr>
              <w:rFonts w:asciiTheme="majorHAnsi" w:eastAsiaTheme="majorEastAsia" w:hAnsiTheme="majorHAnsi" w:cstheme="majorBidi"/>
              <w:color w:val="2D53A0" w:themeColor="accent1" w:themeShade="BF"/>
              <w:kern w:val="0"/>
            </w:rPr>
            <w:fldChar w:fldCharType="separate"/>
          </w:r>
          <w:hyperlink w:anchor="_Toc203120494" w:history="1"/>
        </w:p>
        <w:p w:rsidR="00F764B1" w:rsidRPr="00F764B1" w:rsidRDefault="00202D7C" w:rsidP="00F764B1">
          <w:pPr>
            <w:pStyle w:val="20"/>
            <w:tabs>
              <w:tab w:val="right" w:leader="dot" w:pos="8296"/>
            </w:tabs>
            <w:spacing w:line="240" w:lineRule="auto"/>
            <w:ind w:leftChars="0" w:left="0" w:firstLineChars="0" w:firstLine="0"/>
            <w:rPr>
              <w:rFonts w:ascii="黑体" w:eastAsia="黑体" w:hAnsi="黑体"/>
              <w:noProof/>
              <w:sz w:val="21"/>
              <w:szCs w:val="21"/>
            </w:rPr>
          </w:pPr>
          <w:hyperlink w:anchor="_Toc203120495" w:history="1">
            <w:r w:rsidR="00F764B1" w:rsidRPr="00F764B1">
              <w:rPr>
                <w:rStyle w:val="a6"/>
                <w:rFonts w:ascii="黑体" w:eastAsia="黑体" w:hAnsi="黑体" w:cs="微软雅黑" w:hint="eastAsia"/>
                <w:bCs/>
                <w:noProof/>
                <w:sz w:val="21"/>
                <w:szCs w:val="21"/>
                <w:shd w:val="clear" w:color="auto" w:fill="FFFFFF"/>
              </w:rPr>
              <w:t>一、风险防控现状</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_Toc203120495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2</w:t>
            </w:r>
            <w:r w:rsidR="00F764B1" w:rsidRPr="00F764B1">
              <w:rPr>
                <w:rFonts w:ascii="黑体" w:eastAsia="黑体" w:hAnsi="黑体"/>
                <w:noProof/>
                <w:webHidden/>
                <w:sz w:val="21"/>
                <w:szCs w:val="21"/>
              </w:rPr>
              <w:fldChar w:fldCharType="end"/>
            </w:r>
          </w:hyperlink>
        </w:p>
        <w:p w:rsidR="00F764B1" w:rsidRPr="00F764B1" w:rsidRDefault="00202D7C" w:rsidP="00F764B1">
          <w:pPr>
            <w:pStyle w:val="20"/>
            <w:tabs>
              <w:tab w:val="right" w:leader="dot" w:pos="8296"/>
            </w:tabs>
            <w:spacing w:line="240" w:lineRule="auto"/>
            <w:ind w:leftChars="0" w:left="0" w:firstLineChars="0" w:firstLine="0"/>
            <w:rPr>
              <w:rFonts w:ascii="黑体" w:eastAsia="黑体" w:hAnsi="黑体"/>
              <w:noProof/>
              <w:sz w:val="21"/>
              <w:szCs w:val="21"/>
            </w:rPr>
          </w:pPr>
          <w:hyperlink w:anchor="_Toc203120496" w:history="1">
            <w:r w:rsidR="00F764B1" w:rsidRPr="00F764B1">
              <w:rPr>
                <w:rStyle w:val="a6"/>
                <w:rFonts w:ascii="黑体" w:eastAsia="黑体" w:hAnsi="黑体" w:cs="微软雅黑" w:hint="eastAsia"/>
                <w:bCs/>
                <w:noProof/>
                <w:sz w:val="21"/>
                <w:szCs w:val="21"/>
                <w:shd w:val="clear" w:color="auto" w:fill="FFFFFF"/>
              </w:rPr>
              <w:t>二、当下面临挑战</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_Toc203120496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3</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497" w:history="1">
            <w:r w:rsidR="00F764B1" w:rsidRPr="00F764B1">
              <w:rPr>
                <w:rStyle w:val="a6"/>
                <w:rFonts w:ascii="黑体" w:eastAsia="黑体" w:hAnsi="黑体" w:cs="黑体"/>
                <w:noProof/>
                <w:sz w:val="21"/>
                <w:szCs w:val="21"/>
                <w:lang w:bidi="ar"/>
              </w:rPr>
              <w:t>（一）伪瞒报手法不断更新</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_Toc203120497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3</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498" w:history="1">
            <w:r w:rsidR="00F764B1" w:rsidRPr="00F764B1">
              <w:rPr>
                <w:rStyle w:val="a6"/>
                <w:rFonts w:ascii="黑体" w:eastAsia="黑体" w:hAnsi="黑体" w:cs="黑体"/>
                <w:noProof/>
                <w:sz w:val="21"/>
                <w:szCs w:val="21"/>
                <w:lang w:bidi="ar"/>
              </w:rPr>
              <w:t>（二） 防控措施存在空白地带</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_Toc203120498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4</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499" w:history="1">
            <w:r w:rsidR="00F764B1" w:rsidRPr="00F764B1">
              <w:rPr>
                <w:rStyle w:val="a6"/>
                <w:rFonts w:ascii="黑体" w:eastAsia="黑体" w:hAnsi="黑体" w:cs="黑体"/>
                <w:noProof/>
                <w:sz w:val="21"/>
                <w:szCs w:val="21"/>
                <w:lang w:bidi="ar"/>
              </w:rPr>
              <w:t>（三） 防控与通关效率的关系</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_Toc203120499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5</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500" w:history="1">
            <w:r w:rsidR="00F764B1" w:rsidRPr="00F764B1">
              <w:rPr>
                <w:rStyle w:val="a6"/>
                <w:rFonts w:ascii="黑体" w:eastAsia="黑体" w:hAnsi="黑体" w:cs="黑体"/>
                <w:noProof/>
                <w:sz w:val="21"/>
                <w:szCs w:val="21"/>
                <w:lang w:bidi="ar"/>
              </w:rPr>
              <w:t>（四）美国供应链重构情况</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_Toc203120500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5</w:t>
            </w:r>
            <w:r w:rsidR="00F764B1" w:rsidRPr="00F764B1">
              <w:rPr>
                <w:rFonts w:ascii="黑体" w:eastAsia="黑体" w:hAnsi="黑体"/>
                <w:noProof/>
                <w:webHidden/>
                <w:sz w:val="21"/>
                <w:szCs w:val="21"/>
              </w:rPr>
              <w:fldChar w:fldCharType="end"/>
            </w:r>
          </w:hyperlink>
        </w:p>
        <w:p w:rsidR="00F764B1" w:rsidRPr="00F764B1" w:rsidRDefault="00202D7C" w:rsidP="00F764B1">
          <w:pPr>
            <w:pStyle w:val="20"/>
            <w:tabs>
              <w:tab w:val="right" w:leader="dot" w:pos="8296"/>
            </w:tabs>
            <w:spacing w:line="240" w:lineRule="auto"/>
            <w:ind w:leftChars="0" w:left="0" w:firstLineChars="0" w:firstLine="0"/>
            <w:rPr>
              <w:rFonts w:ascii="黑体" w:eastAsia="黑体" w:hAnsi="黑体"/>
              <w:noProof/>
              <w:sz w:val="21"/>
              <w:szCs w:val="21"/>
            </w:rPr>
          </w:pPr>
          <w:hyperlink w:anchor="_Toc203120501" w:history="1">
            <w:r w:rsidR="00F764B1" w:rsidRPr="00F764B1">
              <w:rPr>
                <w:rStyle w:val="a6"/>
                <w:rFonts w:ascii="黑体" w:eastAsia="黑体" w:hAnsi="黑体" w:cs="微软雅黑" w:hint="eastAsia"/>
                <w:bCs/>
                <w:noProof/>
                <w:sz w:val="21"/>
                <w:szCs w:val="21"/>
                <w:shd w:val="clear" w:color="auto" w:fill="FFFFFF"/>
              </w:rPr>
              <w:t>三、防控对策</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_Toc203120501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9</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502" w:history="1">
            <w:r w:rsidR="00F764B1" w:rsidRPr="00F764B1">
              <w:rPr>
                <w:rStyle w:val="a6"/>
                <w:rFonts w:ascii="黑体" w:eastAsia="黑体" w:hAnsi="黑体"/>
                <w:bCs/>
                <w:noProof/>
                <w:sz w:val="21"/>
                <w:szCs w:val="21"/>
              </w:rPr>
              <w:t>（一）完善国内管制体系</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_Toc203120502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9</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503" w:history="1">
            <w:r w:rsidR="00F764B1" w:rsidRPr="00F764B1">
              <w:rPr>
                <w:rStyle w:val="a6"/>
                <w:rFonts w:ascii="黑体" w:eastAsia="黑体" w:hAnsi="黑体"/>
                <w:bCs/>
                <w:noProof/>
                <w:sz w:val="21"/>
                <w:szCs w:val="21"/>
              </w:rPr>
              <w:t>（二）加强技术防控与人才管理</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_Toc203120503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10</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504" w:history="1">
            <w:r w:rsidR="00F764B1" w:rsidRPr="00F764B1">
              <w:rPr>
                <w:rStyle w:val="a6"/>
                <w:rFonts w:ascii="黑体" w:eastAsia="黑体" w:hAnsi="黑体"/>
                <w:bCs/>
                <w:noProof/>
                <w:sz w:val="21"/>
                <w:szCs w:val="21"/>
              </w:rPr>
              <w:t>（三）加强对美国重构稀土供应链的防控</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_Toc203120504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10</w:t>
            </w:r>
            <w:r w:rsidR="00F764B1" w:rsidRPr="00F764B1">
              <w:rPr>
                <w:rFonts w:ascii="黑体" w:eastAsia="黑体" w:hAnsi="黑体"/>
                <w:noProof/>
                <w:webHidden/>
                <w:sz w:val="21"/>
                <w:szCs w:val="21"/>
              </w:rPr>
              <w:fldChar w:fldCharType="end"/>
            </w:r>
          </w:hyperlink>
        </w:p>
        <w:p w:rsidR="00F764B1" w:rsidRPr="00F764B1" w:rsidRDefault="00202D7C" w:rsidP="00F764B1">
          <w:pPr>
            <w:pStyle w:val="30"/>
            <w:tabs>
              <w:tab w:val="right" w:leader="dot" w:pos="8296"/>
            </w:tabs>
            <w:spacing w:line="240" w:lineRule="auto"/>
            <w:ind w:leftChars="0" w:left="0" w:firstLine="640"/>
            <w:rPr>
              <w:rFonts w:ascii="黑体" w:eastAsia="黑体" w:hAnsi="黑体"/>
              <w:noProof/>
              <w:sz w:val="21"/>
              <w:szCs w:val="21"/>
            </w:rPr>
          </w:pPr>
          <w:hyperlink w:anchor="_Toc203120505" w:history="1">
            <w:r w:rsidR="00F764B1" w:rsidRPr="00F764B1">
              <w:rPr>
                <w:rStyle w:val="a6"/>
                <w:rFonts w:ascii="黑体" w:eastAsia="黑体" w:hAnsi="黑体"/>
                <w:bCs/>
                <w:noProof/>
                <w:sz w:val="21"/>
                <w:szCs w:val="21"/>
              </w:rPr>
              <w:t>（四）</w:t>
            </w:r>
            <w:r w:rsidR="0080095F">
              <w:rPr>
                <w:rStyle w:val="a6"/>
                <w:rFonts w:ascii="黑体" w:eastAsia="黑体" w:hAnsi="黑体" w:hint="eastAsia"/>
                <w:bCs/>
                <w:noProof/>
                <w:sz w:val="21"/>
                <w:szCs w:val="21"/>
              </w:rPr>
              <w:t>现状</w:t>
            </w:r>
            <w:r w:rsidR="00F764B1" w:rsidRPr="00F764B1">
              <w:rPr>
                <w:rFonts w:ascii="黑体" w:eastAsia="黑体" w:hAnsi="黑体"/>
                <w:noProof/>
                <w:webHidden/>
                <w:sz w:val="21"/>
                <w:szCs w:val="21"/>
              </w:rPr>
              <w:tab/>
            </w:r>
            <w:r w:rsidR="00F764B1" w:rsidRPr="00F764B1">
              <w:rPr>
                <w:rFonts w:ascii="黑体" w:eastAsia="黑体" w:hAnsi="黑体"/>
                <w:noProof/>
                <w:webHidden/>
                <w:sz w:val="21"/>
                <w:szCs w:val="21"/>
              </w:rPr>
              <w:fldChar w:fldCharType="begin"/>
            </w:r>
            <w:r w:rsidR="00F764B1" w:rsidRPr="00F764B1">
              <w:rPr>
                <w:rFonts w:ascii="黑体" w:eastAsia="黑体" w:hAnsi="黑体"/>
                <w:noProof/>
                <w:webHidden/>
                <w:sz w:val="21"/>
                <w:szCs w:val="21"/>
              </w:rPr>
              <w:instrText xml:space="preserve"> PAGEREF _Toc203120505 \h </w:instrText>
            </w:r>
            <w:r w:rsidR="00F764B1" w:rsidRPr="00F764B1">
              <w:rPr>
                <w:rFonts w:ascii="黑体" w:eastAsia="黑体" w:hAnsi="黑体"/>
                <w:noProof/>
                <w:webHidden/>
                <w:sz w:val="21"/>
                <w:szCs w:val="21"/>
              </w:rPr>
            </w:r>
            <w:r w:rsidR="00F764B1" w:rsidRPr="00F764B1">
              <w:rPr>
                <w:rFonts w:ascii="黑体" w:eastAsia="黑体" w:hAnsi="黑体"/>
                <w:noProof/>
                <w:webHidden/>
                <w:sz w:val="21"/>
                <w:szCs w:val="21"/>
              </w:rPr>
              <w:fldChar w:fldCharType="separate"/>
            </w:r>
            <w:r w:rsidR="00F764B1" w:rsidRPr="00F764B1">
              <w:rPr>
                <w:rFonts w:ascii="黑体" w:eastAsia="黑体" w:hAnsi="黑体"/>
                <w:noProof/>
                <w:webHidden/>
                <w:sz w:val="21"/>
                <w:szCs w:val="21"/>
              </w:rPr>
              <w:t>11</w:t>
            </w:r>
            <w:r w:rsidR="00F764B1" w:rsidRPr="00F764B1">
              <w:rPr>
                <w:rFonts w:ascii="黑体" w:eastAsia="黑体" w:hAnsi="黑体"/>
                <w:noProof/>
                <w:webHidden/>
                <w:sz w:val="21"/>
                <w:szCs w:val="21"/>
              </w:rPr>
              <w:fldChar w:fldCharType="end"/>
            </w:r>
          </w:hyperlink>
        </w:p>
        <w:p w:rsidR="00830ECF" w:rsidRDefault="00830ECF">
          <w:pPr>
            <w:ind w:firstLine="643"/>
          </w:pPr>
          <w:r>
            <w:rPr>
              <w:b/>
              <w:bCs/>
              <w:lang w:val="zh-CN"/>
            </w:rPr>
            <w:fldChar w:fldCharType="end"/>
          </w:r>
        </w:p>
      </w:sdtContent>
    </w:sdt>
    <w:p w:rsidR="00980778" w:rsidRDefault="00980778">
      <w:pPr>
        <w:ind w:firstLine="643"/>
        <w:rPr>
          <w:b/>
        </w:rPr>
      </w:pPr>
    </w:p>
    <w:p w:rsidR="00980778" w:rsidRDefault="0054406F">
      <w:pPr>
        <w:ind w:firstLine="640"/>
        <w:rPr>
          <w:rFonts w:ascii="Arial" w:eastAsia="黑体" w:hAnsi="Arial"/>
          <w:b/>
        </w:rPr>
      </w:pPr>
      <w:r>
        <w:rPr>
          <w:rFonts w:hint="eastAsia"/>
        </w:rPr>
        <w:br w:type="page"/>
      </w:r>
    </w:p>
    <w:p w:rsidR="00980778" w:rsidRDefault="0054406F">
      <w:pPr>
        <w:pStyle w:val="2"/>
        <w:spacing w:before="0" w:after="0" w:line="560" w:lineRule="exact"/>
        <w:ind w:firstLineChars="0" w:firstLine="0"/>
        <w:rPr>
          <w:rFonts w:ascii="Segoe UI" w:eastAsia="Segoe UI" w:hAnsi="Segoe UI" w:cs="Segoe UI"/>
          <w:bCs/>
          <w:shd w:val="clear" w:color="auto" w:fill="FFFFFF"/>
        </w:rPr>
      </w:pPr>
      <w:bookmarkStart w:id="10" w:name="_Toc203120495"/>
      <w:r>
        <w:rPr>
          <w:rFonts w:ascii="Segoe UI" w:eastAsia="Segoe UI" w:hAnsi="Segoe UI" w:cs="Segoe UI" w:hint="eastAsia"/>
          <w:bCs/>
          <w:shd w:val="clear" w:color="auto" w:fill="FFFFFF"/>
        </w:rPr>
        <w:lastRenderedPageBreak/>
        <w:t>一、风险防控现状</w:t>
      </w:r>
      <w:bookmarkEnd w:id="10"/>
    </w:p>
    <w:p w:rsidR="00980778" w:rsidRDefault="0054406F">
      <w:pPr>
        <w:ind w:firstLine="640"/>
      </w:pPr>
      <w:r>
        <w:rPr>
          <w:rFonts w:hint="eastAsia"/>
        </w:rPr>
        <w:t>中国在金属（尤其是稀土）出口管制方面，已构建起较为完善的风险防控体系。在政策法规层面，</w:t>
      </w:r>
      <w:r>
        <w:rPr>
          <w:rFonts w:hint="eastAsia"/>
        </w:rPr>
        <w:t xml:space="preserve">2023 </w:t>
      </w:r>
      <w:r>
        <w:rPr>
          <w:rFonts w:hint="eastAsia"/>
        </w:rPr>
        <w:t>年</w:t>
      </w:r>
      <w:r>
        <w:rPr>
          <w:rFonts w:hint="eastAsia"/>
        </w:rPr>
        <w:t xml:space="preserve"> 12 </w:t>
      </w:r>
      <w:r>
        <w:rPr>
          <w:rFonts w:hint="eastAsia"/>
        </w:rPr>
        <w:t>月</w:t>
      </w:r>
      <w:r>
        <w:rPr>
          <w:rFonts w:hint="eastAsia"/>
        </w:rPr>
        <w:t xml:space="preserve"> 21 </w:t>
      </w:r>
      <w:r>
        <w:rPr>
          <w:rFonts w:hint="eastAsia"/>
        </w:rPr>
        <w:t>日，商务部、科技部将</w:t>
      </w:r>
      <w:r>
        <w:rPr>
          <w:rFonts w:hint="eastAsia"/>
        </w:rPr>
        <w:t xml:space="preserve"> </w:t>
      </w:r>
      <w:r>
        <w:rPr>
          <w:rFonts w:hint="eastAsia"/>
        </w:rPr>
        <w:t>“稀土的提炼、加工、利用技术”</w:t>
      </w:r>
      <w:r>
        <w:rPr>
          <w:rFonts w:hint="eastAsia"/>
        </w:rPr>
        <w:t xml:space="preserve"> </w:t>
      </w:r>
      <w:r>
        <w:rPr>
          <w:rFonts w:hint="eastAsia"/>
        </w:rPr>
        <w:t>列入《中国禁止出口限制出口技术目录》，从技术层面强化管控；</w:t>
      </w:r>
      <w:r>
        <w:rPr>
          <w:rFonts w:hint="eastAsia"/>
        </w:rPr>
        <w:t xml:space="preserve">2024 </w:t>
      </w:r>
      <w:r>
        <w:rPr>
          <w:rFonts w:hint="eastAsia"/>
        </w:rPr>
        <w:t>年</w:t>
      </w:r>
      <w:r>
        <w:rPr>
          <w:rFonts w:hint="eastAsia"/>
        </w:rPr>
        <w:t xml:space="preserve"> 4 </w:t>
      </w:r>
      <w:r>
        <w:rPr>
          <w:rFonts w:hint="eastAsia"/>
        </w:rPr>
        <w:t>月</w:t>
      </w:r>
      <w:r>
        <w:rPr>
          <w:rFonts w:hint="eastAsia"/>
        </w:rPr>
        <w:t xml:space="preserve"> 4 </w:t>
      </w:r>
      <w:r>
        <w:rPr>
          <w:rFonts w:hint="eastAsia"/>
        </w:rPr>
        <w:t>日实施的稀土相关物项出口管制政策，进一步要求企业建立全流程追溯系统，确保稀土产品不流入军事用途或敏感领域；同年</w:t>
      </w:r>
      <w:r>
        <w:rPr>
          <w:rFonts w:hint="eastAsia"/>
        </w:rPr>
        <w:t xml:space="preserve"> 9 </w:t>
      </w:r>
      <w:r>
        <w:rPr>
          <w:rFonts w:hint="eastAsia"/>
        </w:rPr>
        <w:t>月，国务院正式颁布《中华人民共和国两用物项出口管制条例》，为稀土等金属的出口管制提供了明确的法律依据。进入</w:t>
      </w:r>
      <w:r>
        <w:rPr>
          <w:rFonts w:hint="eastAsia"/>
        </w:rPr>
        <w:t xml:space="preserve"> 2025 </w:t>
      </w:r>
      <w:r>
        <w:rPr>
          <w:rFonts w:hint="eastAsia"/>
        </w:rPr>
        <w:t>年，管控范围进一步扩大，陆续将钨、碲、铋、钼、铟及钐、钆、铽等稀有金属相关物项纳入出口管制清单，形成了对多种关键金属的系统性管控网络。</w:t>
      </w:r>
    </w:p>
    <w:p w:rsidR="00980778" w:rsidRDefault="0054406F">
      <w:pPr>
        <w:ind w:firstLine="640"/>
      </w:pPr>
      <w:r>
        <w:rPr>
          <w:rFonts w:hint="eastAsia"/>
        </w:rPr>
        <w:t>在技术保密与人才管理上，于包头、赣州等设立国家稀土技术研究院，通过研发全流程保密管理、技术专利快速申报机制等防范技术外流，对关键岗位人员实施</w:t>
      </w:r>
      <w:r>
        <w:rPr>
          <w:rFonts w:hint="eastAsia"/>
        </w:rPr>
        <w:t xml:space="preserve"> </w:t>
      </w:r>
      <w:r>
        <w:rPr>
          <w:rFonts w:hint="eastAsia"/>
        </w:rPr>
        <w:t>“背景审查</w:t>
      </w:r>
      <w:r>
        <w:rPr>
          <w:rFonts w:hint="eastAsia"/>
        </w:rPr>
        <w:t xml:space="preserve"> + </w:t>
      </w:r>
      <w:r>
        <w:rPr>
          <w:rFonts w:hint="eastAsia"/>
        </w:rPr>
        <w:t>动态监控”，建立</w:t>
      </w:r>
      <w:r>
        <w:rPr>
          <w:rFonts w:hint="eastAsia"/>
        </w:rPr>
        <w:t xml:space="preserve"> </w:t>
      </w:r>
      <w:r>
        <w:rPr>
          <w:rFonts w:hint="eastAsia"/>
        </w:rPr>
        <w:t>“技术流失黑名单”。针对稀土走私，</w:t>
      </w:r>
      <w:r>
        <w:rPr>
          <w:rFonts w:hint="eastAsia"/>
        </w:rPr>
        <w:t>2025</w:t>
      </w:r>
      <w:r>
        <w:rPr>
          <w:rFonts w:hint="eastAsia"/>
        </w:rPr>
        <w:t>年</w:t>
      </w:r>
      <w:r>
        <w:rPr>
          <w:rFonts w:hint="eastAsia"/>
        </w:rPr>
        <w:t>5</w:t>
      </w:r>
      <w:r>
        <w:rPr>
          <w:rFonts w:hint="eastAsia"/>
        </w:rPr>
        <w:t>月商务部、海关总署等多部门联合开展</w:t>
      </w:r>
      <w:r>
        <w:rPr>
          <w:rFonts w:hint="eastAsia"/>
        </w:rPr>
        <w:t xml:space="preserve"> </w:t>
      </w:r>
      <w:r>
        <w:rPr>
          <w:rFonts w:hint="eastAsia"/>
        </w:rPr>
        <w:t>“战略矿产走私严打行动”，启用</w:t>
      </w:r>
      <w:r>
        <w:rPr>
          <w:rFonts w:hint="eastAsia"/>
        </w:rPr>
        <w:t xml:space="preserve"> AI </w:t>
      </w:r>
      <w:r>
        <w:rPr>
          <w:rFonts w:hint="eastAsia"/>
        </w:rPr>
        <w:t>图像识别系统提高查验精度，还建立</w:t>
      </w:r>
      <w:r>
        <w:rPr>
          <w:rFonts w:hint="eastAsia"/>
        </w:rPr>
        <w:t xml:space="preserve"> </w:t>
      </w:r>
      <w:r>
        <w:rPr>
          <w:rFonts w:hint="eastAsia"/>
        </w:rPr>
        <w:t>“一案双查”</w:t>
      </w:r>
      <w:r>
        <w:rPr>
          <w:rFonts w:hint="eastAsia"/>
        </w:rPr>
        <w:t xml:space="preserve"> </w:t>
      </w:r>
      <w:r>
        <w:rPr>
          <w:rFonts w:hint="eastAsia"/>
        </w:rPr>
        <w:t>机制，对涉案企业和个人实施高额罚款与联合惩戒。</w:t>
      </w:r>
    </w:p>
    <w:p w:rsidR="00980778" w:rsidRDefault="0054406F">
      <w:pPr>
        <w:ind w:firstLine="640"/>
      </w:pPr>
      <w:r>
        <w:rPr>
          <w:rFonts w:hint="eastAsia"/>
        </w:rPr>
        <w:t>除此之外</w:t>
      </w:r>
      <w:r>
        <w:t>，中国主导修订</w:t>
      </w:r>
      <w:r>
        <w:rPr>
          <w:rFonts w:hint="eastAsia"/>
        </w:rPr>
        <w:t>了</w:t>
      </w:r>
      <w:r>
        <w:t>ISO</w:t>
      </w:r>
      <w:r>
        <w:t>稀土分类标准，将</w:t>
      </w:r>
      <w:r>
        <w:t xml:space="preserve"> “</w:t>
      </w:r>
      <w:r>
        <w:t>中重稀土</w:t>
      </w:r>
      <w:r>
        <w:t xml:space="preserve">” </w:t>
      </w:r>
      <w:r>
        <w:t>定义为</w:t>
      </w:r>
      <w:r>
        <w:t xml:space="preserve"> “</w:t>
      </w:r>
      <w:r>
        <w:t>不可替代的战略资源</w:t>
      </w:r>
      <w:r>
        <w:t>”</w:t>
      </w:r>
      <w:r>
        <w:t>，为出口管制提供国际法理依据，并与东南亚国家合作打击</w:t>
      </w:r>
      <w:r>
        <w:t xml:space="preserve"> “</w:t>
      </w:r>
      <w:r>
        <w:t>灰色通道</w:t>
      </w:r>
      <w:r>
        <w:t>”</w:t>
      </w:r>
      <w:r>
        <w:t>。对于企</w:t>
      </w:r>
      <w:r>
        <w:lastRenderedPageBreak/>
        <w:t>业出口，监管机构依法依规审查出口许可申请，已批准一定数量的合规申请，企业也需加强内部审计和合规审查，以确保满足出口管制要求</w:t>
      </w:r>
      <w:r>
        <w:rPr>
          <w:rFonts w:hint="eastAsia"/>
        </w:rPr>
        <w:t>。</w:t>
      </w:r>
    </w:p>
    <w:p w:rsidR="00980778" w:rsidRDefault="0054406F">
      <w:pPr>
        <w:pStyle w:val="2"/>
        <w:spacing w:before="0" w:after="0" w:line="560" w:lineRule="exact"/>
        <w:ind w:firstLineChars="0" w:firstLine="0"/>
        <w:rPr>
          <w:rFonts w:ascii="Segoe UI" w:eastAsia="Segoe UI" w:hAnsi="Segoe UI" w:cs="Segoe UI"/>
          <w:bCs/>
          <w:shd w:val="clear" w:color="auto" w:fill="FFFFFF"/>
        </w:rPr>
      </w:pPr>
      <w:bookmarkStart w:id="11" w:name="_Toc203120496"/>
      <w:r>
        <w:rPr>
          <w:rFonts w:ascii="Segoe UI" w:eastAsia="Segoe UI" w:hAnsi="Segoe UI" w:cs="Segoe UI" w:hint="eastAsia"/>
          <w:bCs/>
          <w:shd w:val="clear" w:color="auto" w:fill="FFFFFF"/>
        </w:rPr>
        <w:t>二、当下</w:t>
      </w:r>
      <w:r>
        <w:rPr>
          <w:rFonts w:ascii="Segoe UI" w:eastAsia="Segoe UI" w:hAnsi="Segoe UI" w:cs="Segoe UI"/>
          <w:bCs/>
          <w:shd w:val="clear" w:color="auto" w:fill="FFFFFF"/>
        </w:rPr>
        <w:t>面临挑战</w:t>
      </w:r>
      <w:bookmarkEnd w:id="11"/>
    </w:p>
    <w:p w:rsidR="00980778" w:rsidRDefault="0054406F">
      <w:pPr>
        <w:pStyle w:val="3"/>
        <w:spacing w:beforeAutospacing="0" w:afterAutospacing="0"/>
        <w:ind w:firstLine="640"/>
        <w:rPr>
          <w:rFonts w:cs="黑体" w:hint="default"/>
          <w:lang w:bidi="ar"/>
        </w:rPr>
      </w:pPr>
      <w:bookmarkStart w:id="12" w:name="_Toc203120497"/>
      <w:r>
        <w:rPr>
          <w:rFonts w:cs="黑体"/>
          <w:lang w:bidi="ar"/>
        </w:rPr>
        <w:t>（一）伪瞒报手法不断更新</w:t>
      </w:r>
      <w:bookmarkEnd w:id="12"/>
    </w:p>
    <w:p w:rsidR="00980778" w:rsidRDefault="0054406F">
      <w:pPr>
        <w:ind w:firstLine="640"/>
      </w:pPr>
      <w:r>
        <w:rPr>
          <w:rFonts w:hint="eastAsia"/>
        </w:rPr>
        <w:t>据海外网报道，美国国防情报公司戈维尼（</w:t>
      </w:r>
      <w:r>
        <w:rPr>
          <w:rFonts w:hint="eastAsia"/>
        </w:rPr>
        <w:t>Govini</w:t>
      </w:r>
      <w:r>
        <w:rPr>
          <w:rFonts w:hint="eastAsia"/>
        </w:rPr>
        <w:t>）的数据显示，美国</w:t>
      </w:r>
      <w:r>
        <w:rPr>
          <w:rFonts w:hint="eastAsia"/>
        </w:rPr>
        <w:t xml:space="preserve"> 1000 </w:t>
      </w:r>
      <w:r>
        <w:rPr>
          <w:rFonts w:hint="eastAsia"/>
        </w:rPr>
        <w:t>多个使用镓、锗、锑的武器系统涉及</w:t>
      </w:r>
      <w:r>
        <w:rPr>
          <w:rFonts w:hint="eastAsia"/>
        </w:rPr>
        <w:t xml:space="preserve"> 12486 </w:t>
      </w:r>
      <w:r>
        <w:rPr>
          <w:rFonts w:hint="eastAsia"/>
        </w:rPr>
        <w:t>条供应链，其中</w:t>
      </w:r>
      <w:r>
        <w:rPr>
          <w:rFonts w:hint="eastAsia"/>
        </w:rPr>
        <w:t xml:space="preserve"> 87%</w:t>
      </w:r>
      <w:r>
        <w:rPr>
          <w:rFonts w:hint="eastAsia"/>
        </w:rPr>
        <w:t>（</w:t>
      </w:r>
      <w:r>
        <w:rPr>
          <w:rFonts w:hint="eastAsia"/>
        </w:rPr>
        <w:t xml:space="preserve">10829 </w:t>
      </w:r>
      <w:r>
        <w:rPr>
          <w:rFonts w:hint="eastAsia"/>
        </w:rPr>
        <w:t>条）在一定程度上依赖中国供应商。这种高度依赖背景下，通过伪瞒报等手段实施的金属走私，成为当前出口管制面临的突出挑战。</w:t>
      </w:r>
    </w:p>
    <w:p w:rsidR="00980778" w:rsidRDefault="0054406F">
      <w:pPr>
        <w:ind w:firstLine="640"/>
      </w:pPr>
      <w:r>
        <w:rPr>
          <w:rFonts w:hint="eastAsia"/>
        </w:rPr>
        <w:t>商务部国际贸易经济合作研究院研究员周密指出，当前中国出口管制主要依托许可证制度。而不法分子可能通过多种伪瞒报手段规避监管：一是将战略矿产资源伪报为其他税目商品；二是对矿产进行初级加工后以普通产品名义出口；三是通过转口贸易，先将货物运至第三国，再转运至实际目的地，以此掩盖真实流向。</w:t>
      </w:r>
    </w:p>
    <w:p w:rsidR="00980778" w:rsidRDefault="0054406F">
      <w:pPr>
        <w:ind w:firstLine="640"/>
      </w:pPr>
      <w:r>
        <w:rPr>
          <w:rFonts w:hint="eastAsia"/>
        </w:rPr>
        <w:t>实际案例印证了这些手法的危害性：</w:t>
      </w:r>
      <w:r>
        <w:rPr>
          <w:rFonts w:hint="eastAsia"/>
        </w:rPr>
        <w:t xml:space="preserve">2022 </w:t>
      </w:r>
      <w:r>
        <w:rPr>
          <w:rFonts w:hint="eastAsia"/>
        </w:rPr>
        <w:t>年</w:t>
      </w:r>
      <w:r>
        <w:rPr>
          <w:rFonts w:hint="eastAsia"/>
        </w:rPr>
        <w:t xml:space="preserve"> 3 </w:t>
      </w:r>
      <w:r>
        <w:rPr>
          <w:rFonts w:hint="eastAsia"/>
        </w:rPr>
        <w:t>月，长沙</w:t>
      </w:r>
      <w:r>
        <w:rPr>
          <w:rFonts w:hint="eastAsia"/>
        </w:rPr>
        <w:t xml:space="preserve"> YK </w:t>
      </w:r>
      <w:r>
        <w:rPr>
          <w:rFonts w:hint="eastAsia"/>
        </w:rPr>
        <w:t>公司通过伪报商品名称、瞒报货物属性等方式，利用</w:t>
      </w:r>
      <w:r>
        <w:rPr>
          <w:rFonts w:hint="eastAsia"/>
        </w:rPr>
        <w:t xml:space="preserve"> C </w:t>
      </w:r>
      <w:r>
        <w:rPr>
          <w:rFonts w:hint="eastAsia"/>
        </w:rPr>
        <w:t>类快件渠道将氧化铈、二氧化钍等禁限类商品走私出口，涉及报关单</w:t>
      </w:r>
      <w:r>
        <w:rPr>
          <w:rFonts w:hint="eastAsia"/>
        </w:rPr>
        <w:t xml:space="preserve"> 800 </w:t>
      </w:r>
      <w:r>
        <w:rPr>
          <w:rFonts w:hint="eastAsia"/>
        </w:rPr>
        <w:t>余票，货值达</w:t>
      </w:r>
      <w:r>
        <w:rPr>
          <w:rFonts w:hint="eastAsia"/>
        </w:rPr>
        <w:t xml:space="preserve"> 600 </w:t>
      </w:r>
      <w:r>
        <w:rPr>
          <w:rFonts w:hint="eastAsia"/>
        </w:rPr>
        <w:t>余万元；深圳也曾查获一起走私案，不法分子将</w:t>
      </w:r>
      <w:r>
        <w:rPr>
          <w:rFonts w:hint="eastAsia"/>
        </w:rPr>
        <w:t xml:space="preserve"> 6.8 </w:t>
      </w:r>
      <w:r>
        <w:rPr>
          <w:rFonts w:hint="eastAsia"/>
        </w:rPr>
        <w:t>吨纯锑藏匿于纸板货车中，案值近</w:t>
      </w:r>
      <w:r>
        <w:rPr>
          <w:rFonts w:hint="eastAsia"/>
        </w:rPr>
        <w:t xml:space="preserve"> 5070 </w:t>
      </w:r>
      <w:r>
        <w:rPr>
          <w:rFonts w:hint="eastAsia"/>
        </w:rPr>
        <w:t>万元的矿石在报关单中被完全隐瞒，最终被海关依法查处。</w:t>
      </w:r>
    </w:p>
    <w:p w:rsidR="00980778" w:rsidRDefault="0054406F">
      <w:pPr>
        <w:ind w:firstLine="640"/>
      </w:pPr>
      <w:r>
        <w:rPr>
          <w:rFonts w:hint="eastAsia"/>
        </w:rPr>
        <w:t>更值得警惕的是，国家安全部披露，部分境外企业存在</w:t>
      </w:r>
      <w:r>
        <w:rPr>
          <w:rFonts w:hint="eastAsia"/>
        </w:rPr>
        <w:lastRenderedPageBreak/>
        <w:t>有组织的走私活动：一些与某国政府、军方存在合作，或与我国商务部制裁名单上的公司有贸易往来的境外企业，以巨额订单为诱饵，勾结中方人员大量走私稀土等管制类物项，甚至要求走私产品达到该国军用品采购标准；还有境外企业通过其在华机构，在战略矿产行业构建人脉网络，搜集开采分离、生产加工、进出口等环节的内部资料，形成</w:t>
      </w:r>
      <w:r>
        <w:rPr>
          <w:rFonts w:hint="eastAsia"/>
        </w:rPr>
        <w:t xml:space="preserve"> </w:t>
      </w:r>
      <w:r>
        <w:rPr>
          <w:rFonts w:hint="eastAsia"/>
        </w:rPr>
        <w:t>“情报</w:t>
      </w:r>
      <w:r>
        <w:rPr>
          <w:rFonts w:hint="eastAsia"/>
        </w:rPr>
        <w:t xml:space="preserve"> - </w:t>
      </w:r>
      <w:r>
        <w:rPr>
          <w:rFonts w:hint="eastAsia"/>
        </w:rPr>
        <w:t>盗采</w:t>
      </w:r>
      <w:r>
        <w:rPr>
          <w:rFonts w:hint="eastAsia"/>
        </w:rPr>
        <w:t xml:space="preserve"> - </w:t>
      </w:r>
      <w:r>
        <w:rPr>
          <w:rFonts w:hint="eastAsia"/>
        </w:rPr>
        <w:t>洗白</w:t>
      </w:r>
      <w:r>
        <w:rPr>
          <w:rFonts w:hint="eastAsia"/>
        </w:rPr>
        <w:t xml:space="preserve"> - </w:t>
      </w:r>
      <w:r>
        <w:rPr>
          <w:rFonts w:hint="eastAsia"/>
        </w:rPr>
        <w:t>走私”</w:t>
      </w:r>
      <w:r>
        <w:rPr>
          <w:rFonts w:hint="eastAsia"/>
        </w:rPr>
        <w:t xml:space="preserve"> </w:t>
      </w:r>
      <w:r>
        <w:rPr>
          <w:rFonts w:hint="eastAsia"/>
        </w:rPr>
        <w:t>的完整黑色链条。</w:t>
      </w:r>
    </w:p>
    <w:p w:rsidR="00980778" w:rsidRDefault="0054406F">
      <w:pPr>
        <w:pStyle w:val="3"/>
        <w:numPr>
          <w:ilvl w:val="0"/>
          <w:numId w:val="1"/>
        </w:numPr>
        <w:spacing w:beforeAutospacing="0" w:afterAutospacing="0"/>
        <w:ind w:firstLine="640"/>
        <w:rPr>
          <w:rFonts w:cs="黑体" w:hint="default"/>
          <w:lang w:bidi="ar"/>
        </w:rPr>
      </w:pPr>
      <w:bookmarkStart w:id="13" w:name="_Toc203120498"/>
      <w:r>
        <w:rPr>
          <w:rFonts w:cs="黑体"/>
          <w:lang w:bidi="ar"/>
        </w:rPr>
        <w:t>防控措施存在空白地带</w:t>
      </w:r>
      <w:bookmarkEnd w:id="13"/>
    </w:p>
    <w:p w:rsidR="00980778" w:rsidRDefault="0054406F">
      <w:pPr>
        <w:ind w:firstLine="640"/>
      </w:pPr>
      <w:r>
        <w:rPr>
          <w:rFonts w:hint="eastAsia"/>
        </w:rPr>
        <w:t>从法规层面来看，虽然我国已出台《出口管制法》等相关法律，但尚无统一的行政法规或部门规章对限制两用物项的出口进行全面规定，也未制定统一的两用物项出口管制清单，相关规则分散在多个条例及临时出口管制公告中，这可能导致执法过程中存在衔接不畅的问题。</w:t>
      </w:r>
    </w:p>
    <w:p w:rsidR="00980778" w:rsidRDefault="0054406F">
      <w:pPr>
        <w:ind w:firstLine="640"/>
      </w:pPr>
      <w:r>
        <w:rPr>
          <w:rFonts w:hint="eastAsia"/>
        </w:rPr>
        <w:t>在监管实践中，稀土产品种类繁多，目前稀土出口税号仅有</w:t>
      </w:r>
      <w:r>
        <w:rPr>
          <w:rFonts w:hint="eastAsia"/>
        </w:rPr>
        <w:t xml:space="preserve"> 50 </w:t>
      </w:r>
      <w:r>
        <w:rPr>
          <w:rFonts w:hint="eastAsia"/>
        </w:rPr>
        <w:t>个左右，部分产品与出口税号脱节，无法满足监管需要，使得一些不法分子可能利用这一漏洞，将稀土产品以其他税号申报出口，导致资源流失和走私现象难以得到有效遏制。此外，对于铁合金等与稀土原料、合金等产品具有相似性的物品，在出口监管和检验方面也存在不足，容易出现误判或漏检的情况。</w:t>
      </w:r>
    </w:p>
    <w:p w:rsidR="00980778" w:rsidRDefault="0054406F">
      <w:pPr>
        <w:ind w:firstLine="640"/>
      </w:pPr>
      <w:r>
        <w:rPr>
          <w:rFonts w:hint="eastAsia"/>
        </w:rPr>
        <w:t>从企业层面而言，多数出口商对企业经营商品的技术参数、功能特性及最终用途缺乏专业研判，难以准确识别产品是否涉及军民两用特性，且对国家动态调整的管制清单等法规性文件更新滞后，容易因技术性误判或侥幸心理导致违规</w:t>
      </w:r>
      <w:r>
        <w:rPr>
          <w:rFonts w:hint="eastAsia"/>
        </w:rPr>
        <w:lastRenderedPageBreak/>
        <w:t>出口。</w:t>
      </w:r>
    </w:p>
    <w:p w:rsidR="00980778" w:rsidRDefault="0054406F">
      <w:pPr>
        <w:pStyle w:val="3"/>
        <w:numPr>
          <w:ilvl w:val="0"/>
          <w:numId w:val="1"/>
        </w:numPr>
        <w:spacing w:beforeAutospacing="0" w:afterAutospacing="0"/>
        <w:ind w:firstLine="640"/>
        <w:rPr>
          <w:rFonts w:cs="黑体" w:hint="default"/>
          <w:lang w:bidi="ar"/>
        </w:rPr>
      </w:pPr>
      <w:bookmarkStart w:id="14" w:name="_Toc203120499"/>
      <w:r>
        <w:rPr>
          <w:rFonts w:cs="黑体"/>
          <w:lang w:bidi="ar"/>
        </w:rPr>
        <w:t>防控与通关效率的关系</w:t>
      </w:r>
      <w:bookmarkEnd w:id="14"/>
    </w:p>
    <w:p w:rsidR="00980778" w:rsidRDefault="0054406F">
      <w:pPr>
        <w:ind w:firstLine="640"/>
      </w:pPr>
      <w:r>
        <w:rPr>
          <w:rFonts w:hint="eastAsia"/>
        </w:rPr>
        <w:t>出口管制金属在防控过程中，与通关效率存在着复杂的关系。一方面，严格的防控措施是维护国家安全和资源战略的必要手段，但可能会在一定程度上影响通关效率。例如，我国对镓、锗、锑、钨、中重稀土等战略矿产实施出口管制后，海关需要对相关货物进行更严格的查验和审核，以确保符合管制要求。这可能导致货物在口岸停留时间延长，通关速度变慢。如深圳曾查获</w:t>
      </w:r>
      <w:r>
        <w:rPr>
          <w:rFonts w:hint="eastAsia"/>
        </w:rPr>
        <w:t xml:space="preserve"> 6.8 </w:t>
      </w:r>
      <w:r>
        <w:rPr>
          <w:rFonts w:hint="eastAsia"/>
        </w:rPr>
        <w:t>吨伪装成纸板的纯锑案值</w:t>
      </w:r>
      <w:r>
        <w:rPr>
          <w:rFonts w:hint="eastAsia"/>
        </w:rPr>
        <w:t xml:space="preserve"> 5070 </w:t>
      </w:r>
      <w:r>
        <w:rPr>
          <w:rFonts w:hint="eastAsia"/>
        </w:rPr>
        <w:t>万元，此类走私案件的频发，使得海关不得不加强查验力度，从而影响了正常货物的通关时效。</w:t>
      </w:r>
    </w:p>
    <w:p w:rsidR="00980778" w:rsidRDefault="0054406F">
      <w:pPr>
        <w:ind w:firstLine="640"/>
      </w:pPr>
      <w:r>
        <w:rPr>
          <w:rFonts w:hint="eastAsia"/>
        </w:rPr>
        <w:t>另一方面，优化防控措施也可以在保障管制效果的同时提升通关效率。例如，包头海关通过优先审单、提前取样等方式，在加强出口稀土防控的同时，将法检时间压缩</w:t>
      </w:r>
      <w:r>
        <w:rPr>
          <w:rFonts w:hint="eastAsia"/>
        </w:rPr>
        <w:t xml:space="preserve"> 8 </w:t>
      </w:r>
      <w:r>
        <w:rPr>
          <w:rFonts w:hint="eastAsia"/>
        </w:rPr>
        <w:t>个工作日，做到</w:t>
      </w:r>
      <w:r>
        <w:rPr>
          <w:rFonts w:hint="eastAsia"/>
        </w:rPr>
        <w:t xml:space="preserve"> </w:t>
      </w:r>
      <w:r>
        <w:rPr>
          <w:rFonts w:hint="eastAsia"/>
        </w:rPr>
        <w:t>“货物即提、证书即出”。商务部对两用物项出口许可施行无纸化管理，实现业务申请、业务审核、许可证签发、货物通关全流程电子化，缩短办证时间</w:t>
      </w:r>
      <w:r>
        <w:rPr>
          <w:rFonts w:hint="eastAsia"/>
        </w:rPr>
        <w:t xml:space="preserve"> 5 </w:t>
      </w:r>
      <w:r>
        <w:rPr>
          <w:rFonts w:hint="eastAsia"/>
        </w:rPr>
        <w:t>至</w:t>
      </w:r>
      <w:r>
        <w:rPr>
          <w:rFonts w:hint="eastAsia"/>
        </w:rPr>
        <w:t xml:space="preserve"> 7 </w:t>
      </w:r>
      <w:r>
        <w:rPr>
          <w:rFonts w:hint="eastAsia"/>
        </w:rPr>
        <w:t>天，既提高了贸易便利化水平，又有助于出口管制措施的落实。由此可见，如何平衡好防控与通关效率之间的关系，是出口管制金属面临的重要挑战之一，需要在强化监管的同时，通过优化流程和运用信息技术等手段，提升通关效率，保障合法合规贸易的顺畅进行。</w:t>
      </w:r>
    </w:p>
    <w:p w:rsidR="00980778" w:rsidRDefault="0054406F">
      <w:pPr>
        <w:pStyle w:val="3"/>
        <w:spacing w:beforeAutospacing="0" w:afterAutospacing="0"/>
        <w:ind w:firstLine="640"/>
        <w:rPr>
          <w:rFonts w:cs="黑体" w:hint="default"/>
          <w:lang w:bidi="ar"/>
        </w:rPr>
      </w:pPr>
      <w:bookmarkStart w:id="15" w:name="_Toc203120500"/>
      <w:r>
        <w:rPr>
          <w:rFonts w:cs="黑体"/>
          <w:lang w:bidi="ar"/>
        </w:rPr>
        <w:t>（四）美国供应链重构情况</w:t>
      </w:r>
      <w:bookmarkEnd w:id="15"/>
    </w:p>
    <w:p w:rsidR="00980778" w:rsidRDefault="0054406F">
      <w:pPr>
        <w:ind w:firstLine="640"/>
      </w:pPr>
      <w:r>
        <w:rPr>
          <w:rFonts w:hint="eastAsia"/>
        </w:rPr>
        <w:t>近年来，美国在稀土及关键金属领域全力推进供应链重</w:t>
      </w:r>
      <w:r>
        <w:rPr>
          <w:rFonts w:hint="eastAsia"/>
        </w:rPr>
        <w:lastRenderedPageBreak/>
        <w:t>构，布局已从矿山开采延伸至下游加工、合金及磁体制造环节。</w:t>
      </w:r>
    </w:p>
    <w:p w:rsidR="00980778" w:rsidRDefault="0054406F">
      <w:pPr>
        <w:ind w:firstLine="640"/>
      </w:pPr>
      <w:r>
        <w:rPr>
          <w:rFonts w:hint="eastAsia"/>
        </w:rPr>
        <w:t>阿格斯金属网</w:t>
      </w:r>
      <w:r>
        <w:rPr>
          <w:rFonts w:hint="eastAsia"/>
        </w:rPr>
        <w:t>2025</w:t>
      </w:r>
      <w:r>
        <w:rPr>
          <w:rFonts w:hint="eastAsia"/>
        </w:rPr>
        <w:t>年</w:t>
      </w:r>
      <w:r>
        <w:rPr>
          <w:rFonts w:hint="eastAsia"/>
        </w:rPr>
        <w:t>1</w:t>
      </w:r>
      <w:r>
        <w:rPr>
          <w:rFonts w:hint="eastAsia"/>
        </w:rPr>
        <w:t>月</w:t>
      </w:r>
      <w:r>
        <w:rPr>
          <w:rFonts w:hint="eastAsia"/>
        </w:rPr>
        <w:t>3</w:t>
      </w:r>
      <w:r>
        <w:rPr>
          <w:rFonts w:hint="eastAsia"/>
        </w:rPr>
        <w:t>日指出，美国犹他州</w:t>
      </w:r>
      <w:r>
        <w:rPr>
          <w:rFonts w:hint="eastAsia"/>
        </w:rPr>
        <w:t>Energy</w:t>
      </w:r>
      <w:r>
        <w:rPr>
          <w:rFonts w:hint="eastAsia"/>
        </w:rPr>
        <w:t> </w:t>
      </w:r>
      <w:r>
        <w:rPr>
          <w:rFonts w:hint="eastAsia"/>
        </w:rPr>
        <w:t>Fuels</w:t>
      </w:r>
      <w:r>
        <w:rPr>
          <w:rFonts w:hint="eastAsia"/>
        </w:rPr>
        <w:t>及马萨诸塞州尾矿回收厂正扩产，中印、印第安纳、阿拉斯加等多项目推进中，初步形成地域分布。报道中提到的海外重点项目如下（内容为中文翻译后）：</w:t>
      </w:r>
    </w:p>
    <w:p w:rsidR="00980778" w:rsidRDefault="00980778">
      <w:pPr>
        <w:ind w:firstLine="640"/>
      </w:pPr>
    </w:p>
    <w:tbl>
      <w:tblPr>
        <w:tblW w:w="0" w:type="auto"/>
        <w:shd w:val="clear" w:color="auto" w:fill="FFFFFF" w:themeFill="background1"/>
        <w:tblLook w:val="04A0" w:firstRow="1" w:lastRow="0" w:firstColumn="1" w:lastColumn="0" w:noHBand="0" w:noVBand="1"/>
      </w:tblPr>
      <w:tblGrid>
        <w:gridCol w:w="1696"/>
        <w:gridCol w:w="2285"/>
        <w:gridCol w:w="2047"/>
        <w:gridCol w:w="2494"/>
      </w:tblGrid>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AB0FAC">
            <w:pPr>
              <w:widowControl/>
              <w:spacing w:line="240" w:lineRule="auto"/>
              <w:ind w:firstLineChars="0" w:firstLine="0"/>
              <w:jc w:val="center"/>
              <w:textAlignment w:val="center"/>
              <w:rPr>
                <w:rFonts w:ascii="方正仿宋_GBK" w:hAnsi="方正仿宋_GBK" w:cs="方正仿宋_GBK"/>
                <w:b/>
                <w:bCs/>
                <w:sz w:val="21"/>
                <w:szCs w:val="21"/>
              </w:rPr>
            </w:pPr>
            <w:r w:rsidRPr="00540055">
              <w:rPr>
                <w:rFonts w:ascii="方正仿宋_GBK" w:hAnsi="方正仿宋_GBK" w:cs="方正仿宋_GBK" w:hint="eastAsia"/>
                <w:b/>
                <w:bCs/>
                <w:sz w:val="21"/>
                <w:szCs w:val="21"/>
              </w:rPr>
              <w:t>制造商</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b/>
                <w:bCs/>
                <w:sz w:val="21"/>
                <w:szCs w:val="21"/>
              </w:rPr>
            </w:pPr>
            <w:r w:rsidRPr="00540055">
              <w:rPr>
                <w:rFonts w:ascii="方正仿宋_GBK" w:hAnsi="方正仿宋_GBK" w:cs="方正仿宋_GBK" w:hint="eastAsia"/>
                <w:b/>
                <w:bCs/>
                <w:kern w:val="0"/>
                <w:sz w:val="21"/>
                <w:szCs w:val="21"/>
                <w:lang w:bidi="ar"/>
              </w:rPr>
              <w:t>位置</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b/>
                <w:bCs/>
                <w:sz w:val="21"/>
                <w:szCs w:val="21"/>
              </w:rPr>
            </w:pPr>
            <w:r w:rsidRPr="00540055">
              <w:rPr>
                <w:rFonts w:ascii="方正仿宋_GBK" w:hAnsi="方正仿宋_GBK" w:cs="方正仿宋_GBK" w:hint="eastAsia"/>
                <w:b/>
                <w:bCs/>
                <w:kern w:val="0"/>
                <w:sz w:val="21"/>
                <w:szCs w:val="21"/>
                <w:lang w:bidi="ar"/>
              </w:rPr>
              <w:t>生产状态</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b/>
                <w:bCs/>
                <w:sz w:val="21"/>
                <w:szCs w:val="21"/>
              </w:rPr>
            </w:pPr>
            <w:r w:rsidRPr="00540055">
              <w:rPr>
                <w:rFonts w:ascii="方正仿宋_GBK" w:hAnsi="方正仿宋_GBK" w:cs="方正仿宋_GBK" w:hint="eastAsia"/>
                <w:b/>
                <w:bCs/>
                <w:kern w:val="0"/>
                <w:sz w:val="21"/>
                <w:szCs w:val="21"/>
                <w:lang w:bidi="ar"/>
              </w:rPr>
              <w:t>精制稀土元素</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美国资源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美国印第安纳州诺布尔斯维尔</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开发中，在验证设施完成精炼</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铽 （Tb）、镝 （Dy）、钕 （Nd）、镨 （Pr）</w:t>
            </w:r>
          </w:p>
        </w:tc>
      </w:tr>
      <w:tr w:rsidR="00540055" w:rsidRPr="00540055" w:rsidTr="00AB0FA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莱纳斯公司</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马来西亚关丹;澳大利亚卡尔古利;美国德克萨斯州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运营（马来西亚、澳大利亚）;开发中（德克萨斯州）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Dy、Tb、NdPr、钐 （Sm）、铕 （Eu）、钆 （Gd）、钬 （Ho）</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Phoenix 尾矿</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美国马萨诸塞州伯灵顿</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运营（重稀土和轻稀土金属）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镉、铌、钕钕</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稀有元素资源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美国怀俄明州厄普顿</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示范工厂投入运营</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轻重 RE 和重 RE</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能源燃料</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美国犹他州 White Mesa Mill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投入运营，第一阶段投入使用</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钕钕（NdPr）;Dy， Tb 来了</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Ucore 稀有金属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加拿大安大略省金斯敦;美国路易斯安那州亚历山大市</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示范工厂投入运营;路易斯安那州工厂计划于 2025 年投产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轻重 RE 和重 RE</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Aclara 资源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巴西的戈亚斯;智利 Bio-Bio;US（分离厂）</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开发中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重 REs （Dy， Tb）;美国 NdPr</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离子稀土</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英国贝尔法斯特;巴西米纳斯吉拉斯州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开发中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回收氧化物（例如 NdPr、Dy、Tb）</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Pensana Plc</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英国萨尔滕德;Longonjo， 安哥拉</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正在施工中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混合稀土碳酸盐、磁铁金属（NdPr、Dy、Tb）</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萨斯喀彻温省研究委员会 （SRC）</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加拿大 萨斯喀彻温省</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运营（商业规模）</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钕钕</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Iluka 资源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Eneabba， 西澳大利亚州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正在施工中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稀土氧化物</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索尔维</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La Rochelle， 法国</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操作;2025 年产能扩张</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Nd/NdPr 即将到来</w:t>
            </w:r>
          </w:p>
        </w:tc>
      </w:tr>
      <w:tr w:rsidR="00540055" w:rsidRPr="00540055" w:rsidTr="00AB0FA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不太常见的金属</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英国柴郡埃尔斯米尔港</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操作;Nd/NdPr 产能扩张正在进行中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Nd、NdPr、Dy、镝铁 （DyFe）、Tb、钐钴 （SmCo） 合金</w:t>
            </w:r>
          </w:p>
        </w:tc>
      </w:tr>
      <w:tr w:rsidR="00540055" w:rsidRPr="00540055" w:rsidTr="00AB0FAC">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lastRenderedPageBreak/>
              <w:t>LKAB</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Lulea， 瑞典</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示范工厂计划于 2026 年底开始运营</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稀土氧化物</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护理员</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Lacq， 法国</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计划于 2026 年投产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重 REs （Dy， Tb）</w:t>
            </w:r>
          </w:p>
        </w:tc>
      </w:tr>
      <w:tr w:rsidR="00540055" w:rsidRPr="00540055" w:rsidTr="00AB0FA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MP 材料</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美国加利福尼亚州的 Mountain Pass;美国德克萨斯州沃思堡</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Mountain Pass 投入运营，Forth Worth 正在调试中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NdPr、铈、镧和重稀土精矿;Fort Worth 的金属、合金和成品磁铁</w:t>
            </w:r>
          </w:p>
        </w:tc>
      </w:tr>
      <w:tr w:rsidR="00540055" w:rsidRPr="00540055" w:rsidTr="00AB0FA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彩虹稀土</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美国佛罗里达州莱克兰</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正在测试中的分离中试装置</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最初是 Nd 和 Pr;Dy、Tb，然后是 Sm、Eu、Gd 在未来的发展中</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澳大利亚战略材料</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Ochang， 韩国</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操作</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Nd 金属和合金</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美国稀土</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俄克拉荷马州斯蒂尔沃特</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开发中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重稀土</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Neo Performance Materials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爱沙尼亚</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操作</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钕钕</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Mkango 资源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Pulawy， 波兰</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规划中的分离装置</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NdPr 氧化物，重 REs</w:t>
            </w:r>
          </w:p>
        </w:tc>
      </w:tr>
      <w:tr w:rsidR="00540055" w:rsidRPr="00540055" w:rsidTr="00AB0FAC">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REEtec 公司</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挪威</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计划于 2025 年建成商业工厂</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80778" w:rsidRPr="00540055" w:rsidRDefault="0054406F">
            <w:pPr>
              <w:widowControl/>
              <w:spacing w:line="240" w:lineRule="auto"/>
              <w:ind w:firstLineChars="0" w:firstLine="0"/>
              <w:jc w:val="center"/>
              <w:textAlignment w:val="center"/>
              <w:rPr>
                <w:rFonts w:ascii="方正仿宋_GBK" w:hAnsi="方正仿宋_GBK" w:cs="方正仿宋_GBK"/>
                <w:sz w:val="21"/>
                <w:szCs w:val="21"/>
              </w:rPr>
            </w:pPr>
            <w:r w:rsidRPr="00540055">
              <w:rPr>
                <w:rFonts w:ascii="方正仿宋_GBK" w:hAnsi="方正仿宋_GBK" w:cs="方正仿宋_GBK" w:hint="eastAsia"/>
                <w:kern w:val="0"/>
                <w:sz w:val="21"/>
                <w:szCs w:val="21"/>
                <w:lang w:bidi="ar"/>
              </w:rPr>
              <w:t>钕钕</w:t>
            </w:r>
          </w:p>
        </w:tc>
      </w:tr>
    </w:tbl>
    <w:p w:rsidR="00980778" w:rsidRDefault="0054406F">
      <w:pPr>
        <w:ind w:firstLine="640"/>
      </w:pPr>
      <w:r>
        <w:rPr>
          <w:rFonts w:hint="eastAsia"/>
        </w:rPr>
        <w:t>同年</w:t>
      </w:r>
      <w:r>
        <w:rPr>
          <w:rFonts w:hint="eastAsia"/>
        </w:rPr>
        <w:t>4</w:t>
      </w:r>
      <w:r>
        <w:rPr>
          <w:rFonts w:hint="eastAsia"/>
        </w:rPr>
        <w:t>月</w:t>
      </w:r>
      <w:r>
        <w:rPr>
          <w:rFonts w:hint="eastAsia"/>
        </w:rPr>
        <w:t>17</w:t>
      </w:r>
      <w:r>
        <w:rPr>
          <w:rFonts w:hint="eastAsia"/>
        </w:rPr>
        <w:t>日，据阿格斯金属网信息，总部位于美国的关键矿产公司</w:t>
      </w:r>
      <w:r>
        <w:rPr>
          <w:rFonts w:hint="eastAsia"/>
        </w:rPr>
        <w:t>Energy</w:t>
      </w:r>
      <w:r>
        <w:rPr>
          <w:rFonts w:hint="eastAsia"/>
        </w:rPr>
        <w:t> </w:t>
      </w:r>
      <w:r>
        <w:rPr>
          <w:rFonts w:hint="eastAsia"/>
        </w:rPr>
        <w:t>Fuels</w:t>
      </w:r>
      <w:r>
        <w:rPr>
          <w:rFonts w:hint="eastAsia"/>
        </w:rPr>
        <w:t>，位于犹他州的工厂已具备商业化生产中国控制的</w:t>
      </w:r>
      <w:r>
        <w:rPr>
          <w:rFonts w:hint="eastAsia"/>
        </w:rPr>
        <w:t>6</w:t>
      </w:r>
      <w:r>
        <w:rPr>
          <w:rFonts w:hint="eastAsia"/>
        </w:rPr>
        <w:t>种中重稀土氧化物能力，进一步提升美国本土稀土供给。</w:t>
      </w:r>
    </w:p>
    <w:p w:rsidR="00980778" w:rsidRDefault="0054406F">
      <w:pPr>
        <w:ind w:firstLine="640"/>
      </w:pPr>
      <w:r>
        <w:rPr>
          <w:rFonts w:hint="eastAsia"/>
        </w:rPr>
        <w:t>在国际合作与下游产业链布局上，阿格斯金属网</w:t>
      </w:r>
      <w:r>
        <w:rPr>
          <w:rFonts w:hint="eastAsia"/>
        </w:rPr>
        <w:t>2025</w:t>
      </w:r>
      <w:r>
        <w:rPr>
          <w:rFonts w:hint="eastAsia"/>
        </w:rPr>
        <w:t>年</w:t>
      </w:r>
      <w:r>
        <w:rPr>
          <w:rFonts w:hint="eastAsia"/>
        </w:rPr>
        <w:t>5</w:t>
      </w:r>
      <w:r>
        <w:rPr>
          <w:rFonts w:hint="eastAsia"/>
        </w:rPr>
        <w:t>月</w:t>
      </w:r>
      <w:r>
        <w:rPr>
          <w:rFonts w:hint="eastAsia"/>
        </w:rPr>
        <w:t>14</w:t>
      </w:r>
      <w:r>
        <w:rPr>
          <w:rFonts w:hint="eastAsia"/>
        </w:rPr>
        <w:t>日报道，美国稀土生产商</w:t>
      </w:r>
      <w:r>
        <w:rPr>
          <w:rFonts w:hint="eastAsia"/>
        </w:rPr>
        <w:t>MP</w:t>
      </w:r>
      <w:r>
        <w:rPr>
          <w:rFonts w:hint="eastAsia"/>
        </w:rPr>
        <w:t> </w:t>
      </w:r>
      <w:r>
        <w:rPr>
          <w:rFonts w:hint="eastAsia"/>
        </w:rPr>
        <w:t>Materials</w:t>
      </w:r>
      <w:r>
        <w:rPr>
          <w:rFonts w:hint="eastAsia"/>
        </w:rPr>
        <w:t>与沙特</w:t>
      </w:r>
      <w:r>
        <w:rPr>
          <w:rFonts w:hint="eastAsia"/>
        </w:rPr>
        <w:t>Ma</w:t>
      </w:r>
      <w:r>
        <w:rPr>
          <w:rFonts w:hint="eastAsia"/>
        </w:rPr>
        <w:t>’</w:t>
      </w:r>
      <w:r>
        <w:rPr>
          <w:rFonts w:hint="eastAsia"/>
        </w:rPr>
        <w:t>aden</w:t>
      </w:r>
      <w:r>
        <w:rPr>
          <w:rFonts w:hint="eastAsia"/>
        </w:rPr>
        <w:t>合作，计划在沙特建立一体化稀土供应链，包括开采、分离、冶炼及磁体生产，旨在打造“矿—磁体”产业链以减少对中方依赖。除此之外，美国国防部新闻曾提到，自</w:t>
      </w:r>
      <w:r>
        <w:rPr>
          <w:rFonts w:hint="eastAsia"/>
        </w:rPr>
        <w:t>2020</w:t>
      </w:r>
      <w:r>
        <w:rPr>
          <w:rFonts w:hint="eastAsia"/>
        </w:rPr>
        <w:t>年起美国累计投入逾</w:t>
      </w:r>
      <w:r>
        <w:rPr>
          <w:rFonts w:hint="eastAsia"/>
        </w:rPr>
        <w:t>4.4</w:t>
      </w:r>
      <w:r>
        <w:rPr>
          <w:rFonts w:hint="eastAsia"/>
        </w:rPr>
        <w:t>亿美元用于“矿至磁体”项目，并表示计划在</w:t>
      </w:r>
      <w:r>
        <w:rPr>
          <w:rFonts w:hint="eastAsia"/>
        </w:rPr>
        <w:t>2027</w:t>
      </w:r>
      <w:r>
        <w:rPr>
          <w:rFonts w:hint="eastAsia"/>
        </w:rPr>
        <w:t>年前实现全部国防需求的国产稀土供应链</w:t>
      </w:r>
      <w:r>
        <w:rPr>
          <w:rFonts w:hint="eastAsia"/>
        </w:rPr>
        <w:t xml:space="preserve"> </w:t>
      </w:r>
      <w:r>
        <w:rPr>
          <w:rFonts w:hint="eastAsia"/>
        </w:rPr>
        <w:t>。例如，美国本土山坡岭（</w:t>
      </w:r>
      <w:r>
        <w:rPr>
          <w:rFonts w:hint="eastAsia"/>
        </w:rPr>
        <w:t>Mountain</w:t>
      </w:r>
      <w:r>
        <w:rPr>
          <w:rFonts w:hint="eastAsia"/>
        </w:rPr>
        <w:t> </w:t>
      </w:r>
      <w:r>
        <w:rPr>
          <w:rFonts w:hint="eastAsia"/>
        </w:rPr>
        <w:t>Pass</w:t>
      </w:r>
      <w:r>
        <w:rPr>
          <w:rFonts w:hint="eastAsia"/>
        </w:rPr>
        <w:t>）矿场通过国防部资助已恢复轻重稀土分离产能，并计划于德州</w:t>
      </w:r>
      <w:r>
        <w:rPr>
          <w:rFonts w:hint="eastAsia"/>
        </w:rPr>
        <w:t>Fort</w:t>
      </w:r>
      <w:r>
        <w:rPr>
          <w:rFonts w:hint="eastAsia"/>
        </w:rPr>
        <w:t> </w:t>
      </w:r>
      <w:r>
        <w:rPr>
          <w:rFonts w:hint="eastAsia"/>
        </w:rPr>
        <w:t>Worth</w:t>
      </w:r>
      <w:r>
        <w:rPr>
          <w:rFonts w:hint="eastAsia"/>
        </w:rPr>
        <w:t>建立</w:t>
      </w:r>
      <w:r>
        <w:rPr>
          <w:rFonts w:hint="eastAsia"/>
        </w:rPr>
        <w:t>NdFeB</w:t>
      </w:r>
      <w:r>
        <w:rPr>
          <w:rFonts w:hint="eastAsia"/>
        </w:rPr>
        <w:t>磁体制造厂，助力下游链条发展</w:t>
      </w:r>
      <w:r>
        <w:rPr>
          <w:rFonts w:hint="eastAsia"/>
        </w:rPr>
        <w:t xml:space="preserve"> </w:t>
      </w:r>
      <w:r>
        <w:rPr>
          <w:rFonts w:hint="eastAsia"/>
        </w:rPr>
        <w:t>。</w:t>
      </w:r>
    </w:p>
    <w:p w:rsidR="00980778" w:rsidRDefault="0054406F">
      <w:pPr>
        <w:ind w:firstLine="640"/>
      </w:pPr>
      <w:r>
        <w:rPr>
          <w:rFonts w:hint="eastAsia"/>
        </w:rPr>
        <w:lastRenderedPageBreak/>
        <w:t>不过，行业专家认为，美国目前仍处于追赶阶段：中重稀土加工技术与高端磁体产业链尚未成熟，商业化规模有限，技术储备不足、环保成本高企及劳动力成本上升等问题形成多重瓶颈。加之中国自</w:t>
      </w:r>
      <w:r>
        <w:rPr>
          <w:rFonts w:hint="eastAsia"/>
        </w:rPr>
        <w:t xml:space="preserve"> 2025 </w:t>
      </w:r>
      <w:r>
        <w:rPr>
          <w:rFonts w:hint="eastAsia"/>
        </w:rPr>
        <w:t>年</w:t>
      </w:r>
      <w:r>
        <w:rPr>
          <w:rFonts w:hint="eastAsia"/>
        </w:rPr>
        <w:t xml:space="preserve"> 4 </w:t>
      </w:r>
      <w:r>
        <w:rPr>
          <w:rFonts w:hint="eastAsia"/>
        </w:rPr>
        <w:t>月起对七类重稀土及磁体产品实施出口许可制度，引发全球供应紧张，尽管美国及其盟国加快了合作与库存储备，但短期内对中国的依赖仍难以改变。</w:t>
      </w:r>
    </w:p>
    <w:p w:rsidR="00980778" w:rsidRDefault="00980778">
      <w:pPr>
        <w:ind w:firstLineChars="0" w:firstLine="0"/>
      </w:pPr>
    </w:p>
    <w:p w:rsidR="00980778" w:rsidRDefault="00980778">
      <w:pPr>
        <w:ind w:firstLine="640"/>
      </w:pPr>
    </w:p>
    <w:p w:rsidR="00980778" w:rsidRDefault="00980778">
      <w:pPr>
        <w:ind w:firstLine="640"/>
      </w:pPr>
    </w:p>
    <w:p w:rsidR="00980778" w:rsidRDefault="00980778">
      <w:pPr>
        <w:ind w:firstLine="640"/>
      </w:pPr>
    </w:p>
    <w:p w:rsidR="00980778" w:rsidRDefault="0054406F">
      <w:pPr>
        <w:ind w:firstLine="643"/>
        <w:rPr>
          <w:rFonts w:ascii="Segoe UI" w:eastAsia="Segoe UI" w:hAnsi="Segoe UI" w:cs="Segoe UI"/>
          <w:b/>
          <w:bCs/>
          <w:shd w:val="clear" w:color="auto" w:fill="FFFFFF"/>
        </w:rPr>
      </w:pPr>
      <w:r>
        <w:rPr>
          <w:rFonts w:ascii="Segoe UI" w:eastAsia="Segoe UI" w:hAnsi="Segoe UI" w:cs="Segoe UI" w:hint="eastAsia"/>
          <w:b/>
          <w:bCs/>
          <w:shd w:val="clear" w:color="auto" w:fill="FFFFFF"/>
        </w:rPr>
        <w:br w:type="page"/>
      </w:r>
    </w:p>
    <w:p w:rsidR="00980778" w:rsidRDefault="0054406F">
      <w:pPr>
        <w:pStyle w:val="2"/>
        <w:spacing w:before="0" w:after="0" w:line="560" w:lineRule="exact"/>
        <w:ind w:firstLineChars="0" w:firstLine="0"/>
        <w:rPr>
          <w:rFonts w:ascii="Segoe UI" w:eastAsia="Segoe UI" w:hAnsi="Segoe UI" w:cs="Segoe UI"/>
          <w:bCs/>
          <w:shd w:val="clear" w:color="auto" w:fill="FFFFFF"/>
        </w:rPr>
      </w:pPr>
      <w:bookmarkStart w:id="16" w:name="_Toc203120501"/>
      <w:r>
        <w:rPr>
          <w:rFonts w:ascii="Segoe UI" w:eastAsia="Segoe UI" w:hAnsi="Segoe UI" w:cs="Segoe UI" w:hint="eastAsia"/>
          <w:bCs/>
          <w:shd w:val="clear" w:color="auto" w:fill="FFFFFF"/>
        </w:rPr>
        <w:lastRenderedPageBreak/>
        <w:t>三、防控对策</w:t>
      </w:r>
      <w:bookmarkEnd w:id="16"/>
    </w:p>
    <w:p w:rsidR="00830ECF" w:rsidRPr="00830ECF" w:rsidRDefault="00830ECF" w:rsidP="00830ECF">
      <w:pPr>
        <w:pStyle w:val="3"/>
        <w:autoSpaceDE w:val="0"/>
        <w:ind w:firstLine="640"/>
        <w:rPr>
          <w:rFonts w:cs="黑体" w:hint="default"/>
          <w:bCs/>
        </w:rPr>
      </w:pPr>
      <w:bookmarkStart w:id="17" w:name="_Toc203120502"/>
      <w:r w:rsidRPr="00830ECF">
        <w:rPr>
          <w:rFonts w:ascii="黑体" w:hAnsi="黑体"/>
          <w:bCs/>
        </w:rPr>
        <w:t>（一）完善国内管制体系</w:t>
      </w:r>
      <w:bookmarkEnd w:id="17"/>
    </w:p>
    <w:p w:rsidR="00830ECF" w:rsidRDefault="00830ECF" w:rsidP="00830ECF">
      <w:pPr>
        <w:ind w:firstLine="640"/>
        <w:rPr>
          <w:rFonts w:cs="Times New Roman"/>
        </w:rPr>
      </w:pPr>
      <w:r>
        <w:rPr>
          <w:rFonts w:ascii="方正仿宋_GBK"/>
        </w:rPr>
        <w:t>在稀土及相关关键金属的管控方面，需从审批、监管、审查等多个维度构建严密体系。</w:t>
      </w:r>
    </w:p>
    <w:p w:rsidR="00830ECF" w:rsidRDefault="00830ECF" w:rsidP="00830ECF">
      <w:pPr>
        <w:ind w:firstLine="640"/>
      </w:pPr>
      <w:r>
        <w:rPr>
          <w:rFonts w:ascii="方正仿宋_GBK"/>
        </w:rPr>
        <w:t>严格出口审批与流程监管，持续优化出口许可证管理制度，对每一笔出口交易进行严格审批，重点审查最终用户和终端用途，防止技术与资源非法外流。依据出口管制政策，确保交易符合国家要求，出口前必须获得合法许可证，且对许可证的颁发、使用进行全程追踪核查，同时加强出口流程各环节监管，保障交易合法合规。</w:t>
      </w:r>
    </w:p>
    <w:p w:rsidR="00830ECF" w:rsidRDefault="00830ECF" w:rsidP="00830ECF">
      <w:pPr>
        <w:ind w:firstLine="640"/>
      </w:pPr>
      <w:r>
        <w:rPr>
          <w:rFonts w:ascii="方正仿宋_GBK"/>
        </w:rPr>
        <w:t>强化申报审查与监管体系建设。对于进出口稀土的报关文件，要进行严格审查，尤其针对敏感金属和产品的单证，确保其真实性，杜绝虚报、瞒报或通过变更商品分类规避管制的行为。同时，建立多层次监管体系，针对高风险、高价值的稀土及相关产品，设置多环节监管措施，比如在运输途中设立中转检验点，防止货物被替换或走私。完善货物流通和追踪系统，实时记录货物运输路线、存储地点和最终目的地，杜绝未经授权的转运或转手。</w:t>
      </w:r>
    </w:p>
    <w:p w:rsidR="00830ECF" w:rsidRDefault="00830ECF" w:rsidP="00830ECF">
      <w:pPr>
        <w:ind w:firstLine="640"/>
      </w:pPr>
      <w:r>
        <w:rPr>
          <w:rFonts w:ascii="方正仿宋_GBK"/>
        </w:rPr>
        <w:t>提升查验能力与动态管控水平。对高风险的稀土及稀有金属货物，开展全程监督和详细查验，包括物理检查、扫描、取样检测等，严厉打击通过改装集装箱或走私渠道伪装运输的行为。通过定期培训海关人员，提升其对管制物品的识别能力和查验技能，同时增加具备稀土提炼与加工专业知识的</w:t>
      </w:r>
      <w:r>
        <w:rPr>
          <w:rFonts w:ascii="方正仿宋_GBK"/>
        </w:rPr>
        <w:lastRenderedPageBreak/>
        <w:t>工作人员，提高监管专业化水平。定期评估出口管控措施，及时识别薄弱环节和技术盲点，动态调整措施，确保管控的有效性。</w:t>
      </w:r>
    </w:p>
    <w:p w:rsidR="00830ECF" w:rsidRPr="00830ECF" w:rsidRDefault="00830ECF" w:rsidP="00830ECF">
      <w:pPr>
        <w:pStyle w:val="3"/>
        <w:autoSpaceDE w:val="0"/>
        <w:ind w:firstLine="640"/>
        <w:rPr>
          <w:rFonts w:cs="黑体" w:hint="default"/>
          <w:bCs/>
        </w:rPr>
      </w:pPr>
      <w:bookmarkStart w:id="18" w:name="_Toc203120503"/>
      <w:r w:rsidRPr="00830ECF">
        <w:rPr>
          <w:rFonts w:ascii="黑体" w:hAnsi="黑体"/>
          <w:bCs/>
        </w:rPr>
        <w:t>（二）加强技术防控与人才管理</w:t>
      </w:r>
      <w:bookmarkEnd w:id="18"/>
    </w:p>
    <w:p w:rsidR="00830ECF" w:rsidRDefault="00830ECF" w:rsidP="00830ECF">
      <w:pPr>
        <w:ind w:firstLine="640"/>
        <w:rPr>
          <w:rFonts w:cs="Times New Roman"/>
        </w:rPr>
      </w:pPr>
      <w:r>
        <w:rPr>
          <w:rFonts w:ascii="方正仿宋_GBK" w:hint="eastAsia"/>
        </w:rPr>
        <w:t>强化技术与设备监管，重点加强对稀土生产关键技术和设备的管理，尤其是涉及稀土提炼、分离技术的设备，要通过严格的审批、登记和追踪机制，防止其非法流入其他国家或地区，从源头遏制技术外泄风险。</w:t>
      </w:r>
      <w:r>
        <w:rPr>
          <w:rFonts w:ascii="MS Gothic" w:eastAsia="MS Gothic" w:hAnsi="MS Gothic" w:cs="MS Gothic" w:hint="eastAsia"/>
        </w:rPr>
        <w:t>​</w:t>
      </w:r>
    </w:p>
    <w:p w:rsidR="00830ECF" w:rsidRDefault="00830ECF" w:rsidP="00830ECF">
      <w:pPr>
        <w:ind w:firstLine="640"/>
      </w:pPr>
      <w:r>
        <w:rPr>
          <w:rFonts w:ascii="方正仿宋_GBK" w:hint="eastAsia"/>
        </w:rPr>
        <w:t>对稀土生产线的全流程监管，覆盖矿产开采、加工、冶炼、分离等各个环节。监管不仅要聚焦生产合规性，还要严格核查环保和安全标准的执行情况，确保生产过程符合国家规范，同时严防稀土产品被挪用至非法渠道。</w:t>
      </w:r>
      <w:r>
        <w:rPr>
          <w:rFonts w:ascii="MS Gothic" w:eastAsia="MS Gothic" w:hAnsi="MS Gothic" w:cs="MS Gothic" w:hint="eastAsia"/>
        </w:rPr>
        <w:t>​</w:t>
      </w:r>
    </w:p>
    <w:p w:rsidR="00830ECF" w:rsidRDefault="00830ECF" w:rsidP="00830ECF">
      <w:pPr>
        <w:ind w:firstLine="640"/>
      </w:pPr>
      <w:r>
        <w:rPr>
          <w:rFonts w:ascii="方正仿宋_GBK" w:hint="eastAsia"/>
        </w:rPr>
        <w:t>行业人才管理，加大对稀土行业高端技术人才的关注与管理力度，通过完善激励机制、加强职业发展保障等方式，避免关键技术人才流失，特别是防止被外资企业挖角，以稳定技术团队，守住技术壁垒。</w:t>
      </w:r>
      <w:r>
        <w:rPr>
          <w:rFonts w:ascii="MS Gothic" w:eastAsia="MS Gothic" w:hAnsi="MS Gothic" w:cs="MS Gothic" w:hint="eastAsia"/>
        </w:rPr>
        <w:t>​</w:t>
      </w:r>
    </w:p>
    <w:p w:rsidR="00830ECF" w:rsidRDefault="00830ECF" w:rsidP="00830ECF">
      <w:pPr>
        <w:ind w:firstLine="640"/>
      </w:pPr>
      <w:r>
        <w:rPr>
          <w:rFonts w:ascii="方正仿宋_GBK" w:hint="eastAsia"/>
        </w:rPr>
        <w:t>信息保密与安全措施，针对稀土行业的敏感信息，如技术数据、生产设备参数、商业机密等，需建立严格的保密制度，明确涉密范围、传播权限和防护责任，全方位杜绝信息泄露隐患，筑牢稀土产业的安全防线。</w:t>
      </w:r>
    </w:p>
    <w:p w:rsidR="00830ECF" w:rsidRPr="00830ECF" w:rsidRDefault="00830ECF" w:rsidP="00830ECF">
      <w:pPr>
        <w:pStyle w:val="3"/>
        <w:autoSpaceDE w:val="0"/>
        <w:ind w:firstLine="640"/>
        <w:rPr>
          <w:rFonts w:cs="黑体" w:hint="default"/>
          <w:bCs/>
        </w:rPr>
      </w:pPr>
      <w:bookmarkStart w:id="19" w:name="_Toc203120504"/>
      <w:r w:rsidRPr="00830ECF">
        <w:rPr>
          <w:rFonts w:ascii="黑体" w:hAnsi="黑体"/>
          <w:bCs/>
        </w:rPr>
        <w:t>（三）加强对美国重构稀土供应链的防控</w:t>
      </w:r>
      <w:bookmarkEnd w:id="19"/>
    </w:p>
    <w:p w:rsidR="00830ECF" w:rsidRDefault="00830ECF" w:rsidP="00830ECF">
      <w:pPr>
        <w:ind w:firstLine="640"/>
        <w:rPr>
          <w:rFonts w:cs="Times New Roman"/>
        </w:rPr>
      </w:pPr>
      <w:r>
        <w:rPr>
          <w:rFonts w:ascii="方正仿宋_GBK"/>
        </w:rPr>
        <w:t>关注国际产业链动向</w:t>
      </w:r>
      <w:r>
        <w:rPr>
          <w:rFonts w:hint="eastAsia"/>
        </w:rPr>
        <w:t>,</w:t>
      </w:r>
      <w:r>
        <w:rPr>
          <w:rFonts w:ascii="方正仿宋_GBK"/>
        </w:rPr>
        <w:t>加强对美国等国家稀土供应链重</w:t>
      </w:r>
      <w:r>
        <w:rPr>
          <w:rFonts w:ascii="方正仿宋_GBK"/>
        </w:rPr>
        <w:lastRenderedPageBreak/>
        <w:t>构计划的关注，及时获取其在稀土生产、加工、提炼等环节的动态，做好相应的预判与防控措施。</w:t>
      </w:r>
    </w:p>
    <w:p w:rsidR="00830ECF" w:rsidRDefault="00830ECF" w:rsidP="00830ECF">
      <w:pPr>
        <w:ind w:firstLine="640"/>
      </w:pPr>
      <w:r>
        <w:rPr>
          <w:rFonts w:ascii="方正仿宋_GBK"/>
        </w:rPr>
        <w:t>防止核心技术外流</w:t>
      </w:r>
      <w:r>
        <w:rPr>
          <w:rFonts w:ascii="方正仿宋_GBK" w:hint="eastAsia"/>
        </w:rPr>
        <w:t>，</w:t>
      </w:r>
      <w:r>
        <w:rPr>
          <w:rFonts w:ascii="方正仿宋_GBK"/>
        </w:rPr>
        <w:t>对于涉及核心技术的设备、材料及人员加强管理，防止技术外泄，特别是防止中国的高技术稀土生产能力被外部国家获取。</w:t>
      </w:r>
    </w:p>
    <w:p w:rsidR="0080095F" w:rsidRDefault="00F764B1" w:rsidP="00F764B1">
      <w:pPr>
        <w:pStyle w:val="3"/>
        <w:autoSpaceDE w:val="0"/>
        <w:ind w:firstLine="640"/>
        <w:rPr>
          <w:rFonts w:ascii="黑体" w:hAnsi="黑体" w:hint="default"/>
          <w:bCs/>
        </w:rPr>
      </w:pPr>
      <w:bookmarkStart w:id="20" w:name="_Toc203120505"/>
      <w:r w:rsidRPr="00F764B1">
        <w:rPr>
          <w:rFonts w:ascii="黑体" w:hAnsi="黑体"/>
          <w:bCs/>
        </w:rPr>
        <w:t>（四）</w:t>
      </w:r>
      <w:r w:rsidR="0080095F">
        <w:rPr>
          <w:rFonts w:ascii="黑体" w:hAnsi="黑体"/>
          <w:bCs/>
        </w:rPr>
        <w:t>现状</w:t>
      </w:r>
    </w:p>
    <w:bookmarkEnd w:id="20"/>
    <w:p w:rsidR="008D7C40" w:rsidRDefault="008D7C40" w:rsidP="0080095F">
      <w:pPr>
        <w:ind w:firstLine="640"/>
        <w:rPr>
          <w:rFonts w:hint="eastAsia"/>
        </w:rPr>
      </w:pPr>
      <w:r>
        <w:rPr>
          <w:rFonts w:hint="eastAsia"/>
        </w:rPr>
        <w:t>2025</w:t>
      </w:r>
      <w:r>
        <w:rPr>
          <w:rFonts w:hint="eastAsia"/>
        </w:rPr>
        <w:t>年，中国在稀土战略上进行全面升级，核心举措之一是设立国家稀土技术研究院。该研究院整合多方资源，聚焦稀土分离、提纯及高端应用技术研发，致力于突破“卡脖子”技术，建立全球领先的技术标准体系。同时，通过研发全流程保密管理、专利快速</w:t>
      </w:r>
      <w:bookmarkStart w:id="21" w:name="_GoBack"/>
      <w:bookmarkEnd w:id="21"/>
      <w:r>
        <w:rPr>
          <w:rFonts w:hint="eastAsia"/>
        </w:rPr>
        <w:t>申报等方式防范技术外泄，还针对国际竞争布局替代技术，形成独特技术壁垒。在技术保密与人才管理方面，实施“背景审查</w:t>
      </w:r>
      <w:r>
        <w:rPr>
          <w:rFonts w:hint="eastAsia"/>
        </w:rPr>
        <w:t>+</w:t>
      </w:r>
      <w:r>
        <w:rPr>
          <w:rFonts w:hint="eastAsia"/>
        </w:rPr>
        <w:t>动态监控”的“双锁”机制，建立“技术流失黑名单”，并通过大量专利布局及国际专利布局压缩竞争对手空间。</w:t>
      </w:r>
    </w:p>
    <w:p w:rsidR="008D7C40" w:rsidRDefault="008D7C40" w:rsidP="0080095F">
      <w:pPr>
        <w:ind w:firstLine="640"/>
        <w:rPr>
          <w:rFonts w:hint="eastAsia"/>
        </w:rPr>
      </w:pPr>
      <w:r>
        <w:rPr>
          <w:rFonts w:hint="eastAsia"/>
        </w:rPr>
        <w:t>为构建技术安全防线，中国严厉打击“内鬼”泄密。在源头管控上，实行研发闭环管理，关键实验室采用“物理隔离</w:t>
      </w:r>
      <w:r>
        <w:rPr>
          <w:rFonts w:hint="eastAsia"/>
        </w:rPr>
        <w:t>+</w:t>
      </w:r>
      <w:r>
        <w:rPr>
          <w:rFonts w:hint="eastAsia"/>
        </w:rPr>
        <w:t>人脸识别”双认证；</w:t>
      </w:r>
      <w:r>
        <w:rPr>
          <w:rFonts w:hint="eastAsia"/>
        </w:rPr>
        <w:t>2025</w:t>
      </w:r>
      <w:r>
        <w:rPr>
          <w:rFonts w:hint="eastAsia"/>
        </w:rPr>
        <w:t>年</w:t>
      </w:r>
      <w:r>
        <w:rPr>
          <w:rFonts w:hint="eastAsia"/>
        </w:rPr>
        <w:t>5</w:t>
      </w:r>
      <w:r>
        <w:rPr>
          <w:rFonts w:hint="eastAsia"/>
        </w:rPr>
        <w:t>月启动“稀土技术安全护航计划”，对非法获取、出售稀土分离技术的行为予以严惩，某南方稀土集团高管因泄密被判刑便是例证。在反制策略上，采取“技术</w:t>
      </w:r>
      <w:r>
        <w:rPr>
          <w:rFonts w:hint="eastAsia"/>
        </w:rPr>
        <w:t>+</w:t>
      </w:r>
      <w:r>
        <w:rPr>
          <w:rFonts w:hint="eastAsia"/>
        </w:rPr>
        <w:t>资源”双锁，拒绝不合规企业的出口申请，且中国企业在美申请专利时附加技术使用限制条款。</w:t>
      </w:r>
    </w:p>
    <w:p w:rsidR="008D7C40" w:rsidRDefault="008D7C40" w:rsidP="0080095F">
      <w:pPr>
        <w:ind w:firstLine="640"/>
        <w:rPr>
          <w:rFonts w:hint="eastAsia"/>
        </w:rPr>
      </w:pPr>
      <w:r>
        <w:rPr>
          <w:rFonts w:hint="eastAsia"/>
        </w:rPr>
        <w:t>在打击稀土走私方面，中国构建了多维度防控体系。</w:t>
      </w:r>
      <w:r>
        <w:rPr>
          <w:rFonts w:hint="eastAsia"/>
        </w:rPr>
        <w:lastRenderedPageBreak/>
        <w:t>2025</w:t>
      </w:r>
      <w:r>
        <w:rPr>
          <w:rFonts w:hint="eastAsia"/>
        </w:rPr>
        <w:t>年</w:t>
      </w:r>
      <w:r>
        <w:rPr>
          <w:rFonts w:hint="eastAsia"/>
        </w:rPr>
        <w:t>5</w:t>
      </w:r>
      <w:r>
        <w:rPr>
          <w:rFonts w:hint="eastAsia"/>
        </w:rPr>
        <w:t>月开展“战略矿产走私严打行动”，重点打击伪报品名、夹藏走私、第三国转口等行为，海关启用</w:t>
      </w:r>
      <w:r>
        <w:rPr>
          <w:rFonts w:hint="eastAsia"/>
        </w:rPr>
        <w:t>AI</w:t>
      </w:r>
      <w:r>
        <w:rPr>
          <w:rFonts w:hint="eastAsia"/>
        </w:rPr>
        <w:t>图像识别系统，识别率达</w:t>
      </w:r>
      <w:r>
        <w:rPr>
          <w:rFonts w:hint="eastAsia"/>
        </w:rPr>
        <w:t>98%</w:t>
      </w:r>
      <w:r>
        <w:rPr>
          <w:rFonts w:hint="eastAsia"/>
        </w:rPr>
        <w:t>。同时实施“一案双查”和信用惩戒，对涉案企业和个人进行高额罚款及多领域联合惩戒。在国际协作上，主导修订</w:t>
      </w:r>
      <w:r>
        <w:rPr>
          <w:rFonts w:hint="eastAsia"/>
        </w:rPr>
        <w:t>ISO</w:t>
      </w:r>
      <w:r>
        <w:rPr>
          <w:rFonts w:hint="eastAsia"/>
        </w:rPr>
        <w:t>稀土分类标准，并与东南亚国家合作关闭非法加工中心。</w:t>
      </w:r>
    </w:p>
    <w:p w:rsidR="00F87EE2" w:rsidRDefault="008D7C40" w:rsidP="0080095F">
      <w:pPr>
        <w:ind w:firstLine="640"/>
      </w:pPr>
      <w:r>
        <w:rPr>
          <w:rFonts w:hint="eastAsia"/>
        </w:rPr>
        <w:t>从战略成效看，短期内稀土价格上涨，影响相关企业扩产，全球供应链也发生重构；但长期面临替代技术威胁和地缘博弈升级等挑战。总体而言，中国通过构建“技术</w:t>
      </w:r>
      <w:r>
        <w:rPr>
          <w:rFonts w:hint="eastAsia"/>
        </w:rPr>
        <w:t>-</w:t>
      </w:r>
      <w:r>
        <w:rPr>
          <w:rFonts w:hint="eastAsia"/>
        </w:rPr>
        <w:t>资源</w:t>
      </w:r>
      <w:r>
        <w:rPr>
          <w:rFonts w:hint="eastAsia"/>
        </w:rPr>
        <w:t>-</w:t>
      </w:r>
      <w:r>
        <w:rPr>
          <w:rFonts w:hint="eastAsia"/>
        </w:rPr>
        <w:t>政策”三位一体的战略防线，重塑全球稀土市场规则，在中美科技战中占据重要地位，未来需持续发力以巩固优势。</w:t>
      </w:r>
    </w:p>
    <w:p w:rsidR="0080095F" w:rsidRPr="0080095F" w:rsidRDefault="0080095F" w:rsidP="0080095F">
      <w:pPr>
        <w:ind w:firstLine="643"/>
        <w:rPr>
          <w:rFonts w:hint="eastAsia"/>
          <w:b/>
        </w:rPr>
      </w:pPr>
      <w:r w:rsidRPr="0080095F">
        <w:rPr>
          <w:rFonts w:hint="eastAsia"/>
          <w:b/>
        </w:rPr>
        <w:t>（作者金思宇系中国智库高级研究员、泛亚智库学朮委员会主任、中国合作贸易企业协会数字经济专业委员会顾问、远望智库产业顾问、秦安战略智库核心成员、国盛战略智库成员）</w:t>
      </w:r>
    </w:p>
    <w:sectPr w:rsidR="0080095F" w:rsidRPr="008009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2D7C" w:rsidRDefault="00202D7C">
      <w:pPr>
        <w:spacing w:line="240" w:lineRule="auto"/>
        <w:ind w:firstLine="640"/>
      </w:pPr>
      <w:r>
        <w:separator/>
      </w:r>
    </w:p>
  </w:endnote>
  <w:endnote w:type="continuationSeparator" w:id="0">
    <w:p w:rsidR="00202D7C" w:rsidRDefault="00202D7C">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K">
    <w:panose1 w:val="03000509000000000000"/>
    <w:charset w:val="86"/>
    <w:family w:val="script"/>
    <w:pitch w:val="fixed"/>
    <w:sig w:usb0="00000001" w:usb1="080E0000" w:usb2="00000010" w:usb3="00000000" w:csb0="00040000" w:csb1="00000000"/>
    <w:embedRegular r:id="rId1" w:subsetted="1" w:fontKey="{E70142D8-D7E3-4B93-AA54-58EAC15EB15F}"/>
    <w:embedBold r:id="rId2" w:subsetted="1" w:fontKey="{04770A1C-6C81-4BEA-A631-7A1287560497}"/>
  </w:font>
  <w:font w:name="黑体">
    <w:altName w:val="SimHei"/>
    <w:panose1 w:val="02010609060101010101"/>
    <w:charset w:val="86"/>
    <w:family w:val="modern"/>
    <w:pitch w:val="fixed"/>
    <w:sig w:usb0="800002BF" w:usb1="38CF7CFA" w:usb2="00000016" w:usb3="00000000" w:csb0="00040001" w:csb1="00000000"/>
    <w:embedRegular r:id="rId3" w:subsetted="1" w:fontKey="{E4A44C28-6CBF-4823-8E68-E80B08039FC2}"/>
  </w:font>
  <w:font w:name="Calibri Light">
    <w:panose1 w:val="020F0302020204030204"/>
    <w:charset w:val="00"/>
    <w:family w:val="swiss"/>
    <w:pitch w:val="variable"/>
    <w:sig w:usb0="E4002EFF" w:usb1="C200247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方正仿宋简体">
    <w:altName w:val="微软雅黑"/>
    <w:charset w:val="86"/>
    <w:family w:val="auto"/>
    <w:pitch w:val="default"/>
    <w:sig w:usb0="00000000" w:usb1="00000000" w:usb2="00000012" w:usb3="00000000" w:csb0="00040001" w:csb1="00000000"/>
    <w:embedRegular r:id="rId4" w:subsetted="1" w:fontKey="{F88095E6-9A47-4B32-91C4-BE22B2C2B545}"/>
    <w:embedBold r:id="rId5" w:subsetted="1" w:fontKey="{DB27A9EC-7784-44C8-8ED7-D3265B1812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Bold r:id="rId6" w:subsetted="1" w:fontKey="{77B4AE80-2791-4067-A038-0C9447C26CFD}"/>
  </w:font>
  <w:font w:name="MS Gothic">
    <w:altName w:val="ＭＳ ゴシック"/>
    <w:panose1 w:val="020B0609070205080204"/>
    <w:charset w:val="80"/>
    <w:family w:val="modern"/>
    <w:pitch w:val="fixed"/>
    <w:sig w:usb0="E00002FF" w:usb1="6AC7FDFB" w:usb2="08000012" w:usb3="00000000" w:csb0="0002009F" w:csb1="00000000"/>
    <w:embedRegular r:id="rId7" w:subsetted="1" w:fontKey="{953DE214-0C6B-4E7C-9514-855EAFCB7A66}"/>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2D7C" w:rsidRDefault="00202D7C">
      <w:pPr>
        <w:spacing w:line="240" w:lineRule="auto"/>
        <w:ind w:firstLine="640"/>
      </w:pPr>
      <w:r>
        <w:separator/>
      </w:r>
    </w:p>
  </w:footnote>
  <w:footnote w:type="continuationSeparator" w:id="0">
    <w:p w:rsidR="00202D7C" w:rsidRDefault="00202D7C">
      <w:pPr>
        <w:spacing w:line="240" w:lineRule="auto"/>
        <w:ind w:firstLine="6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C5F49A"/>
    <w:multiLevelType w:val="singleLevel"/>
    <w:tmpl w:val="88C5F49A"/>
    <w:lvl w:ilvl="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F3020"/>
    <w:rsid w:val="00202D7C"/>
    <w:rsid w:val="00245DB0"/>
    <w:rsid w:val="004852AB"/>
    <w:rsid w:val="00540055"/>
    <w:rsid w:val="00543B29"/>
    <w:rsid w:val="0054406F"/>
    <w:rsid w:val="007C430D"/>
    <w:rsid w:val="0080095F"/>
    <w:rsid w:val="00830ECF"/>
    <w:rsid w:val="00895B05"/>
    <w:rsid w:val="008D7C40"/>
    <w:rsid w:val="00980778"/>
    <w:rsid w:val="009E343B"/>
    <w:rsid w:val="00AB0FAC"/>
    <w:rsid w:val="00EB1C0E"/>
    <w:rsid w:val="00F764B1"/>
    <w:rsid w:val="00F87EE2"/>
    <w:rsid w:val="01A324E9"/>
    <w:rsid w:val="0272190A"/>
    <w:rsid w:val="03906A9D"/>
    <w:rsid w:val="03E71DFC"/>
    <w:rsid w:val="04A62A1C"/>
    <w:rsid w:val="04DA0918"/>
    <w:rsid w:val="04F82786"/>
    <w:rsid w:val="052346C7"/>
    <w:rsid w:val="05E42CB6"/>
    <w:rsid w:val="05EE467B"/>
    <w:rsid w:val="07A04AEA"/>
    <w:rsid w:val="07C531B9"/>
    <w:rsid w:val="08D37B58"/>
    <w:rsid w:val="0B534F80"/>
    <w:rsid w:val="0B696551"/>
    <w:rsid w:val="0C945850"/>
    <w:rsid w:val="0CAE6912"/>
    <w:rsid w:val="0DB47477"/>
    <w:rsid w:val="0DD914ED"/>
    <w:rsid w:val="0DDA54E4"/>
    <w:rsid w:val="0E71409B"/>
    <w:rsid w:val="0F795ADA"/>
    <w:rsid w:val="0FEE5277"/>
    <w:rsid w:val="10277FE5"/>
    <w:rsid w:val="10523A58"/>
    <w:rsid w:val="10A1213E"/>
    <w:rsid w:val="11316109"/>
    <w:rsid w:val="11441C25"/>
    <w:rsid w:val="11B60DA2"/>
    <w:rsid w:val="12953615"/>
    <w:rsid w:val="137E41E2"/>
    <w:rsid w:val="13C96385"/>
    <w:rsid w:val="141379A2"/>
    <w:rsid w:val="14CB2243"/>
    <w:rsid w:val="153246ED"/>
    <w:rsid w:val="15372A44"/>
    <w:rsid w:val="15C7162A"/>
    <w:rsid w:val="15ED4720"/>
    <w:rsid w:val="179D7CAF"/>
    <w:rsid w:val="17B15508"/>
    <w:rsid w:val="1826063F"/>
    <w:rsid w:val="18644328"/>
    <w:rsid w:val="189E6C73"/>
    <w:rsid w:val="18D21BDA"/>
    <w:rsid w:val="19397563"/>
    <w:rsid w:val="198451AB"/>
    <w:rsid w:val="19DA20A0"/>
    <w:rsid w:val="19F618F8"/>
    <w:rsid w:val="1A07140F"/>
    <w:rsid w:val="1A512FD2"/>
    <w:rsid w:val="1A7A7986"/>
    <w:rsid w:val="1AB20DB3"/>
    <w:rsid w:val="1CB367FB"/>
    <w:rsid w:val="1D4D182F"/>
    <w:rsid w:val="1DB66EF6"/>
    <w:rsid w:val="1DD91315"/>
    <w:rsid w:val="1E2210EC"/>
    <w:rsid w:val="1E340C41"/>
    <w:rsid w:val="1E7D4396"/>
    <w:rsid w:val="1E8079E2"/>
    <w:rsid w:val="1EE13D18"/>
    <w:rsid w:val="1FF31D99"/>
    <w:rsid w:val="1FFC753C"/>
    <w:rsid w:val="204607B7"/>
    <w:rsid w:val="20AE58A9"/>
    <w:rsid w:val="21147DD4"/>
    <w:rsid w:val="21A1039B"/>
    <w:rsid w:val="21A23927"/>
    <w:rsid w:val="21DA565B"/>
    <w:rsid w:val="221A0F78"/>
    <w:rsid w:val="2299039A"/>
    <w:rsid w:val="232A616E"/>
    <w:rsid w:val="239B0E1A"/>
    <w:rsid w:val="23B819CC"/>
    <w:rsid w:val="24AE521E"/>
    <w:rsid w:val="24B6415E"/>
    <w:rsid w:val="256805B2"/>
    <w:rsid w:val="25E60F07"/>
    <w:rsid w:val="262004A4"/>
    <w:rsid w:val="26307BB3"/>
    <w:rsid w:val="27225ADA"/>
    <w:rsid w:val="273E668C"/>
    <w:rsid w:val="27421E91"/>
    <w:rsid w:val="28285372"/>
    <w:rsid w:val="283261F1"/>
    <w:rsid w:val="284657F9"/>
    <w:rsid w:val="28527B30"/>
    <w:rsid w:val="28B906C0"/>
    <w:rsid w:val="293D7984"/>
    <w:rsid w:val="2A0B0B5B"/>
    <w:rsid w:val="2A273408"/>
    <w:rsid w:val="2A2D713F"/>
    <w:rsid w:val="2ABE1FBE"/>
    <w:rsid w:val="2AD25A69"/>
    <w:rsid w:val="2B904B47"/>
    <w:rsid w:val="2BB807BB"/>
    <w:rsid w:val="2BC76C50"/>
    <w:rsid w:val="2BD16E5F"/>
    <w:rsid w:val="2BF612E4"/>
    <w:rsid w:val="2C865BD1"/>
    <w:rsid w:val="2DC125F6"/>
    <w:rsid w:val="2DEA64A9"/>
    <w:rsid w:val="3098505F"/>
    <w:rsid w:val="30AC101F"/>
    <w:rsid w:val="31A041CB"/>
    <w:rsid w:val="31B935FE"/>
    <w:rsid w:val="32126659"/>
    <w:rsid w:val="3260318F"/>
    <w:rsid w:val="334D0383"/>
    <w:rsid w:val="33CB74FA"/>
    <w:rsid w:val="33F97BC3"/>
    <w:rsid w:val="3472212B"/>
    <w:rsid w:val="34E42621"/>
    <w:rsid w:val="3643781B"/>
    <w:rsid w:val="369F25CF"/>
    <w:rsid w:val="37377380"/>
    <w:rsid w:val="373F7FE3"/>
    <w:rsid w:val="379D2F5B"/>
    <w:rsid w:val="37CF580A"/>
    <w:rsid w:val="381A46A9"/>
    <w:rsid w:val="388D4D7E"/>
    <w:rsid w:val="39292A09"/>
    <w:rsid w:val="39341A7D"/>
    <w:rsid w:val="3A013439"/>
    <w:rsid w:val="3A537464"/>
    <w:rsid w:val="3A96472B"/>
    <w:rsid w:val="3AB55EDC"/>
    <w:rsid w:val="3AC256E5"/>
    <w:rsid w:val="3BD825F4"/>
    <w:rsid w:val="3BEB698B"/>
    <w:rsid w:val="3BF910A8"/>
    <w:rsid w:val="3CDA77F2"/>
    <w:rsid w:val="3D5278D3"/>
    <w:rsid w:val="3D6D517E"/>
    <w:rsid w:val="3DC42523"/>
    <w:rsid w:val="3F74336F"/>
    <w:rsid w:val="3FD57039"/>
    <w:rsid w:val="417E5BAB"/>
    <w:rsid w:val="41910B41"/>
    <w:rsid w:val="41EE3E1E"/>
    <w:rsid w:val="42051E29"/>
    <w:rsid w:val="42576B28"/>
    <w:rsid w:val="425863FC"/>
    <w:rsid w:val="425A3F23"/>
    <w:rsid w:val="42672AE3"/>
    <w:rsid w:val="42B72BED"/>
    <w:rsid w:val="43B92ECB"/>
    <w:rsid w:val="43F16B09"/>
    <w:rsid w:val="44144F37"/>
    <w:rsid w:val="4438084A"/>
    <w:rsid w:val="45A71B75"/>
    <w:rsid w:val="45BB50BB"/>
    <w:rsid w:val="46B5206F"/>
    <w:rsid w:val="46C85B11"/>
    <w:rsid w:val="46DC75FC"/>
    <w:rsid w:val="482E032B"/>
    <w:rsid w:val="494641D0"/>
    <w:rsid w:val="49663AF5"/>
    <w:rsid w:val="49FE52FF"/>
    <w:rsid w:val="4A0F4644"/>
    <w:rsid w:val="4A4F27DB"/>
    <w:rsid w:val="4A5676C5"/>
    <w:rsid w:val="4AEB7097"/>
    <w:rsid w:val="4B553060"/>
    <w:rsid w:val="4BD801A1"/>
    <w:rsid w:val="4C2D4456"/>
    <w:rsid w:val="4D5A3970"/>
    <w:rsid w:val="4D61085B"/>
    <w:rsid w:val="4D7F6F33"/>
    <w:rsid w:val="4E5E3FE5"/>
    <w:rsid w:val="4F045361"/>
    <w:rsid w:val="4F0678A5"/>
    <w:rsid w:val="4FC155E1"/>
    <w:rsid w:val="5012408F"/>
    <w:rsid w:val="50211356"/>
    <w:rsid w:val="504867C6"/>
    <w:rsid w:val="506E4FA1"/>
    <w:rsid w:val="50A75DAE"/>
    <w:rsid w:val="50AB289C"/>
    <w:rsid w:val="50B3584D"/>
    <w:rsid w:val="512B1EA4"/>
    <w:rsid w:val="522B6114"/>
    <w:rsid w:val="53161A10"/>
    <w:rsid w:val="53DF697E"/>
    <w:rsid w:val="53E45D42"/>
    <w:rsid w:val="54A61351"/>
    <w:rsid w:val="54B03E76"/>
    <w:rsid w:val="54C6369A"/>
    <w:rsid w:val="54DC1F7F"/>
    <w:rsid w:val="55627866"/>
    <w:rsid w:val="556C0D8F"/>
    <w:rsid w:val="55E738C7"/>
    <w:rsid w:val="55F12998"/>
    <w:rsid w:val="56187F25"/>
    <w:rsid w:val="564E143F"/>
    <w:rsid w:val="569F0646"/>
    <w:rsid w:val="56B31286"/>
    <w:rsid w:val="576F0018"/>
    <w:rsid w:val="5841709D"/>
    <w:rsid w:val="584414A5"/>
    <w:rsid w:val="58EC2166"/>
    <w:rsid w:val="598C1A5F"/>
    <w:rsid w:val="599D3805"/>
    <w:rsid w:val="5A380B96"/>
    <w:rsid w:val="5A6C4CE3"/>
    <w:rsid w:val="5A875679"/>
    <w:rsid w:val="5AD02E7D"/>
    <w:rsid w:val="5B3A05C7"/>
    <w:rsid w:val="5C384E7D"/>
    <w:rsid w:val="5C743663"/>
    <w:rsid w:val="5C863FDA"/>
    <w:rsid w:val="5DCE663E"/>
    <w:rsid w:val="5DD0626A"/>
    <w:rsid w:val="5DE434FC"/>
    <w:rsid w:val="5E60642D"/>
    <w:rsid w:val="5EDC4B7F"/>
    <w:rsid w:val="5EE252A6"/>
    <w:rsid w:val="60255718"/>
    <w:rsid w:val="60561D75"/>
    <w:rsid w:val="60992C13"/>
    <w:rsid w:val="60AF592A"/>
    <w:rsid w:val="616E2A35"/>
    <w:rsid w:val="61B72CE8"/>
    <w:rsid w:val="61D54F1C"/>
    <w:rsid w:val="62015D11"/>
    <w:rsid w:val="620164B0"/>
    <w:rsid w:val="62500A46"/>
    <w:rsid w:val="63A228E8"/>
    <w:rsid w:val="63C57A06"/>
    <w:rsid w:val="64085A7D"/>
    <w:rsid w:val="644C3BBB"/>
    <w:rsid w:val="647105EB"/>
    <w:rsid w:val="648D1ADE"/>
    <w:rsid w:val="653630D5"/>
    <w:rsid w:val="6554137F"/>
    <w:rsid w:val="656E2A04"/>
    <w:rsid w:val="65FF3020"/>
    <w:rsid w:val="676F1242"/>
    <w:rsid w:val="676F1572"/>
    <w:rsid w:val="67F85E08"/>
    <w:rsid w:val="68263540"/>
    <w:rsid w:val="686E1C26"/>
    <w:rsid w:val="68CF4DBB"/>
    <w:rsid w:val="68EF2D67"/>
    <w:rsid w:val="697B0A9F"/>
    <w:rsid w:val="69A41DA4"/>
    <w:rsid w:val="6A611A43"/>
    <w:rsid w:val="6AA90C16"/>
    <w:rsid w:val="6AD75A6B"/>
    <w:rsid w:val="6ADB16F9"/>
    <w:rsid w:val="6D595207"/>
    <w:rsid w:val="6E782BF4"/>
    <w:rsid w:val="6F667AFB"/>
    <w:rsid w:val="6FF270A6"/>
    <w:rsid w:val="70292766"/>
    <w:rsid w:val="704020FA"/>
    <w:rsid w:val="70693EB8"/>
    <w:rsid w:val="711C2B67"/>
    <w:rsid w:val="71424A8C"/>
    <w:rsid w:val="71695FF1"/>
    <w:rsid w:val="72367C59"/>
    <w:rsid w:val="723B6C68"/>
    <w:rsid w:val="72FA2E1A"/>
    <w:rsid w:val="73027B3B"/>
    <w:rsid w:val="73577E87"/>
    <w:rsid w:val="73A664A3"/>
    <w:rsid w:val="73BC418E"/>
    <w:rsid w:val="73C179F6"/>
    <w:rsid w:val="74341F76"/>
    <w:rsid w:val="74675EA7"/>
    <w:rsid w:val="75526B58"/>
    <w:rsid w:val="758B3E18"/>
    <w:rsid w:val="75947170"/>
    <w:rsid w:val="75FA61AE"/>
    <w:rsid w:val="764D731F"/>
    <w:rsid w:val="76BD6253"/>
    <w:rsid w:val="77171BA3"/>
    <w:rsid w:val="77F40FB7"/>
    <w:rsid w:val="77F812E1"/>
    <w:rsid w:val="78830961"/>
    <w:rsid w:val="79356BFB"/>
    <w:rsid w:val="79777888"/>
    <w:rsid w:val="7A266805"/>
    <w:rsid w:val="7A4F4B96"/>
    <w:rsid w:val="7A61783D"/>
    <w:rsid w:val="7B870626"/>
    <w:rsid w:val="7BAB5214"/>
    <w:rsid w:val="7BE879E8"/>
    <w:rsid w:val="7CCC5441"/>
    <w:rsid w:val="7CE04A49"/>
    <w:rsid w:val="7E1D6435"/>
    <w:rsid w:val="7E5020A2"/>
    <w:rsid w:val="7FD50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25365F"/>
  <w15:docId w15:val="{23653754-2065-4661-BB57-613EE2DE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ind w:firstLineChars="200" w:firstLine="883"/>
      <w:jc w:val="both"/>
    </w:pPr>
    <w:rPr>
      <w:rFonts w:eastAsia="方正仿宋_GBK" w:cstheme="minorBidi"/>
      <w:kern w:val="2"/>
      <w:sz w:val="32"/>
      <w:szCs w:val="32"/>
    </w:rPr>
  </w:style>
  <w:style w:type="paragraph" w:styleId="1">
    <w:name w:val="heading 1"/>
    <w:basedOn w:val="a"/>
    <w:next w:val="a"/>
    <w:qFormat/>
    <w:pPr>
      <w:keepNext/>
      <w:keepLines/>
      <w:spacing w:before="340" w:after="330" w:line="576" w:lineRule="auto"/>
      <w:outlineLvl w:val="0"/>
    </w:pPr>
    <w:rPr>
      <w:rFonts w:eastAsia="黑体"/>
      <w:b/>
      <w:kern w:val="44"/>
      <w:sz w:val="44"/>
    </w:rPr>
  </w:style>
  <w:style w:type="paragraph" w:styleId="2">
    <w:name w:val="heading 2"/>
    <w:basedOn w:val="a"/>
    <w:next w:val="a"/>
    <w:unhideWhenUsed/>
    <w:qFormat/>
    <w:pPr>
      <w:keepNext/>
      <w:keepLines/>
      <w:spacing w:before="260" w:after="260" w:line="413" w:lineRule="auto"/>
      <w:outlineLvl w:val="1"/>
    </w:pPr>
    <w:rPr>
      <w:rFonts w:eastAsia="黑体"/>
      <w:b/>
    </w:rPr>
  </w:style>
  <w:style w:type="paragraph" w:styleId="3">
    <w:name w:val="heading 3"/>
    <w:basedOn w:val="a"/>
    <w:next w:val="a"/>
    <w:unhideWhenUsed/>
    <w:qFormat/>
    <w:pPr>
      <w:spacing w:beforeAutospacing="1" w:afterAutospacing="1"/>
      <w:jc w:val="left"/>
      <w:outlineLvl w:val="2"/>
    </w:pPr>
    <w:rPr>
      <w:rFonts w:eastAsia="黑体" w:cs="Times New Roman" w:hint="eastAsia"/>
      <w:kern w:val="0"/>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0">
    <w:name w:val="toc 3"/>
    <w:basedOn w:val="a"/>
    <w:next w:val="a"/>
    <w:uiPriority w:val="39"/>
    <w:qFormat/>
    <w:pPr>
      <w:ind w:leftChars="400" w:left="840"/>
    </w:pPr>
  </w:style>
  <w:style w:type="paragraph" w:styleId="10">
    <w:name w:val="toc 1"/>
    <w:basedOn w:val="a"/>
    <w:next w:val="a"/>
    <w:uiPriority w:val="39"/>
    <w:qFormat/>
    <w:rPr>
      <w:rFonts w:eastAsia="黑体"/>
      <w:snapToGrid w:val="0"/>
      <w:sz w:val="21"/>
      <w:szCs w:val="22"/>
    </w:rPr>
  </w:style>
  <w:style w:type="paragraph" w:styleId="20">
    <w:name w:val="toc 2"/>
    <w:basedOn w:val="a"/>
    <w:next w:val="a"/>
    <w:uiPriority w:val="39"/>
    <w:qFormat/>
    <w:pPr>
      <w:ind w:leftChars="200" w:left="420"/>
    </w:pPr>
  </w:style>
  <w:style w:type="paragraph" w:styleId="a4">
    <w:name w:val="Normal (Web)"/>
    <w:basedOn w:val="a"/>
    <w:qFormat/>
    <w:pPr>
      <w:spacing w:beforeAutospacing="1" w:afterAutospacing="1"/>
      <w:jc w:val="left"/>
    </w:pPr>
    <w:rPr>
      <w:rFonts w:cs="Times New Roman"/>
      <w:kern w:val="0"/>
      <w:sz w:val="24"/>
    </w:rPr>
  </w:style>
  <w:style w:type="character" w:styleId="a5">
    <w:name w:val="Strong"/>
    <w:basedOn w:val="a0"/>
    <w:qFormat/>
    <w:rPr>
      <w:b/>
    </w:rPr>
  </w:style>
  <w:style w:type="character" w:styleId="a6">
    <w:name w:val="Hyperlink"/>
    <w:basedOn w:val="a0"/>
    <w:uiPriority w:val="99"/>
    <w:qFormat/>
    <w:rPr>
      <w:color w:val="0000FF"/>
      <w:u w:val="singl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1">
    <w:name w:val="TOC 标题1"/>
    <w:basedOn w:val="1"/>
    <w:next w:val="a"/>
    <w:uiPriority w:val="39"/>
    <w:unhideWhenUsed/>
    <w:qFormat/>
    <w:pPr>
      <w:widowControl/>
      <w:spacing w:before="240" w:after="0" w:line="259" w:lineRule="auto"/>
      <w:ind w:firstLineChars="0" w:firstLine="0"/>
      <w:outlineLvl w:val="9"/>
    </w:pPr>
    <w:rPr>
      <w:rFonts w:asciiTheme="majorHAnsi" w:eastAsiaTheme="majorEastAsia" w:hAnsiTheme="majorHAnsi" w:cstheme="majorBidi"/>
      <w:b w:val="0"/>
      <w:color w:val="2D53A0" w:themeColor="accent1" w:themeShade="BF"/>
      <w:kern w:val="0"/>
    </w:rPr>
  </w:style>
  <w:style w:type="character" w:customStyle="1" w:styleId="font41">
    <w:name w:val="font41"/>
    <w:basedOn w:val="a0"/>
    <w:qFormat/>
    <w:rPr>
      <w:rFonts w:ascii="方正仿宋_GBK" w:eastAsia="方正仿宋_GBK" w:hAnsi="方正仿宋_GBK" w:cs="方正仿宋_GBK"/>
      <w:b/>
      <w:bCs/>
      <w:color w:val="FFFFFF"/>
      <w:sz w:val="20"/>
      <w:szCs w:val="20"/>
      <w:u w:val="none"/>
    </w:rPr>
  </w:style>
  <w:style w:type="character" w:customStyle="1" w:styleId="font11">
    <w:name w:val="font11"/>
    <w:basedOn w:val="a0"/>
    <w:qFormat/>
    <w:rPr>
      <w:rFonts w:ascii="Times New Roman" w:hAnsi="Times New Roman" w:cs="Times New Roman" w:hint="default"/>
      <w:b/>
      <w:bCs/>
      <w:color w:val="FFFFFF"/>
      <w:sz w:val="20"/>
      <w:szCs w:val="20"/>
      <w:u w:val="none"/>
    </w:rPr>
  </w:style>
  <w:style w:type="character" w:customStyle="1" w:styleId="font51">
    <w:name w:val="font51"/>
    <w:basedOn w:val="a0"/>
    <w:qFormat/>
    <w:rPr>
      <w:rFonts w:ascii="方正仿宋_GBK" w:eastAsia="方正仿宋_GBK" w:hAnsi="方正仿宋_GBK" w:cs="方正仿宋_GBK" w:hint="eastAsia"/>
      <w:color w:val="000000"/>
      <w:sz w:val="22"/>
      <w:szCs w:val="22"/>
      <w:u w:val="none"/>
    </w:rPr>
  </w:style>
  <w:style w:type="character" w:customStyle="1" w:styleId="font21">
    <w:name w:val="font21"/>
    <w:basedOn w:val="a0"/>
    <w:qFormat/>
    <w:rPr>
      <w:rFonts w:ascii="Times New Roman" w:hAnsi="Times New Roman" w:cs="Times New Roman" w:hint="default"/>
      <w:b/>
      <w:bCs/>
      <w:color w:val="FFFFFF"/>
      <w:sz w:val="20"/>
      <w:szCs w:val="20"/>
      <w:u w:val="none"/>
    </w:rPr>
  </w:style>
  <w:style w:type="character" w:customStyle="1" w:styleId="font61">
    <w:name w:val="font61"/>
    <w:basedOn w:val="a0"/>
    <w:qFormat/>
    <w:rPr>
      <w:rFonts w:ascii="方正仿宋_GBK" w:eastAsia="方正仿宋_GBK" w:hAnsi="方正仿宋_GBK" w:cs="方正仿宋_GBK" w:hint="eastAsia"/>
      <w:color w:val="000000"/>
      <w:sz w:val="22"/>
      <w:szCs w:val="22"/>
      <w:u w:val="none"/>
    </w:rPr>
  </w:style>
  <w:style w:type="paragraph" w:styleId="TOC">
    <w:name w:val="TOC Heading"/>
    <w:basedOn w:val="1"/>
    <w:next w:val="a"/>
    <w:uiPriority w:val="39"/>
    <w:unhideWhenUsed/>
    <w:qFormat/>
    <w:rsid w:val="00830ECF"/>
    <w:pPr>
      <w:widowControl/>
      <w:spacing w:before="240" w:after="0" w:line="259" w:lineRule="auto"/>
      <w:ind w:firstLineChars="0" w:firstLine="0"/>
      <w:jc w:val="left"/>
      <w:outlineLvl w:val="9"/>
    </w:pPr>
    <w:rPr>
      <w:rFonts w:asciiTheme="majorHAnsi" w:eastAsiaTheme="majorEastAsia" w:hAnsiTheme="majorHAnsi" w:cstheme="majorBidi"/>
      <w:b w:val="0"/>
      <w:color w:val="2D53A0"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319681">
      <w:bodyDiv w:val="1"/>
      <w:marLeft w:val="0"/>
      <w:marRight w:val="0"/>
      <w:marTop w:val="0"/>
      <w:marBottom w:val="0"/>
      <w:divBdr>
        <w:top w:val="none" w:sz="0" w:space="0" w:color="auto"/>
        <w:left w:val="none" w:sz="0" w:space="0" w:color="auto"/>
        <w:bottom w:val="none" w:sz="0" w:space="0" w:color="auto"/>
        <w:right w:val="none" w:sz="0" w:space="0" w:color="auto"/>
      </w:divBdr>
    </w:div>
    <w:div w:id="183548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12</Pages>
  <Words>1062</Words>
  <Characters>6055</Characters>
  <Application>Microsoft Office Word</Application>
  <DocSecurity>0</DocSecurity>
  <Lines>50</Lines>
  <Paragraphs>14</Paragraphs>
  <ScaleCrop>false</ScaleCrop>
  <Company>Qihoo360</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李双双</dc:creator>
  <cp:lastModifiedBy>郑海龙</cp:lastModifiedBy>
  <cp:revision>13</cp:revision>
  <dcterms:created xsi:type="dcterms:W3CDTF">2024-12-17T01:36:00Z</dcterms:created>
  <dcterms:modified xsi:type="dcterms:W3CDTF">2025-07-11T02:08:00Z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85616391D3114A73B847D29FEC6B1FA2_13</vt:lpwstr>
  </property>
  <property fmtid="{D5CDD505-2E9C-101B-9397-08002B2CF9AE}" pid="4" name="KSOTemplateDocerSaveRecord">
    <vt:lpwstr>eyJoZGlkIjoiMDdiODBiMzMxZmEwOWYyYTZjZmY4N2Q4ZTRkNDVhMDQiLCJ1c2VySWQiOiIxOTUwMzY3NDUifQ==</vt:lpwstr>
  </property>
</Properties>
</file>