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89E10">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p>
    <w:p w14:paraId="02B6EA05">
      <w:pPr>
        <w:widowControl w:val="0"/>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r>
        <w:rPr>
          <w:rFonts w:hint="eastAsia" w:ascii="Times New Roman" w:hAnsi="Times New Roman" w:eastAsia="方正小标宋简体" w:cs="Times New Roman"/>
          <w:color w:val="FF0000"/>
          <w:spacing w:val="34"/>
          <w:sz w:val="52"/>
          <w:szCs w:val="52"/>
          <w:lang w:val="en-US" w:eastAsia="zh-CN"/>
        </w:rPr>
        <w:t>稀土相关技术企业情况梳理专题（公告</w:t>
      </w:r>
      <w:r>
        <w:rPr>
          <w:rFonts w:hint="eastAsia" w:ascii="Times New Roman" w:hAnsi="Times New Roman" w:eastAsia="方正小标宋简体" w:cs="Times New Roman"/>
          <w:color w:val="FF0000"/>
          <w:spacing w:val="34"/>
          <w:sz w:val="52"/>
          <w:szCs w:val="52"/>
          <w:lang w:val="en-US" w:eastAsia="zh-CN"/>
        </w:rPr>
        <w:t>6</w:t>
      </w:r>
      <w:bookmarkStart w:id="21" w:name="_GoBack"/>
      <w:bookmarkEnd w:id="21"/>
      <w:r>
        <w:rPr>
          <w:rFonts w:hint="eastAsia" w:ascii="Times New Roman" w:hAnsi="Times New Roman" w:eastAsia="方正小标宋简体" w:cs="Times New Roman"/>
          <w:color w:val="FF0000"/>
          <w:spacing w:val="34"/>
          <w:sz w:val="52"/>
          <w:szCs w:val="52"/>
          <w:lang w:val="en-US" w:eastAsia="zh-CN"/>
        </w:rPr>
        <w:t>2</w:t>
      </w:r>
      <w:r>
        <w:rPr>
          <w:rFonts w:hint="eastAsia" w:ascii="Times New Roman" w:hAnsi="Times New Roman" w:eastAsia="方正小标宋简体" w:cs="Times New Roman"/>
          <w:color w:val="FF0000"/>
          <w:spacing w:val="34"/>
          <w:sz w:val="52"/>
          <w:szCs w:val="52"/>
          <w:lang w:val="en-US" w:eastAsia="zh-CN"/>
        </w:rPr>
        <w:t>号）</w:t>
      </w:r>
    </w:p>
    <w:p w14:paraId="4AEF28FD">
      <w:pPr>
        <w:spacing w:line="560" w:lineRule="exact"/>
        <w:ind w:firstLine="0" w:firstLineChars="0"/>
        <w:rPr>
          <w:rFonts w:ascii="Times New Roman" w:hAnsi="Times New Roman" w:eastAsia="方正仿宋简体" w:cs="Times New Roman"/>
          <w:color w:val="000000" w:themeColor="text1"/>
          <w:sz w:val="32"/>
          <w:szCs w:val="32"/>
          <w14:textFill>
            <w14:solidFill>
              <w14:schemeClr w14:val="tx1"/>
            </w14:solidFill>
          </w14:textFill>
        </w:rPr>
      </w:pPr>
    </w:p>
    <w:p w14:paraId="4D0ED3FB">
      <w:pPr>
        <w:spacing w:line="560" w:lineRule="exact"/>
        <w:ind w:firstLine="0" w:firstLineChars="0"/>
        <w:rPr>
          <w:rFonts w:hint="default" w:ascii="Times New Roman" w:hAnsi="Times New Roman" w:eastAsia="方正仿宋简体" w:cs="Times New Roman"/>
          <w:color w:val="000000" w:themeColor="text1"/>
          <w:sz w:val="32"/>
          <w:szCs w:val="32"/>
          <w:lang w:val="en-US" w:eastAsia="zh-CN"/>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海关总署风险防控局（黄埔）编</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年10</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月27</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11"/>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sdt>
      <w:sdtPr>
        <w:rPr>
          <w:rFonts w:ascii="宋体" w:hAnsi="宋体" w:eastAsia="宋体" w:cstheme="minorBidi"/>
          <w:kern w:val="2"/>
          <w:sz w:val="21"/>
          <w:szCs w:val="32"/>
          <w:lang w:val="en-US" w:eastAsia="zh-CN" w:bidi="ar-SA"/>
        </w:rPr>
        <w:id w:val="147464794"/>
        <w15:color w:val="DBDBDB"/>
        <w:docPartObj>
          <w:docPartGallery w:val="Table of Contents"/>
          <w:docPartUnique/>
        </w:docPartObj>
      </w:sdtPr>
      <w:sdtEndPr>
        <w:rPr>
          <w:rFonts w:hint="eastAsia" w:ascii="黑体" w:hAnsi="黑体" w:eastAsia="黑体" w:cs="黑体"/>
          <w:kern w:val="2"/>
          <w:sz w:val="21"/>
          <w:szCs w:val="21"/>
          <w:lang w:val="en-US" w:eastAsia="zh-CN" w:bidi="ar-SA"/>
        </w:rPr>
      </w:sdtEndPr>
      <w:sdtContent>
        <w:p w14:paraId="78A6432B">
          <w:pPr>
            <w:spacing w:before="0" w:beforeLines="0" w:after="0" w:afterLines="0" w:line="240" w:lineRule="auto"/>
            <w:ind w:left="0" w:leftChars="0" w:right="0" w:rightChars="0" w:firstLine="0" w:firstLineChars="0"/>
            <w:jc w:val="center"/>
          </w:pPr>
        </w:p>
        <w:p w14:paraId="780620AD">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TOC\o"1-3"\h\u</w:instrText>
          </w:r>
          <w:r>
            <w:rPr>
              <w:rFonts w:hint="eastAsia" w:ascii="黑体" w:hAnsi="黑体" w:eastAsia="黑体" w:cs="黑体"/>
              <w:sz w:val="21"/>
              <w:szCs w:val="21"/>
            </w:rPr>
            <w:fldChar w:fldCharType="separate"/>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HYPERLINK\l_Toc16110</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一、引言</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PAGEREF_Toc16110\h</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5CE84BC7">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HYPERLINK\l_Toc27208</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二、</w:t>
          </w:r>
          <w:r>
            <w:rPr>
              <w:rFonts w:hint="default" w:ascii="Times New Roman" w:hAnsi="Times New Roman" w:eastAsia="黑体" w:cs="Times New Roman"/>
              <w:bCs/>
              <w:i w:val="0"/>
              <w:iCs w:val="0"/>
              <w:caps w:val="0"/>
              <w:spacing w:val="0"/>
              <w:sz w:val="21"/>
              <w:szCs w:val="21"/>
            </w:rPr>
            <w:t>62号</w:t>
          </w:r>
          <w:r>
            <w:rPr>
              <w:rFonts w:hint="default" w:ascii="Times New Roman" w:hAnsi="Times New Roman" w:eastAsia="黑体" w:cs="Times New Roman"/>
              <w:bCs/>
              <w:i w:val="0"/>
              <w:iCs w:val="0"/>
              <w:caps w:val="0"/>
              <w:spacing w:val="0"/>
              <w:sz w:val="21"/>
              <w:szCs w:val="21"/>
              <w:lang w:val="en-US" w:eastAsia="zh-CN"/>
            </w:rPr>
            <w:t>公告内容分析</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PAGEREF_Toc27208\h</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1A1472B7">
          <w:pPr>
            <w:pStyle w:val="6"/>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HYPERLINK\l_Toc262</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三、稀土相关技术企业情况梳理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PAGEREF_Toc262\h</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2E4864BF">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840" w:firstLineChars="400"/>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HYPERLINK\l_Toc17497</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en-US" w:eastAsia="zh-CN"/>
            </w:rPr>
            <w:t>（一）稀土开采与冶炼分离技术相关企业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PAGEREF_Toc17497\h</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399ABD2F">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840" w:firstLineChars="400"/>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HYPERLINK\l_Toc11754</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en-US" w:eastAsia="zh-CN"/>
            </w:rPr>
            <w:t>（二）稀土二次资源回收利用技术相关企业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PAGEREF_Toc11754\h</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29A74824">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left="0" w:leftChars="0" w:firstLine="840" w:firstLineChars="400"/>
            <w:textAlignment w:val="auto"/>
            <w:rPr>
              <w:rFonts w:hint="eastAsia" w:ascii="黑体" w:hAnsi="黑体" w:eastAsia="黑体" w:cs="黑体"/>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HYPERLINK\l_Toc14345</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en-US" w:eastAsia="zh-CN"/>
            </w:rPr>
            <w:t>（三）稀土磁性材料制造技术相关企业</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PAGEREF_Toc14345\h</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sz w:val="21"/>
              <w:szCs w:val="21"/>
            </w:rPr>
            <w:fldChar w:fldCharType="end"/>
          </w:r>
        </w:p>
        <w:p w14:paraId="29039C2D">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黑体"/>
              <w:sz w:val="21"/>
              <w:szCs w:val="21"/>
            </w:rPr>
          </w:pPr>
          <w:r>
            <w:rPr>
              <w:rFonts w:hint="eastAsia" w:ascii="黑体" w:hAnsi="黑体" w:eastAsia="黑体" w:cs="黑体"/>
              <w:sz w:val="21"/>
              <w:szCs w:val="21"/>
            </w:rPr>
            <w:fldChar w:fldCharType="end"/>
          </w:r>
        </w:p>
      </w:sdtContent>
    </w:sdt>
    <w:p w14:paraId="793BC395">
      <w:pPr>
        <w:rPr>
          <w:rFonts w:hint="eastAsia" w:ascii="Arial" w:hAnsi="Arial" w:eastAsia="黑体" w:cstheme="minorBidi"/>
          <w:b/>
          <w:kern w:val="2"/>
          <w:sz w:val="32"/>
          <w:szCs w:val="32"/>
          <w:lang w:val="en-US" w:eastAsia="zh-CN" w:bidi="ar-SA"/>
        </w:rPr>
      </w:pPr>
      <w:r>
        <w:rPr>
          <w:rFonts w:hint="eastAsia" w:ascii="Times New Roman" w:hAnsi="Times New Roman" w:eastAsia="方正仿宋_GBK" w:cstheme="minorBidi"/>
          <w:kern w:val="2"/>
          <w:sz w:val="32"/>
          <w:szCs w:val="32"/>
          <w:lang w:val="en-US" w:eastAsia="zh-CN" w:bidi="ar-SA"/>
        </w:rPr>
        <w:br w:type="page"/>
      </w:r>
    </w:p>
    <w:p w14:paraId="6237EFEA">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0" w:name="_Toc19362"/>
      <w:bookmarkStart w:id="1" w:name="_Toc16110"/>
      <w:bookmarkStart w:id="2" w:name="_Toc14977"/>
      <w:bookmarkStart w:id="3" w:name="_Toc2006"/>
      <w:r>
        <w:rPr>
          <w:rFonts w:hint="eastAsia" w:ascii="Segoe UI" w:hAnsi="Segoe UI" w:eastAsia="Segoe UI" w:cs="Segoe UI"/>
          <w:b/>
          <w:bCs/>
          <w:i w:val="0"/>
          <w:iCs w:val="0"/>
          <w:caps w:val="0"/>
          <w:spacing w:val="0"/>
          <w:kern w:val="2"/>
          <w:sz w:val="32"/>
          <w:szCs w:val="32"/>
          <w:shd w:val="clear" w:fill="FFFFFF"/>
          <w:lang w:val="en-US" w:eastAsia="zh-CN" w:bidi="ar-SA"/>
        </w:rPr>
        <w:t>一、引言</w:t>
      </w:r>
      <w:bookmarkEnd w:id="0"/>
      <w:bookmarkEnd w:id="1"/>
      <w:bookmarkEnd w:id="2"/>
      <w:bookmarkEnd w:id="3"/>
    </w:p>
    <w:p w14:paraId="26D58A0D">
      <w:pPr>
        <w:numPr>
          <w:ilvl w:val="0"/>
          <w:numId w:val="0"/>
        </w:numPr>
        <w:ind w:firstLine="640" w:firstLineChars="200"/>
        <w:rPr>
          <w:rFonts w:hint="eastAsia"/>
          <w:lang w:val="en-US" w:eastAsia="zh-CN"/>
        </w:rPr>
      </w:pPr>
      <w:r>
        <w:rPr>
          <w:rFonts w:hint="eastAsia"/>
          <w:lang w:val="en-US" w:eastAsia="zh-CN"/>
        </w:rPr>
        <w:t>商务部2025年第62号公告明确对稀土全产业链关键技术实施出口管制，涵盖开采、冶炼分离、金属冶炼、磁材制造及二次资源回收利用等核心环节，将技术载体及相关技术服务均纳入监管范畴。这一政策标志着我国稀土管控从资源层面升级至技术战略层面，在巩固全球68%稀土开采量和91%精炼产能主导地位的同时，进一步锁定技术输出通道。</w:t>
      </w:r>
    </w:p>
    <w:p w14:paraId="43F75158">
      <w:pPr>
        <w:numPr>
          <w:ilvl w:val="0"/>
          <w:numId w:val="0"/>
        </w:numPr>
        <w:ind w:firstLine="640" w:firstLineChars="200"/>
        <w:rPr>
          <w:rFonts w:hint="eastAsia"/>
          <w:lang w:val="en-US" w:eastAsia="zh-CN"/>
        </w:rPr>
      </w:pPr>
      <w:r>
        <w:rPr>
          <w:rFonts w:hint="eastAsia"/>
          <w:lang w:val="en-US" w:eastAsia="zh-CN"/>
        </w:rPr>
        <w:t>本报告基于政策要求，通过梳理中国稀土相关技术企业的情况，明晰此次技术出口管制政策的核心影响对象，深入了解相关企业在技术链中的定位与优势，以及它们在合规要求下的运营调整与发展挑战。</w:t>
      </w:r>
    </w:p>
    <w:p w14:paraId="40582F54">
      <w:pPr>
        <w:numPr>
          <w:ilvl w:val="0"/>
          <w:numId w:val="0"/>
        </w:numPr>
        <w:ind w:firstLine="640" w:firstLineChars="200"/>
        <w:rPr>
          <w:rFonts w:hint="eastAsia"/>
          <w:lang w:val="en-US" w:eastAsia="zh-CN"/>
        </w:rPr>
      </w:pPr>
    </w:p>
    <w:p w14:paraId="7FB42678">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4" w:name="_Toc27208"/>
      <w:bookmarkStart w:id="5" w:name="_Toc27966"/>
      <w:r>
        <w:rPr>
          <w:rFonts w:hint="eastAsia" w:ascii="Segoe UI" w:hAnsi="Segoe UI" w:eastAsia="Segoe UI" w:cs="Segoe UI"/>
          <w:b/>
          <w:bCs/>
          <w:i w:val="0"/>
          <w:iCs w:val="0"/>
          <w:caps w:val="0"/>
          <w:spacing w:val="0"/>
          <w:kern w:val="2"/>
          <w:sz w:val="32"/>
          <w:szCs w:val="32"/>
          <w:shd w:val="clear" w:fill="FFFFFF"/>
          <w:lang w:val="en-US" w:eastAsia="zh-CN" w:bidi="ar-SA"/>
        </w:rPr>
        <w:t>二、62号公告内容分析</w:t>
      </w:r>
      <w:bookmarkEnd w:id="4"/>
      <w:bookmarkEnd w:id="5"/>
    </w:p>
    <w:p w14:paraId="21775D41">
      <w:pPr>
        <w:numPr>
          <w:ilvl w:val="0"/>
          <w:numId w:val="0"/>
        </w:numPr>
        <w:ind w:firstLine="640" w:firstLineChars="200"/>
        <w:rPr>
          <w:rFonts w:hint="eastAsia"/>
          <w:lang w:val="en-US" w:eastAsia="zh-CN"/>
        </w:rPr>
      </w:pPr>
      <w:r>
        <w:rPr>
          <w:rFonts w:hint="eastAsia"/>
          <w:lang w:val="en-US" w:eastAsia="zh-CN"/>
        </w:rPr>
        <w:t>现行《中国禁止出口限制出口技术目录》已将部分稀土相关技术纳入禁止出口和限制出口的范畴。而本轮发布的第62号公告将稀土全链条技术纳入出口管制（2025年10月9日生效），管控范围显著扩大。</w:t>
      </w:r>
    </w:p>
    <w:p w14:paraId="2717656E">
      <w:pPr>
        <w:numPr>
          <w:ilvl w:val="0"/>
          <w:numId w:val="0"/>
        </w:numPr>
        <w:ind w:firstLine="640" w:firstLineChars="200"/>
        <w:rPr>
          <w:rFonts w:hint="eastAsia"/>
          <w:lang w:val="en-US" w:eastAsia="zh-CN"/>
        </w:rPr>
      </w:pPr>
      <w:r>
        <w:rPr>
          <w:rFonts w:hint="eastAsia"/>
          <w:lang w:val="en-US" w:eastAsia="zh-CN"/>
        </w:rPr>
        <w:t>需注意的是，第62号公告同时对“视同出口”的行为做出了限制，规定了除从中国出口至境外的场景外，中国主体如在中国境内或境外将上述技术提供给外国组织或者个人，包括贸易性出口以及通过知识产权许可、投资、交流、赠送、展览、展示、检测、测试、援助、传授、联合研发、受雇或雇佣、咨询等任何方式进行的转移或者提供，也同样需申请出口许可证。</w:t>
      </w:r>
    </w:p>
    <w:p w14:paraId="3FC17070">
      <w:pPr>
        <w:numPr>
          <w:ilvl w:val="0"/>
          <w:numId w:val="0"/>
        </w:numPr>
        <w:ind w:firstLine="640" w:firstLineChars="200"/>
        <w:rPr>
          <w:rFonts w:hint="eastAsia"/>
          <w:lang w:val="en-US" w:eastAsia="zh-CN"/>
        </w:rPr>
      </w:pPr>
      <w:r>
        <w:rPr>
          <w:rFonts w:hint="eastAsia"/>
          <w:lang w:val="en-US" w:eastAsia="zh-CN"/>
        </w:rPr>
        <w:t>除针对具体物项所确定的规则外，第62号公告进一步设置了两条“兜底性”的要求，并均针对最终用途做出管控（2025年10月9日生效）。具体而言：</w:t>
      </w:r>
    </w:p>
    <w:p w14:paraId="0C86EF40">
      <w:pPr>
        <w:numPr>
          <w:ilvl w:val="0"/>
          <w:numId w:val="0"/>
        </w:numPr>
        <w:ind w:firstLine="640" w:firstLineChars="200"/>
        <w:rPr>
          <w:rFonts w:hint="eastAsia"/>
          <w:lang w:val="en-US" w:eastAsia="zh-CN"/>
        </w:rPr>
      </w:pPr>
      <w:r>
        <w:rPr>
          <w:rFonts w:hint="eastAsia"/>
          <w:lang w:val="en-US" w:eastAsia="zh-CN"/>
        </w:rPr>
        <w:t>举例而言，目前5类轻稀土尚未被纳入管控范围，但如果出口经营者明知其出口的轻稀土系用于境外磁材制造活动，则应当在出口前向商务部申请两用物项出口许可。</w:t>
      </w:r>
    </w:p>
    <w:p w14:paraId="081986CC">
      <w:pPr>
        <w:numPr>
          <w:ilvl w:val="0"/>
          <w:numId w:val="0"/>
        </w:numPr>
        <w:ind w:firstLine="640" w:firstLineChars="200"/>
        <w:rPr>
          <w:rFonts w:hint="eastAsia"/>
          <w:lang w:val="en-US" w:eastAsia="zh-CN"/>
        </w:rPr>
      </w:pPr>
    </w:p>
    <w:p w14:paraId="0EF26264">
      <w:pPr>
        <w:pStyle w:val="3"/>
        <w:keepNext/>
        <w:keepLines/>
        <w:pageBreakBefore w:val="0"/>
        <w:widowControl w:val="0"/>
        <w:numPr>
          <w:ilvl w:val="0"/>
          <w:numId w:val="0"/>
        </w:numPr>
        <w:kinsoku/>
        <w:wordWrap/>
        <w:overflowPunct/>
        <w:topLinePunct w:val="0"/>
        <w:autoSpaceDE/>
        <w:autoSpaceDN/>
        <w:bidi w:val="0"/>
        <w:adjustRightInd/>
        <w:snapToGrid/>
        <w:spacing w:before="0" w:after="0" w:line="560" w:lineRule="exact"/>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6" w:name="_Toc18223"/>
      <w:bookmarkStart w:id="7" w:name="_Toc262"/>
      <w:bookmarkStart w:id="8" w:name="_Toc25634"/>
      <w:bookmarkStart w:id="9" w:name="_Toc6795"/>
      <w:r>
        <w:rPr>
          <w:rFonts w:hint="eastAsia" w:ascii="Segoe UI" w:hAnsi="Segoe UI" w:eastAsia="Segoe UI" w:cs="Segoe UI"/>
          <w:b/>
          <w:bCs/>
          <w:i w:val="0"/>
          <w:iCs w:val="0"/>
          <w:caps w:val="0"/>
          <w:spacing w:val="0"/>
          <w:kern w:val="2"/>
          <w:sz w:val="32"/>
          <w:szCs w:val="32"/>
          <w:shd w:val="clear" w:fill="FFFFFF"/>
          <w:lang w:val="en-US" w:eastAsia="zh-CN" w:bidi="ar-SA"/>
        </w:rPr>
        <w:t>三、稀土相关技术企业情况梳理</w:t>
      </w:r>
      <w:bookmarkEnd w:id="6"/>
      <w:bookmarkEnd w:id="7"/>
      <w:bookmarkEnd w:id="8"/>
      <w:bookmarkEnd w:id="9"/>
    </w:p>
    <w:p w14:paraId="46CC6E4A">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0" w:name="_Toc6896"/>
      <w:bookmarkStart w:id="11" w:name="_Toc3648"/>
      <w:bookmarkStart w:id="12" w:name="_Toc13458"/>
      <w:bookmarkStart w:id="13" w:name="_Toc17203"/>
      <w:bookmarkStart w:id="14" w:name="_Toc17497"/>
      <w:r>
        <w:rPr>
          <w:rFonts w:hint="eastAsia" w:ascii="Times New Roman" w:hAnsi="Times New Roman" w:eastAsia="黑体" w:cs="黑体"/>
          <w:kern w:val="0"/>
          <w:sz w:val="32"/>
          <w:szCs w:val="32"/>
          <w:lang w:val="en-US" w:eastAsia="zh-CN" w:bidi="ar"/>
        </w:rPr>
        <w:t>（一）</w:t>
      </w:r>
      <w:bookmarkEnd w:id="10"/>
      <w:bookmarkEnd w:id="11"/>
      <w:r>
        <w:rPr>
          <w:rFonts w:hint="eastAsia" w:ascii="Times New Roman" w:hAnsi="Times New Roman" w:eastAsia="黑体" w:cs="黑体"/>
          <w:kern w:val="0"/>
          <w:sz w:val="32"/>
          <w:szCs w:val="32"/>
          <w:lang w:val="en-US" w:eastAsia="zh-CN" w:bidi="ar"/>
        </w:rPr>
        <w:t>稀土开采与冶炼分离技术相关企业</w:t>
      </w:r>
      <w:bookmarkEnd w:id="12"/>
      <w:bookmarkEnd w:id="13"/>
      <w:bookmarkEnd w:id="14"/>
    </w:p>
    <w:p w14:paraId="1C26EE95">
      <w:pPr>
        <w:bidi w:val="0"/>
        <w:rPr>
          <w:rFonts w:hint="eastAsia"/>
        </w:rPr>
      </w:pPr>
      <w:r>
        <w:t>株洲科能新材料股份有限公司</w:t>
      </w:r>
      <w:r>
        <w:rPr>
          <w:rFonts w:hint="eastAsia"/>
          <w:lang w:eastAsia="zh-CN"/>
        </w:rPr>
        <w:t>：</w:t>
      </w:r>
      <w:r>
        <w:t>成立于2001年1月，位于中国湖南株洲金山科技工业园，是一家专业从事小（稀散）金属、半导体材料、显示发光材料生产的国家级高新技术企业。</w:t>
      </w:r>
      <w:r>
        <w:rPr>
          <w:rFonts w:hint="eastAsia"/>
        </w:rPr>
        <w:t>长期致力于Ⅲ-V族化学元素材料提纯技术开发及产业化，主要从事4N以上镓、铟、铋、碲等稀散金属元素及其氧化物的研发、生产和销售。产品包括高纯镓、高纯铟以及ITO等靶材用铟（4N5-5N）、氧化铟、氧化镓等电子级稀散金属系列产品，和工业镓、铋及氧化铋等铟、镓、铋三大系列产品，主要应用于磷化铟、砷化镓等化合物半导体、ITO等靶材合成以及医药，化工等领域高端产品制造</w:t>
      </w:r>
      <w:r>
        <w:rPr>
          <w:rFonts w:hint="eastAsia"/>
          <w:lang w:eastAsia="zh-CN"/>
        </w:rPr>
        <w:t>，</w:t>
      </w:r>
      <w:r>
        <w:t>掌握了高纯金属真空分离提纯技术、循环高效电化学技术和多模式电磁场调控定向凝固技术等多项关键工艺，是业内少数主要采用物理法的企业，产品纯度、一致性和稳定性达到国际先进水平</w:t>
      </w:r>
      <w:r>
        <w:rPr>
          <w:rFonts w:hint="eastAsia"/>
        </w:rPr>
        <w:t>。</w:t>
      </w:r>
    </w:p>
    <w:p w14:paraId="6A47578C">
      <w:pPr>
        <w:bidi w:val="0"/>
        <w:rPr>
          <w:rFonts w:hint="eastAsia"/>
          <w:lang w:val="en-US" w:eastAsia="zh-CN"/>
        </w:rPr>
      </w:pPr>
      <w:r>
        <w:t>江钨控股集团</w:t>
      </w:r>
      <w:r>
        <w:rPr>
          <w:rFonts w:hint="eastAsia"/>
          <w:lang w:eastAsia="zh-CN"/>
        </w:rPr>
        <w:t>：</w:t>
      </w:r>
      <w:r>
        <w:t>专注“钨、钽铌锂、稀土”三大核心主产业，高端装备制造、前沿科研创新、贸易服务、资源循环再生等产业深度融合，构建了钨矿山、钨冶炼、高端硬质合金及精深加工于一体的完整钨产业链；形成了稀土冶炼分离、稀土功能材料和科研应用一体的产业格局；掌握了智能预抛废、重介质选矿、高端磁选装备、超细钨粉及碳化钨粉生产等采选冶新工艺及成套装备生产技术。</w:t>
      </w:r>
    </w:p>
    <w:p w14:paraId="5B3D95C9">
      <w:pPr>
        <w:bidi w:val="0"/>
        <w:rPr>
          <w:rFonts w:hint="eastAsia"/>
          <w:lang w:eastAsia="zh-CN"/>
        </w:rPr>
      </w:pPr>
      <w:r>
        <w:rPr>
          <w:rFonts w:hint="eastAsia"/>
          <w:lang w:eastAsia="zh-CN"/>
        </w:rPr>
        <w:t>广晟有色金属股份有限公司：广晟有色金属股份有限公司：由始建于1953年的广东省冶金厅、1983年成立的中国有色金属工业广州公司、2002年改制而成的广东广晟有色金属集团有限公司沿革而来，公司坚持按照打造稀土铜钨战略性资源旗舰企业的战略定位，公司横向构筑“稀土、铜、钨”三大产业布局，纵向打造“矿山开采、冶炼分离、精深加工、贸易流通与进出口”完整的稀土产业链。在稀土产业领域，公司拥有广东省内全部3本稀土采矿证，其中新丰稀土矿是全国储量最大的离子型稀土矿山；控股4家南方离子吸附型稀土矿冶炼分离厂，掌握国内离子吸附型稀土矿冶炼分离最先进的生产工艺技术；参控股多家稀土合金制造、钕铁硼永磁材料生产企业，与世界500强TDK公司合资建设广东东电化广晟稀土高新材料有限公司，拥有先进的高性能烧结钕铁硼生产技术和装备。</w:t>
      </w:r>
    </w:p>
    <w:p w14:paraId="762021E3">
      <w:pPr>
        <w:bidi w:val="0"/>
        <w:rPr>
          <w:rFonts w:hint="eastAsia"/>
          <w:lang w:val="en-US" w:eastAsia="zh-CN"/>
        </w:rPr>
      </w:pPr>
      <w:r>
        <w:t>金川集团股份有限公司</w:t>
      </w:r>
      <w:r>
        <w:rPr>
          <w:rFonts w:hint="eastAsia"/>
          <w:lang w:eastAsia="zh-CN"/>
        </w:rPr>
        <w:t>：</w:t>
      </w:r>
      <w:r>
        <w:t>成立于1959</w:t>
      </w:r>
      <w:r>
        <w:rPr>
          <w:rFonts w:hint="default"/>
        </w:rPr>
        <w:t>年，总部位于甘肃金昌，是甘肃省人民政府控股的特大型采、选、冶、化、深加工联合企业，主要生产镍、铜、钴、黄金、白银、铂族贵金属及先进有色金属材料和化工产品等，产品广泛应用于建筑、机械、石油化工、新能源及电池制造、生物医用等现代工业和国民经济各领域。</w:t>
      </w:r>
      <w:r>
        <w:t>拥有镍钴共伴生资源开发与综合利用全国重点实验室、国家镍钴新材料工程技术研究中心两个国家级创新平台和甘肃省首个依托企业建立的院士专家工作站，形成专业领域齐全、创新主体多样、上下游协同、多系统互补的创新体系，在有色金属领域取得了一系列重要成果。1989</w:t>
      </w:r>
      <w:r>
        <w:rPr>
          <w:rFonts w:hint="default"/>
        </w:rPr>
        <w:t>年，“金川资源综合利用”项目荣获国家科技进步特等奖；2011年，金川集团荣获中国工业大奖；2012年，“复杂难处理镍钴资源高效利用关键技术与应用”项目荣获国家科技进步一等奖；2024年，2项技术创新成果荣获国家科技进步二等奖。</w:t>
      </w:r>
    </w:p>
    <w:p w14:paraId="429BFA9A">
      <w:pPr>
        <w:bidi w:val="0"/>
        <w:rPr>
          <w:rFonts w:hint="eastAsia"/>
          <w:lang w:eastAsia="zh-CN"/>
        </w:rPr>
      </w:pPr>
      <w:r>
        <w:t>中国科学院广州地球化学研究所</w:t>
      </w:r>
      <w:r>
        <w:rPr>
          <w:rFonts w:hint="eastAsia"/>
          <w:lang w:eastAsia="zh-CN"/>
        </w:rPr>
        <w:t>：在稀土电驱开采技术方面取得新的重大进展，克服了规模化应用中的技术瓶颈，使稀土采收率大于95%，浸取剂用量减少80%，开采时间缩短70%，所需电能节约60%，向环境排放的氨氮量降低95%，表现出潜在的经济可行性。</w:t>
      </w:r>
    </w:p>
    <w:p w14:paraId="05734646">
      <w:pPr>
        <w:bidi w:val="0"/>
        <w:rPr>
          <w:rFonts w:hint="eastAsia"/>
          <w:lang w:val="en-US" w:eastAsia="zh-CN"/>
        </w:rPr>
      </w:pPr>
      <w:r>
        <w:t>南方有色集团</w:t>
      </w:r>
      <w:r>
        <w:rPr>
          <w:rFonts w:hint="eastAsia"/>
          <w:lang w:eastAsia="zh-CN"/>
        </w:rPr>
        <w:t>：</w:t>
      </w:r>
      <w:r>
        <w:t>成立于1996年，是一家专注于铅、锌、铜、锑等有色金属冶炼、矿产资源开发及有色金属资源综合回收于一体的多金属联合冶炼企业。</w:t>
      </w:r>
      <w:r>
        <w:rPr>
          <w:rFonts w:hint="eastAsia"/>
          <w:lang w:val="en-US" w:eastAsia="zh-CN"/>
        </w:rPr>
        <w:t>旗下广西南丹南方金属有限公司在2012年研发“铅锑银多金属绿色提取关键技术及产业化”项目，建成了以“富氧侧吹氧化—富氧侧吹还原—富氧侧吹烟化—粗铅连续精炼”为技术核心的铅锑银多金属清洁生产示范工厂，年处理物料规模45万吨/a的大型化装备。</w:t>
      </w:r>
    </w:p>
    <w:p w14:paraId="2B3B2CEC">
      <w:pPr>
        <w:bidi w:val="0"/>
        <w:rPr>
          <w:rFonts w:hint="eastAsia"/>
          <w:lang w:eastAsia="zh-CN"/>
        </w:rPr>
      </w:pPr>
      <w:r>
        <w:rPr>
          <w:rFonts w:hint="eastAsia"/>
        </w:rPr>
        <w:t>湖南东方钪业股份有限公司</w:t>
      </w:r>
      <w:r>
        <w:rPr>
          <w:rFonts w:hint="eastAsia"/>
          <w:lang w:eastAsia="zh-CN"/>
        </w:rPr>
        <w:t>：</w:t>
      </w:r>
      <w:r>
        <w:rPr>
          <w:rFonts w:hint="eastAsia"/>
        </w:rPr>
        <w:t>成立于2011年8月，全球钪产业的领导者，在微量钪大规模生产提取、高纯钪纯化精制方面具有世界领先的技术优势。公司产品涵盖氧化钪、金属钪、铝钪合金、含钪铝合金等，是世界钪元素开发及应用的重要推动者。作为世界最大的钪元素供应者，公司拥有全球最大的氧化钪生产线，生产能力超过10吨/年，是世界上首个实现氧化钪大规模生产的企业，公司掌握的从钛白废水中提钪并工业化生产的技术工艺居于世界领先水平，同时在铝钪中间合金制备及铝钪合金产品民用化的研发、生产方面，已经走在了该行业的前列；最新自主研发的含钪铝合金在中国有色轻金属标准化技术委员会注册了7A48牌号。该合金成分和生产工艺，减少了钪含量，因而降低了材料成本；极大改善了传统的铝钪合金生产工艺，加工困难、成品率低，无法在较大范围推广应用的问题。</w:t>
      </w:r>
    </w:p>
    <w:p w14:paraId="758E873B">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5" w:name="_Toc11944"/>
      <w:bookmarkStart w:id="16" w:name="_Toc1938"/>
      <w:bookmarkStart w:id="17" w:name="_Toc11754"/>
      <w:r>
        <w:rPr>
          <w:rFonts w:hint="eastAsia" w:ascii="Times New Roman" w:hAnsi="Times New Roman" w:eastAsia="黑体" w:cs="黑体"/>
          <w:kern w:val="0"/>
          <w:sz w:val="32"/>
          <w:szCs w:val="32"/>
          <w:lang w:val="en-US" w:eastAsia="zh-CN" w:bidi="ar"/>
        </w:rPr>
        <w:t>（二）稀土二次资源回收利用技术相关企业</w:t>
      </w:r>
      <w:bookmarkEnd w:id="15"/>
      <w:bookmarkEnd w:id="16"/>
      <w:bookmarkEnd w:id="17"/>
    </w:p>
    <w:p w14:paraId="42CCA5A5">
      <w:pPr>
        <w:rPr>
          <w:rFonts w:hint="eastAsia"/>
          <w:lang w:val="en-US" w:eastAsia="zh-CN"/>
        </w:rPr>
      </w:pPr>
      <w:r>
        <w:rPr>
          <w:rFonts w:hint="eastAsia"/>
          <w:lang w:val="en-US" w:eastAsia="zh-CN"/>
        </w:rPr>
        <w:t>江西金力永磁科技股份有限公司：高性能钕铁硼磁材+稀土回收双轮驱动，与特斯拉、比亚迪等头部车企深度绑定。技术上通过晶界扩散降低重稀土依赖，直接匹配车企降本需求；其磁材已应用于特斯拉4680电池电机，且绑定全球新能源核心玩家，订单确定性高。</w:t>
      </w:r>
    </w:p>
    <w:p w14:paraId="2FE854E0">
      <w:pPr>
        <w:bidi w:val="0"/>
      </w:pPr>
      <w:r>
        <w:t>先进环境装备与污染防治技术全国重点实验室</w:t>
      </w:r>
      <w:r>
        <w:rPr>
          <w:rFonts w:hint="default"/>
        </w:rPr>
        <w:t>：</w:t>
      </w:r>
      <w:r>
        <w:t>在二次稀土资源回收方面取得新进展</w:t>
      </w:r>
      <w:r>
        <w:rPr>
          <w:rFonts w:hint="eastAsia"/>
          <w:lang w:eastAsia="zh-CN"/>
        </w:rPr>
        <w:t>，</w:t>
      </w:r>
      <w:r>
        <w:t>通过后修饰策略，</w:t>
      </w:r>
      <w:r>
        <w:rPr>
          <w:rFonts w:hint="eastAsia"/>
        </w:rPr>
        <w:t>将具有选择性结合重稀土金属离子能力的TBP基团引入ZIF-8中，结合ZIF-8的多孔性和TBP基团的选择性结合能力，有效提升了复合材料在回收废水中稀土金属时的抗干扰能力和稳定性。</w:t>
      </w:r>
      <w:r>
        <w:t>基于实验和理论计算的结果表明，膦酸基团的引入增强了复合材料对于稀土金属离子的结合强度，降低了多种常见杂质离子（如镁镍铝铁等）对于回收过程的干扰。同时TBP基团能保护ZIF-8的框架结构，避免水解，进一步提升复合材料的稳定性。通过ZIF-8与TBP的结合，实现了对于真实矿山废水和废弃NdFeB永磁铁浸出液中稀土金属的高选择性分离回收，并揭示了膦酸基团对于重稀土离子的选择性结合机制，为沸石咪唑酯骨架材料的功能拓展提供了设计方案，为二次稀土资源回收提供了科学依据和技术支撑。</w:t>
      </w:r>
    </w:p>
    <w:p w14:paraId="2A86EE05">
      <w:pPr>
        <w:bidi w:val="0"/>
        <w:rPr>
          <w:rFonts w:hint="eastAsia"/>
          <w:lang w:eastAsia="zh-CN"/>
        </w:rPr>
      </w:pPr>
      <w:r>
        <w:rPr>
          <w:rFonts w:hint="eastAsia"/>
        </w:rPr>
        <w:t>镓特半导体科技(铜陵)有限公司</w:t>
      </w:r>
      <w:r>
        <w:rPr>
          <w:rFonts w:hint="eastAsia"/>
          <w:lang w:eastAsia="zh-CN"/>
        </w:rPr>
        <w:t>：</w:t>
      </w:r>
      <w:r>
        <w:t>是一家成立于2015年4月的高科技公司。Eta专注于开发大尺寸高质量GaN晶圆，这些晶圆可以以实惠的价格生产给半导体行业。公司采用自主研发的HVPE作为氮化镓晶圆的生产方法。氢化物气相外延（HVPE）是一种可以生产单晶氮化镓的工艺。由于可以达到高生长速率和高质量，它被用于氮化镓衬底的生长。在此过程中，HCl气体与液态金属镓反应，形成GaCl气体。然后GaCl在约1000°C下与NH₃气体反应，形成GaN的固体晶体。Eta Research开发了自己的HVPE设备，目标是经济高效地扩大GaN晶圆的生产规模。</w:t>
      </w:r>
    </w:p>
    <w:p w14:paraId="265EEBD6">
      <w:pPr>
        <w:bidi w:val="0"/>
      </w:pPr>
      <w:r>
        <w:rPr>
          <w:rFonts w:hint="eastAsia"/>
        </w:rPr>
        <w:t>稀土新材料技术创新中心包头总部及北京协同创新平台</w:t>
      </w:r>
      <w:r>
        <w:t>（牵头单位：清华大学化学系团队）</w:t>
      </w:r>
      <w:r>
        <w:rPr>
          <w:rFonts w:hint="default"/>
        </w:rPr>
        <w:t>：</w:t>
      </w:r>
      <w:r>
        <w:t>针对稀土资源绿色循环高值化利用的国家重大需求，开发了稀土磁材废料绿色生物回收关键核心技术，颠覆了传统化学法高温、强酸、强碱回收工艺路线，挖掘我国特有稀土微生物资源库，建立了从专利菌种库到成套工艺的完整自主知识产权体系，构建了常温常压稀土磁材工业废料生物回收技术体系，完成了吨级应用示范，取得了突破性创新成果。该技术显著降低了三废产生量和综合处理成本，技术的推广，将在环境保护、资源安全、产业升级和国际竞争力提升等多方面产生重要影响。</w:t>
      </w:r>
    </w:p>
    <w:p w14:paraId="293ED967">
      <w:pPr>
        <w:bidi w:val="0"/>
        <w:rPr>
          <w:rFonts w:hint="eastAsia"/>
          <w:lang w:val="en-US" w:eastAsia="zh-CN"/>
        </w:rPr>
      </w:pPr>
      <w:r>
        <w:t>云南驰宏锌锗股份有限公司</w:t>
      </w:r>
      <w:r>
        <w:rPr>
          <w:rFonts w:hint="eastAsia"/>
          <w:lang w:eastAsia="zh-CN"/>
        </w:rPr>
        <w:t>：</w:t>
      </w:r>
      <w:r>
        <w:t>成立于2000年</w:t>
      </w:r>
      <w:r>
        <w:rPr>
          <w:rFonts w:hint="eastAsia"/>
          <w:lang w:eastAsia="zh-CN"/>
        </w:rPr>
        <w:t>，</w:t>
      </w:r>
      <w:r>
        <w:t>是一户以铅锌锗产</w:t>
      </w:r>
      <w:r>
        <w:rPr>
          <w:rFonts w:hint="eastAsia"/>
        </w:rPr>
        <w:t>业为主，集地质勘探、采矿、选矿、冶炼、化工、深加工、贸易和科研为一体的综合性矿业公司</w:t>
      </w:r>
      <w:r>
        <w:rPr>
          <w:rFonts w:hint="eastAsia"/>
          <w:lang w:eastAsia="zh-CN"/>
        </w:rPr>
        <w:t>。</w:t>
      </w:r>
      <w:r>
        <w:t>，以科技创新提升综合竞争力，奋力攻克了8N二氧化锗的超声悬浮水解制备技术、锗蒸馏残液资源化利用技术等多项“卡脖子”技术难题，推动锗综合回收率显著提升，引领行业标杆。创新开发出高海拔地区光纤级超高纯四氯化锗关键制备技术，成为国内外少数掌握光纤用超高纯四氯化锗制备技术的企业。</w:t>
      </w:r>
    </w:p>
    <w:p w14:paraId="19DD7F5F">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textAlignment w:val="auto"/>
        <w:outlineLvl w:val="1"/>
        <w:rPr>
          <w:rFonts w:hint="eastAsia" w:ascii="Times New Roman" w:hAnsi="Times New Roman" w:eastAsia="黑体" w:cs="黑体"/>
          <w:kern w:val="0"/>
          <w:sz w:val="32"/>
          <w:szCs w:val="32"/>
          <w:lang w:val="en-US" w:eastAsia="zh-CN" w:bidi="ar"/>
        </w:rPr>
      </w:pPr>
      <w:bookmarkStart w:id="18" w:name="_Toc27246"/>
      <w:bookmarkStart w:id="19" w:name="_Toc25998"/>
      <w:bookmarkStart w:id="20" w:name="_Toc14345"/>
      <w:r>
        <w:rPr>
          <w:rFonts w:hint="eastAsia" w:ascii="Times New Roman" w:hAnsi="Times New Roman" w:cs="黑体"/>
          <w:kern w:val="0"/>
          <w:sz w:val="32"/>
          <w:szCs w:val="32"/>
          <w:lang w:val="en-US" w:eastAsia="zh-CN" w:bidi="ar"/>
        </w:rPr>
        <w:t>（三）</w:t>
      </w:r>
      <w:r>
        <w:rPr>
          <w:rFonts w:hint="eastAsia" w:ascii="Times New Roman" w:hAnsi="Times New Roman" w:eastAsia="黑体" w:cs="黑体"/>
          <w:kern w:val="0"/>
          <w:sz w:val="32"/>
          <w:szCs w:val="32"/>
          <w:lang w:val="en-US" w:eastAsia="zh-CN" w:bidi="ar"/>
        </w:rPr>
        <w:t>稀土磁性材料制造技术相关企业</w:t>
      </w:r>
      <w:bookmarkEnd w:id="18"/>
      <w:bookmarkEnd w:id="19"/>
      <w:bookmarkEnd w:id="20"/>
    </w:p>
    <w:p w14:paraId="08DE1B74">
      <w:pPr>
        <w:bidi w:val="0"/>
      </w:pPr>
      <w:r>
        <w:rPr>
          <w:rFonts w:hint="eastAsia"/>
          <w:lang w:eastAsia="zh-CN"/>
        </w:rPr>
        <w:t>宁波韵升股份有限公司：自1995年以来专业从事稀土永磁材料的研发、制造和销售，是国家高新技术企业。公司在宁波、包头建有坯料生产基地，拥有达到国际一流水平的磁钢坯料生产、机械加工及表面处理生产线，具有年产坯料21000吨的生产能力，是全球最大的稀土永磁材料制造商之一。</w:t>
      </w:r>
      <w:r>
        <w:t>截至2023年底，公司依靠自主研发在稀土永磁材料领域获得95项发明专利、12项实用新型专利，并先后实施完成了5项国家863课题</w:t>
      </w:r>
      <w:r>
        <w:rPr>
          <w:rFonts w:hint="eastAsia"/>
          <w:lang w:eastAsia="zh-CN"/>
        </w:rPr>
        <w:t>。</w:t>
      </w:r>
      <w:r>
        <w:t>国内第二大烧结钕铁硼生产商（产能超1.5万吨/年），掌握晶界扩散技术（重稀土用量减少40%），成本优势显著。深度布局人形机器人赛道，已向特斯拉Optimus送样磁组件测试，若量产将打开第二成长曲线；同时为工业机器人、新能源汽车提供核心材料，技术转化能力突出。</w:t>
      </w:r>
    </w:p>
    <w:p w14:paraId="40712CF8">
      <w:pPr>
        <w:bidi w:val="0"/>
        <w:rPr>
          <w:rFonts w:hint="eastAsia"/>
        </w:rPr>
      </w:pPr>
      <w:r>
        <w:t>安徽大地熊新材料股份有限公司</w:t>
      </w:r>
      <w:r>
        <w:rPr>
          <w:rFonts w:hint="eastAsia"/>
          <w:lang w:eastAsia="zh-CN"/>
        </w:rPr>
        <w:t>：</w:t>
      </w:r>
      <w:r>
        <w:t>2003年成立于安徽省合肥市，是一家集稀土永磁材料研发、生产、销售为一体的国家高新技术企业、国家专精特新“小巨人”企业、安徽省优秀民营企业、安徽省民营企业制造业综合百强企业、安徽省绿色工厂。</w:t>
      </w:r>
      <w:r>
        <w:rPr>
          <w:rFonts w:hint="eastAsia"/>
        </w:rPr>
        <w:t>主要产品高性能烧结钕铁硼永磁材料具有高磁性能、高矫顽力、高服役特性等特点，主要应用于汽车、工业电机及高端消费类电子等节能环保和智能制造领域，出口欧美、亚太等二十多个国家和地区。公司拥有“稀土永磁材料国家重点实验室”“国家企业技术中心”“国家地方联合工程研究中心”“国家博士后科研工作站”等国家级创新平台，拥有全过程气氛控制、晶界掺杂调控、晶界扩散调控、绿色高效表面防护、钕铁硼磁体再制造等关键技术，研发及产业化水平居稀土永磁行业前列。</w:t>
      </w:r>
      <w:r>
        <w:t>公司累计牵头承担30多项国家和省部级研发和产业化项目；拥有有效专利204件，其中发明75件；主导制定了《再生烧结钕铁硼永磁材料》国家标准和《废旧烧结钕铁硼磁体再生利用技术规范》行业标准，参与制定国家标准15项、行业标准3项；荣获“安徽省科学技术奖一等奖”“教育部技术发明奖一等奖”“市场监管科研成果奖一等奖”等10多项省部级科技奖项，荣获“国家重点新产品”2项。“大地熊”被认定为中国驰名商标。</w:t>
      </w:r>
    </w:p>
    <w:p w14:paraId="2317CEFD">
      <w:pPr>
        <w:bidi w:val="0"/>
        <w:rPr>
          <w:rFonts w:hint="eastAsia"/>
          <w:lang w:eastAsia="zh-CN"/>
        </w:rPr>
      </w:pPr>
      <w:r>
        <w:t>包头稀土研究</w:t>
      </w:r>
      <w:r>
        <w:rPr>
          <w:rFonts w:hint="eastAsia"/>
          <w:lang w:eastAsia="zh-CN"/>
        </w:rPr>
        <w:t>：在高性能钕铁硼制备技术上取得重要进展，在显著减少重稀土用量的前提下，成功制备出50UH、52SH等高牌号钕铁硼磁体。致力于高性能钕铁硼磁体的研发，成功开发出晶界扩散重稀土高效利用技术，并建成一条技术先进、节能环保的晶界扩散中试验证线。该技术通过定制扩散源配方、优化覆膜工艺与精准调控热处理，在提升磁体性能的同时，实现了重稀土的高效利用和短流程回收。与传统工艺相比，在磁性能相当的情况下，可节约重稀土30%至70%，显著降低生产成本，缓解对稀缺资源的依赖。</w:t>
      </w:r>
    </w:p>
    <w:p w14:paraId="29E414FE">
      <w:pPr>
        <w:bidi w:val="0"/>
        <w:rPr>
          <w:rFonts w:hint="eastAsia"/>
          <w:lang w:val="en-US" w:eastAsia="zh-CN"/>
        </w:rPr>
      </w:pPr>
      <w:r>
        <w:t>中国科学院物理研究所</w:t>
      </w:r>
      <w:r>
        <w:rPr>
          <w:rFonts w:hint="default"/>
        </w:rPr>
        <w:t>：</w:t>
      </w:r>
      <w:r>
        <w:t>长期从事稀土磁性功能材料研究（包括稀土永磁和稀土磁制冷材料），前期利用稀土分离过程中的中间产物，首次在国际上研制出高丰度混合稀土烧结磁体的制备方法，成功制备出磁性能优异的MM(Ce)-Fe-B/Nd-Fe-B双主相磁体。进一步研究发现高丰度稀土元素的引入容易导致磁体性能下降。同时，成分变量增多也使得性能与组分之间的关系更为复杂，传统依赖试错的优化策略面临效率低、成本高的难题。</w:t>
      </w:r>
      <w:r>
        <w:rPr>
          <w:rFonts w:hint="eastAsia"/>
          <w:lang w:val="en-US" w:eastAsia="zh-CN"/>
        </w:rPr>
        <w:t>近期</w:t>
      </w:r>
      <w:r>
        <w:t>提出了一种基于机器学习方法的创新性数据驱动材料优化框架，构建了具有“成分+复合电负性-磁性能”双向预测功能的双集成回归模型。研究团队基于公开发表文献相关实验数据，构建了涵盖材料电负性、化学成分与磁性能参数的快淬钕铁硼薄带完备数据集。以钕铁硼材料中各元素的化学电负性为基础进行了模型特征构造，将原始化学组分向更有物理意义的特征空间映射，增强模型的可解释性，为钕铁硼材料的性能优化提供新思路。同时，研究团队引入启发式智能优化算法与集成策略，基于模型选择结果，针对不同磁性能融合多种回归模型，进一步提升模型预测准确度与泛化能力，实现了高丰度稀土钕铁硼永磁材料的高效开发设计。</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854941A-06F6-4434-BEC5-C28596EC8D3C}"/>
  </w:font>
  <w:font w:name="黑体">
    <w:panose1 w:val="02010609060101010101"/>
    <w:charset w:val="86"/>
    <w:family w:val="auto"/>
    <w:pitch w:val="default"/>
    <w:sig w:usb0="800002BF" w:usb1="38CF7CFA" w:usb2="00000016" w:usb3="00000000" w:csb0="00040001" w:csb1="00000000"/>
    <w:embedRegular r:id="rId2" w:fontKey="{ACC15EBD-DE6F-4F60-960A-019460EC4E1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3" w:fontKey="{6CEDD1A7-12E7-4161-A799-157E734DA067}"/>
  </w:font>
  <w:font w:name="Calibri Light">
    <w:panose1 w:val="020F0302020204030204"/>
    <w:charset w:val="00"/>
    <w:family w:val="auto"/>
    <w:pitch w:val="default"/>
    <w:sig w:usb0="E4002EFF" w:usb1="C200247B" w:usb2="00000009" w:usb3="00000000" w:csb0="200001FF"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4" w:fontKey="{7E69901B-1F0B-41CB-91E0-D6A293178F7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微软雅黑"/>
    <w:panose1 w:val="02000000000000000000"/>
    <w:charset w:val="86"/>
    <w:family w:val="auto"/>
    <w:pitch w:val="default"/>
    <w:sig w:usb0="00000000" w:usb1="00000000" w:usb2="00000012" w:usb3="00000000" w:csb0="00040001" w:csb1="00000000"/>
    <w:embedRegular r:id="rId5" w:fontKey="{607AD6B3-A809-47C2-8AA2-C58471D4CEC3}"/>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6" w:fontKey="{05050886-75BF-40E3-B289-2D5B1539CD61}"/>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2117C4"/>
    <w:rsid w:val="0CBD6B55"/>
    <w:rsid w:val="12B37F68"/>
    <w:rsid w:val="188E5849"/>
    <w:rsid w:val="1C5B45A4"/>
    <w:rsid w:val="242C61E4"/>
    <w:rsid w:val="2E027256"/>
    <w:rsid w:val="2EEB0EA8"/>
    <w:rsid w:val="34F27698"/>
    <w:rsid w:val="3E663D60"/>
    <w:rsid w:val="493F0316"/>
    <w:rsid w:val="4E3923C8"/>
    <w:rsid w:val="530618E0"/>
    <w:rsid w:val="54B971CF"/>
    <w:rsid w:val="57642BAC"/>
    <w:rsid w:val="57787CE0"/>
    <w:rsid w:val="5C2F4E0A"/>
    <w:rsid w:val="5C3B671B"/>
    <w:rsid w:val="5C6C532F"/>
    <w:rsid w:val="70F76C5D"/>
    <w:rsid w:val="75211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883" w:firstLineChars="200"/>
      <w:jc w:val="both"/>
    </w:pPr>
    <w:rPr>
      <w:rFonts w:ascii="Times New Roman" w:hAnsi="Times New Roman" w:eastAsia="方正仿宋_GBK" w:cstheme="minorBidi"/>
      <w:kern w:val="2"/>
      <w:sz w:val="32"/>
      <w:szCs w:val="32"/>
      <w:lang w:val="en-US" w:eastAsia="zh-CN" w:bidi="ar-SA"/>
    </w:rPr>
  </w:style>
  <w:style w:type="paragraph" w:styleId="2">
    <w:name w:val="heading 1"/>
    <w:basedOn w:val="1"/>
    <w:next w:val="1"/>
    <w:link w:val="12"/>
    <w:qFormat/>
    <w:uiPriority w:val="0"/>
    <w:pPr>
      <w:keepNext/>
      <w:keepLines/>
      <w:spacing w:before="340" w:beforeLines="0" w:beforeAutospacing="0" w:after="330" w:afterLines="0" w:afterAutospacing="0" w:line="576" w:lineRule="auto"/>
      <w:outlineLvl w:val="0"/>
    </w:pPr>
    <w:rPr>
      <w:rFonts w:eastAsia="黑体"/>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Times New Roman" w:hAnsi="Times New Roman" w:eastAsia="黑体"/>
      <w:b/>
    </w:rPr>
  </w:style>
  <w:style w:type="paragraph" w:styleId="4">
    <w:name w:val="heading 3"/>
    <w:basedOn w:val="1"/>
    <w:next w:val="1"/>
    <w:unhideWhenUsed/>
    <w:qFormat/>
    <w:uiPriority w:val="0"/>
    <w:pPr>
      <w:ind w:firstLine="640"/>
      <w:jc w:val="left"/>
      <w:outlineLvl w:val="2"/>
    </w:pPr>
    <w:rPr>
      <w:rFonts w:eastAsia="黑体" w:cs="黑体"/>
      <w:kern w:val="0"/>
      <w:lang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1"/>
    <w:basedOn w:val="1"/>
    <w:next w:val="1"/>
    <w:qFormat/>
    <w:uiPriority w:val="0"/>
    <w:rPr>
      <w:rFonts w:ascii="Times New Roman" w:hAnsi="Times New Roman" w:eastAsia="黑体"/>
      <w:snapToGrid w:val="0"/>
      <w:sz w:val="21"/>
      <w:szCs w:val="22"/>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paragraph" w:customStyle="1" w:styleId="11">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54A1" w:themeColor="accent1" w:themeShade="BF"/>
      <w:kern w:val="0"/>
      <w:szCs w:val="32"/>
    </w:rPr>
  </w:style>
  <w:style w:type="character" w:customStyle="1" w:styleId="12">
    <w:name w:val="标题 1 Char"/>
    <w:link w:val="2"/>
    <w:qFormat/>
    <w:uiPriority w:val="0"/>
    <w:rPr>
      <w:rFonts w:eastAsia="黑体"/>
      <w:b/>
      <w:kern w:val="44"/>
      <w:sz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4634</Words>
  <Characters>4843</Characters>
  <Lines>0</Lines>
  <Paragraphs>0</Paragraphs>
  <TotalTime>8</TotalTime>
  <ScaleCrop>false</ScaleCrop>
  <LinksUpToDate>false</LinksUpToDate>
  <CharactersWithSpaces>4862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2025-10-30T06:07:00Z</dcterms:created>
  <dc:creator>Q.</dc:creator>
  <cp:lastModifiedBy>李双双</cp:lastModifiedBy>
  <dcterms:modified xsi:type="dcterms:W3CDTF">2025-11-06T01:53:54Z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EDDBA15D6621423C83625A5BC6D70251_11</vt:lpwstr>
  </property>
  <property fmtid="{D5CDD505-2E9C-101B-9397-08002B2CF9AE}" pid="4" name="KSOTemplateDocerSaveRecord">
    <vt:lpwstr>eyJoZGlkIjoiZmY0NTRiZDkwNjE4NTA3ZWVhNDQwNzNkZmQzZWFjZTkiLCJ1c2VySWQiOiIxOTUwMzY3NDUifQ==</vt:lpwstr>
  </property>
</Properties>
</file>