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E7B8C8">
      <w:pPr>
        <w:jc w:val="center"/>
        <w:rPr>
          <w:rFonts w:ascii="黑体" w:hAnsi="黑体" w:eastAsia="黑体"/>
          <w:b/>
          <w:color w:val="auto"/>
          <w:sz w:val="44"/>
        </w:rPr>
      </w:pPr>
      <w:bookmarkStart w:id="0" w:name="_GoBack"/>
      <w:bookmarkEnd w:id="0"/>
      <w:r>
        <w:rPr>
          <w:rFonts w:ascii="黑体" w:hAnsi="黑体" w:eastAsia="黑体"/>
          <w:b/>
          <w:color w:val="auto"/>
          <w:sz w:val="44"/>
        </w:rPr>
        <w:t>天然鳞片石墨调研报告</w:t>
      </w:r>
    </w:p>
    <w:p w14:paraId="4BBE4F6C">
      <w:pPr>
        <w:jc w:val="center"/>
        <w:rPr>
          <w:rFonts w:ascii="黑体" w:hAnsi="黑体" w:eastAsia="黑体"/>
          <w:b/>
          <w:color w:val="auto"/>
          <w:sz w:val="44"/>
        </w:rPr>
      </w:pPr>
    </w:p>
    <w:p w14:paraId="6BC2DD9A">
      <w:pPr>
        <w:pStyle w:val="4"/>
        <w:widowControl w:val="0"/>
        <w:wordWrap w:val="0"/>
        <w:bidi w:val="0"/>
        <w:spacing w:before="0" w:beforeLines="0" w:after="0" w:afterLines="0" w:line="560" w:lineRule="exact"/>
        <w:ind w:firstLine="640" w:firstLineChars="200"/>
        <w:jc w:val="both"/>
        <w:rPr>
          <w:rFonts w:hint="eastAsia" w:ascii="Segoe UI" w:hAnsi="Segoe UI" w:eastAsia="Segoe UI" w:cs="Segoe UI"/>
          <w:color w:val="auto"/>
          <w:kern w:val="2"/>
          <w:sz w:val="32"/>
          <w:szCs w:val="32"/>
          <w:shd w:val="clear" w:fill="FFFFFF"/>
          <w:lang w:val="en-US" w:eastAsia="zh-CN"/>
        </w:rPr>
      </w:pPr>
      <w:r>
        <w:rPr>
          <w:rFonts w:hint="eastAsia" w:ascii="Segoe UI" w:hAnsi="Segoe UI" w:eastAsia="Segoe UI" w:cs="Segoe UI"/>
          <w:color w:val="auto"/>
          <w:kern w:val="2"/>
          <w:sz w:val="32"/>
          <w:szCs w:val="32"/>
          <w:shd w:val="clear" w:fill="FFFFFF"/>
          <w:lang w:val="en-US" w:eastAsia="zh-CN"/>
        </w:rPr>
        <w:t>一、国内外出口管制政策梳理</w:t>
      </w:r>
    </w:p>
    <w:p w14:paraId="3A70B696">
      <w:pPr>
        <w:pStyle w:val="5"/>
        <w:keepNext w:val="0"/>
        <w:keepLines w:val="0"/>
        <w:pageBreakBefore w:val="0"/>
        <w:widowControl w:val="0"/>
        <w:numPr>
          <w:ilvl w:val="0"/>
          <w:numId w:val="0"/>
        </w:numPr>
        <w:kinsoku/>
        <w:wordWrap w:val="0"/>
        <w:overflowPunct/>
        <w:topLinePunct w:val="0"/>
        <w:autoSpaceDE/>
        <w:autoSpaceDN/>
        <w:bidi w:val="0"/>
        <w:adjustRightInd/>
        <w:snapToGrid/>
        <w:spacing w:before="0" w:beforeAutospacing="0" w:after="0" w:afterAutospacing="0" w:line="560" w:lineRule="exact"/>
        <w:ind w:firstLine="640" w:firstLineChars="200"/>
        <w:jc w:val="left"/>
        <w:textAlignment w:val="auto"/>
        <w:outlineLvl w:val="1"/>
        <w:rPr>
          <w:rFonts w:hint="eastAsia" w:ascii="Times New Roman" w:hAnsi="Times New Roman" w:eastAsia="黑体" w:cs="黑体"/>
          <w:b w:val="0"/>
          <w:bCs w:val="0"/>
          <w:color w:val="auto"/>
          <w:kern w:val="0"/>
          <w:sz w:val="32"/>
          <w:szCs w:val="32"/>
          <w:lang w:val="en-US" w:eastAsia="zh-CN" w:bidi="ar"/>
        </w:rPr>
      </w:pPr>
      <w:r>
        <w:rPr>
          <w:rFonts w:hint="eastAsia" w:ascii="Times New Roman" w:hAnsi="Times New Roman" w:eastAsia="黑体" w:cs="黑体"/>
          <w:b w:val="0"/>
          <w:bCs w:val="0"/>
          <w:color w:val="auto"/>
          <w:kern w:val="0"/>
          <w:sz w:val="32"/>
          <w:szCs w:val="32"/>
          <w:lang w:val="en-US" w:eastAsia="zh-CN" w:bidi="ar"/>
        </w:rPr>
        <w:t>（一）中国出口管制政策体系</w:t>
      </w:r>
    </w:p>
    <w:p w14:paraId="5B25705E">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9"/>
        <w:rPr>
          <w:rFonts w:hint="eastAsia" w:ascii="Times New Roman" w:hAnsi="Times New Roman" w:eastAsia="方正仿宋_GBK"/>
          <w:color w:val="auto"/>
          <w:kern w:val="2"/>
          <w:sz w:val="32"/>
          <w:szCs w:val="32"/>
          <w:lang w:val="en-US" w:eastAsia="en-US"/>
        </w:rPr>
      </w:pPr>
      <w:r>
        <w:rPr>
          <w:rFonts w:hint="eastAsia" w:ascii="Times New Roman" w:hAnsi="Times New Roman" w:eastAsia="方正仿宋_GBK"/>
          <w:color w:val="auto"/>
          <w:kern w:val="2"/>
          <w:sz w:val="32"/>
          <w:szCs w:val="32"/>
          <w:lang w:val="en-US" w:eastAsia="en-US"/>
        </w:rPr>
        <w:t>中国石墨出口管制以2020年12月1日正式施行</w:t>
      </w:r>
      <w:r>
        <w:rPr>
          <w:rFonts w:hint="eastAsia"/>
          <w:color w:val="auto"/>
          <w:kern w:val="2"/>
          <w:sz w:val="32"/>
          <w:szCs w:val="32"/>
          <w:lang w:val="en-US" w:eastAsia="zh-CN"/>
        </w:rPr>
        <w:t>的</w:t>
      </w:r>
      <w:r>
        <w:rPr>
          <w:rFonts w:hint="eastAsia" w:ascii="Times New Roman" w:hAnsi="Times New Roman" w:eastAsia="方正仿宋_GBK"/>
          <w:color w:val="auto"/>
          <w:kern w:val="2"/>
          <w:sz w:val="32"/>
          <w:szCs w:val="32"/>
          <w:lang w:val="en-US" w:eastAsia="en-US"/>
        </w:rPr>
        <w:t>《中华人民共和国出口管制法》为依据，</w:t>
      </w:r>
      <w:r>
        <w:rPr>
          <w:rFonts w:hint="eastAsia"/>
          <w:color w:val="auto"/>
          <w:kern w:val="2"/>
          <w:sz w:val="32"/>
          <w:szCs w:val="32"/>
          <w:lang w:val="en-US" w:eastAsia="zh-CN"/>
        </w:rPr>
        <w:t>建立了</w:t>
      </w:r>
      <w:r>
        <w:rPr>
          <w:rFonts w:hint="eastAsia" w:ascii="Times New Roman" w:hAnsi="Times New Roman" w:eastAsia="方正仿宋_GBK"/>
          <w:color w:val="auto"/>
          <w:kern w:val="2"/>
          <w:sz w:val="32"/>
          <w:szCs w:val="32"/>
          <w:lang w:val="en-US" w:eastAsia="en-US"/>
        </w:rPr>
        <w:t>完善的法律体系</w:t>
      </w:r>
      <w:r>
        <w:rPr>
          <w:rFonts w:hint="eastAsia"/>
          <w:color w:val="auto"/>
          <w:kern w:val="2"/>
          <w:sz w:val="32"/>
          <w:szCs w:val="32"/>
          <w:lang w:val="en-US" w:eastAsia="zh-CN"/>
        </w:rPr>
        <w:t>。2023年10月，商务部、海关总署发布39号公告，对天然鳞片石墨、高纯石墨等物项实施临时出口管制，产品需符合纯度、碳含量、粒度等指标，出口必须申请许可证，不符合安全与政策要求的不予许可。2024年12月，46号公告将临时管制正式化，天然鳞片石墨、球形石墨、高纯石墨纳入两用物项管理，明确税号与许可流程，向美国等西方国家出口须持证。2025年10月，58号公告将锂电池及人造石墨负极材料纳入管制，进一步扩大管控范围；同年11月，72号公告暂停对美出口从严审查条款，实行更灵活的管理方式</w:t>
      </w:r>
      <w:r>
        <w:rPr>
          <w:rFonts w:hint="eastAsia" w:ascii="Times New Roman" w:hAnsi="Times New Roman" w:eastAsia="方正仿宋_GBK"/>
          <w:color w:val="auto"/>
          <w:kern w:val="2"/>
          <w:sz w:val="32"/>
          <w:szCs w:val="32"/>
          <w:lang w:val="en-US" w:eastAsia="en-US"/>
        </w:rPr>
        <w:t>。</w:t>
      </w:r>
    </w:p>
    <w:p w14:paraId="5F909F4E">
      <w:pPr>
        <w:pStyle w:val="5"/>
        <w:keepNext w:val="0"/>
        <w:keepLines w:val="0"/>
        <w:pageBreakBefore w:val="0"/>
        <w:widowControl w:val="0"/>
        <w:numPr>
          <w:ilvl w:val="0"/>
          <w:numId w:val="0"/>
        </w:numPr>
        <w:kinsoku/>
        <w:wordWrap w:val="0"/>
        <w:overflowPunct/>
        <w:topLinePunct w:val="0"/>
        <w:autoSpaceDE/>
        <w:autoSpaceDN/>
        <w:bidi w:val="0"/>
        <w:adjustRightInd/>
        <w:snapToGrid/>
        <w:spacing w:before="0" w:beforeAutospacing="0" w:after="0" w:afterAutospacing="0" w:line="560" w:lineRule="exact"/>
        <w:ind w:firstLine="640" w:firstLineChars="200"/>
        <w:jc w:val="left"/>
        <w:textAlignment w:val="auto"/>
        <w:outlineLvl w:val="1"/>
        <w:rPr>
          <w:rFonts w:hint="eastAsia" w:ascii="Times New Roman" w:hAnsi="Times New Roman" w:eastAsia="黑体" w:cs="黑体"/>
          <w:b w:val="0"/>
          <w:bCs w:val="0"/>
          <w:color w:val="auto"/>
          <w:kern w:val="0"/>
          <w:sz w:val="32"/>
          <w:szCs w:val="32"/>
          <w:lang w:val="en-US" w:eastAsia="zh-CN" w:bidi="ar"/>
        </w:rPr>
      </w:pPr>
      <w:r>
        <w:rPr>
          <w:rFonts w:hint="eastAsia" w:ascii="Times New Roman" w:hAnsi="Times New Roman" w:eastAsia="黑体" w:cs="黑体"/>
          <w:b w:val="0"/>
          <w:bCs w:val="0"/>
          <w:color w:val="auto"/>
          <w:kern w:val="0"/>
          <w:sz w:val="32"/>
          <w:szCs w:val="32"/>
          <w:lang w:val="en-US" w:eastAsia="zh-CN" w:bidi="ar"/>
        </w:rPr>
        <w:t>（二）国际出口管制与限制措施</w:t>
      </w:r>
    </w:p>
    <w:p w14:paraId="234A525C">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9"/>
        <w:rPr>
          <w:rFonts w:hint="eastAsia" w:ascii="Times New Roman" w:hAnsi="Times New Roman" w:eastAsia="方正仿宋_GBK"/>
          <w:color w:val="auto"/>
          <w:kern w:val="2"/>
          <w:sz w:val="32"/>
          <w:szCs w:val="32"/>
          <w:lang w:val="en-US" w:eastAsia="en-US"/>
        </w:rPr>
      </w:pPr>
      <w:r>
        <w:rPr>
          <w:rFonts w:hint="eastAsia" w:ascii="Times New Roman" w:hAnsi="Times New Roman" w:eastAsia="方正仿宋_GBK"/>
          <w:color w:val="auto"/>
          <w:kern w:val="2"/>
          <w:sz w:val="32"/>
          <w:szCs w:val="32"/>
          <w:lang w:val="en-US" w:eastAsia="en-US"/>
        </w:rPr>
        <w:t>美国2021年将天然石墨列为关键矿产，2025年对中国阳极石墨加征反倾销、反补贴税，综合税率达160%；2024年美进口天然石墨7.39万吨，2021-2024年自华进口占比约46%。</w:t>
      </w:r>
    </w:p>
    <w:p w14:paraId="27007943">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9"/>
        <w:rPr>
          <w:rFonts w:hint="eastAsia" w:ascii="Times New Roman" w:hAnsi="Times New Roman" w:eastAsia="方正仿宋_GBK"/>
          <w:color w:val="auto"/>
          <w:kern w:val="2"/>
          <w:sz w:val="32"/>
          <w:szCs w:val="32"/>
          <w:lang w:val="en-US" w:eastAsia="en-US"/>
        </w:rPr>
      </w:pPr>
      <w:r>
        <w:rPr>
          <w:rFonts w:hint="eastAsia" w:ascii="Times New Roman" w:hAnsi="Times New Roman" w:eastAsia="方正仿宋_GBK"/>
          <w:color w:val="auto"/>
          <w:kern w:val="2"/>
          <w:sz w:val="32"/>
          <w:szCs w:val="32"/>
          <w:lang w:val="en-US" w:eastAsia="en-US"/>
        </w:rPr>
        <w:t>欧盟2020年将石墨列为关键原材料，2024年通过《关键原材料法案》并设定2030年本土供应目标；当年自华进口天然石墨占比约38%，球形石墨依赖度更高，正推进瑞典石墨矿开发。</w:t>
      </w:r>
    </w:p>
    <w:p w14:paraId="37A478E7">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9"/>
        <w:rPr>
          <w:rFonts w:hint="eastAsia" w:ascii="Times New Roman" w:hAnsi="Times New Roman" w:eastAsia="方正仿宋_GBK"/>
          <w:color w:val="auto"/>
          <w:kern w:val="2"/>
          <w:sz w:val="32"/>
          <w:szCs w:val="32"/>
          <w:lang w:val="en-US" w:eastAsia="en-US"/>
        </w:rPr>
      </w:pPr>
      <w:r>
        <w:rPr>
          <w:rFonts w:hint="eastAsia" w:ascii="Times New Roman" w:hAnsi="Times New Roman" w:eastAsia="方正仿宋_GBK"/>
          <w:color w:val="auto"/>
          <w:kern w:val="2"/>
          <w:sz w:val="32"/>
          <w:szCs w:val="32"/>
          <w:lang w:val="en-US" w:eastAsia="en-US"/>
        </w:rPr>
        <w:t>日本强化石墨供应保障并建立储备制度；韩国计划2030年降低战略矿产进口依赖、提升回收率；澳大利亚将石墨列为关键矿物，2024年与美、英、日等国深化矿产合作。</w:t>
      </w:r>
    </w:p>
    <w:p w14:paraId="1FC4EBD6">
      <w:pPr>
        <w:pStyle w:val="4"/>
        <w:widowControl w:val="0"/>
        <w:wordWrap w:val="0"/>
        <w:bidi w:val="0"/>
        <w:spacing w:before="0" w:beforeLines="0" w:after="0" w:afterLines="0" w:line="560" w:lineRule="exact"/>
        <w:ind w:firstLine="640" w:firstLineChars="200"/>
        <w:jc w:val="both"/>
        <w:rPr>
          <w:rFonts w:hint="eastAsia" w:ascii="Segoe UI" w:hAnsi="Segoe UI" w:eastAsia="Segoe UI" w:cs="Segoe UI"/>
          <w:color w:val="auto"/>
          <w:kern w:val="2"/>
          <w:sz w:val="32"/>
          <w:szCs w:val="32"/>
          <w:shd w:val="clear" w:fill="FFFFFF"/>
          <w:lang w:val="en-US" w:eastAsia="zh-CN"/>
        </w:rPr>
      </w:pPr>
      <w:r>
        <w:rPr>
          <w:rFonts w:hint="eastAsia" w:ascii="Segoe UI" w:hAnsi="Segoe UI" w:eastAsia="Segoe UI" w:cs="Segoe UI"/>
          <w:color w:val="auto"/>
          <w:kern w:val="2"/>
          <w:sz w:val="32"/>
          <w:szCs w:val="32"/>
          <w:shd w:val="clear" w:fill="FFFFFF"/>
          <w:lang w:val="en-US" w:eastAsia="zh-CN"/>
        </w:rPr>
        <w:t>二、天然鳞片石墨相关商品知识</w:t>
      </w:r>
    </w:p>
    <w:p w14:paraId="1407A32D">
      <w:pPr>
        <w:pStyle w:val="5"/>
        <w:keepNext w:val="0"/>
        <w:keepLines w:val="0"/>
        <w:pageBreakBefore w:val="0"/>
        <w:widowControl w:val="0"/>
        <w:numPr>
          <w:ilvl w:val="0"/>
          <w:numId w:val="0"/>
        </w:numPr>
        <w:kinsoku/>
        <w:wordWrap w:val="0"/>
        <w:overflowPunct/>
        <w:topLinePunct w:val="0"/>
        <w:autoSpaceDE/>
        <w:autoSpaceDN/>
        <w:bidi w:val="0"/>
        <w:adjustRightInd/>
        <w:snapToGrid/>
        <w:spacing w:before="0" w:beforeAutospacing="0" w:after="0" w:afterAutospacing="0" w:line="560" w:lineRule="exact"/>
        <w:ind w:firstLine="640" w:firstLineChars="200"/>
        <w:jc w:val="left"/>
        <w:textAlignment w:val="auto"/>
        <w:outlineLvl w:val="1"/>
        <w:rPr>
          <w:rFonts w:hint="eastAsia" w:ascii="Times New Roman" w:hAnsi="Times New Roman" w:eastAsia="黑体" w:cs="黑体"/>
          <w:b w:val="0"/>
          <w:bCs w:val="0"/>
          <w:color w:val="auto"/>
          <w:kern w:val="0"/>
          <w:sz w:val="32"/>
          <w:szCs w:val="32"/>
          <w:lang w:val="en-US" w:eastAsia="zh-CN" w:bidi="ar"/>
        </w:rPr>
      </w:pPr>
      <w:r>
        <w:rPr>
          <w:rFonts w:hint="eastAsia" w:ascii="Times New Roman" w:hAnsi="Times New Roman" w:eastAsia="黑体" w:cs="黑体"/>
          <w:b w:val="0"/>
          <w:bCs w:val="0"/>
          <w:color w:val="auto"/>
          <w:kern w:val="0"/>
          <w:sz w:val="32"/>
          <w:szCs w:val="32"/>
          <w:lang w:val="en-US" w:eastAsia="zh-CN" w:bidi="ar"/>
        </w:rPr>
        <w:t>（一）天然鳞片石墨的基本概念</w:t>
      </w:r>
    </w:p>
    <w:p w14:paraId="6F9C1E12">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9"/>
        <w:rPr>
          <w:rFonts w:hint="eastAsia" w:ascii="Times New Roman" w:hAnsi="Times New Roman" w:eastAsia="方正仿宋_GBK"/>
          <w:color w:val="auto"/>
          <w:kern w:val="2"/>
          <w:szCs w:val="32"/>
          <w:lang w:val="en-US" w:eastAsia="en-US"/>
        </w:rPr>
      </w:pPr>
      <w:r>
        <w:rPr>
          <w:rFonts w:hint="eastAsia" w:ascii="Times New Roman" w:hAnsi="Times New Roman" w:eastAsia="方正仿宋_GBK"/>
          <w:color w:val="auto"/>
          <w:kern w:val="2"/>
          <w:sz w:val="32"/>
          <w:szCs w:val="32"/>
          <w:lang w:val="en-US" w:eastAsia="en-US"/>
        </w:rPr>
        <w:t>天然鳞片石墨为自然形成的鳞片状石墨矿物，碳含量80%–99%，呈六方层状晶体结构，层间结合力弱，具备独特理化性能。按粒径分为大鳞片（＞180μm，用于高纯/柔性石墨）、中鳞片（150–180μm，用于中端制品）、小鳞片（＜150μm，用于球形石墨、润滑剂等）</w:t>
      </w:r>
      <w:r>
        <w:rPr>
          <w:rFonts w:hint="eastAsia"/>
          <w:color w:val="auto"/>
          <w:kern w:val="2"/>
          <w:sz w:val="32"/>
          <w:szCs w:val="32"/>
          <w:lang w:val="en-US" w:eastAsia="zh-CN"/>
        </w:rPr>
        <w:t>。</w:t>
      </w:r>
      <w:r>
        <w:rPr>
          <w:rFonts w:hint="eastAsia"/>
          <w:color w:val="auto"/>
          <w:lang w:val="en-US" w:eastAsia="en-US"/>
        </w:rPr>
        <w:t>石墨分天然与人造两类：天然石墨为天然矿物，分鳞片与隐晶质石墨，成本低、资源易获取；人造石墨以石油焦等经高温石墨化制成，结晶度高、批次稳、一致性好，但成本更高。二者均为主流锂电负极材料，性能与成本各有优势。</w:t>
      </w:r>
    </w:p>
    <w:p w14:paraId="08EDEA0F">
      <w:pPr>
        <w:pStyle w:val="5"/>
        <w:keepNext w:val="0"/>
        <w:keepLines w:val="0"/>
        <w:pageBreakBefore w:val="0"/>
        <w:widowControl w:val="0"/>
        <w:numPr>
          <w:ilvl w:val="0"/>
          <w:numId w:val="0"/>
        </w:numPr>
        <w:kinsoku/>
        <w:wordWrap w:val="0"/>
        <w:overflowPunct/>
        <w:topLinePunct w:val="0"/>
        <w:autoSpaceDE/>
        <w:autoSpaceDN/>
        <w:bidi w:val="0"/>
        <w:adjustRightInd/>
        <w:snapToGrid/>
        <w:spacing w:before="0" w:beforeAutospacing="0" w:after="0" w:afterAutospacing="0" w:line="560" w:lineRule="exact"/>
        <w:ind w:firstLine="640" w:firstLineChars="200"/>
        <w:jc w:val="left"/>
        <w:textAlignment w:val="auto"/>
        <w:outlineLvl w:val="1"/>
        <w:rPr>
          <w:rFonts w:hint="eastAsia" w:ascii="Times New Roman" w:hAnsi="Times New Roman" w:eastAsia="黑体" w:cs="黑体"/>
          <w:b w:val="0"/>
          <w:bCs w:val="0"/>
          <w:color w:val="auto"/>
          <w:kern w:val="0"/>
          <w:sz w:val="32"/>
          <w:szCs w:val="32"/>
          <w:lang w:val="en-US" w:eastAsia="zh-CN" w:bidi="ar"/>
        </w:rPr>
      </w:pPr>
      <w:r>
        <w:rPr>
          <w:rFonts w:hint="eastAsia" w:ascii="Times New Roman" w:hAnsi="Times New Roman" w:eastAsia="黑体" w:cs="黑体"/>
          <w:b w:val="0"/>
          <w:bCs w:val="0"/>
          <w:color w:val="auto"/>
          <w:kern w:val="0"/>
          <w:sz w:val="32"/>
          <w:szCs w:val="32"/>
          <w:lang w:val="en-US" w:eastAsia="zh-CN" w:bidi="ar"/>
        </w:rPr>
        <w:t>（二）天然鳞片石墨的深加工产品及主要技术指标</w:t>
      </w:r>
    </w:p>
    <w:p w14:paraId="642C88F7">
      <w:pPr>
        <w:bidi w:val="0"/>
        <w:rPr>
          <w:rFonts w:hint="eastAsia"/>
          <w:color w:val="auto"/>
          <w:lang w:val="en-US" w:eastAsia="en-US"/>
        </w:rPr>
      </w:pPr>
      <w:r>
        <w:rPr>
          <w:rFonts w:hint="eastAsia"/>
          <w:color w:val="auto"/>
          <w:lang w:val="en-US" w:eastAsia="en-US"/>
        </w:rPr>
        <w:t>球形石墨由天然鳞片石墨整形加工而成，主要用于锂电负极材料。高纯石墨（碳含量≥99.9%）多用于核工业、半导体、精密铸造等高端领域。膨胀石墨经化学与高温处理制得，防火密封性能突出；柔性石墨由其压制成型，可做垫片等密封件，耐温-200℃至3000℃，耐腐蚀、自润滑、环保，是石棉的理想替代材料。石墨烯为二维碳纳米材料，复合应用潜力大，目前仍处于产业化初期。</w:t>
      </w:r>
    </w:p>
    <w:p w14:paraId="597B575D">
      <w:pPr>
        <w:bidi w:val="0"/>
        <w:rPr>
          <w:rFonts w:hint="eastAsia"/>
          <w:color w:val="auto"/>
          <w:lang w:val="en-US" w:eastAsia="en-US"/>
        </w:rPr>
      </w:pPr>
      <w:r>
        <w:rPr>
          <w:rFonts w:hint="eastAsia"/>
          <w:color w:val="auto"/>
          <w:lang w:val="en-US" w:eastAsia="zh-CN"/>
        </w:rPr>
        <w:t>石墨的</w:t>
      </w:r>
      <w:r>
        <w:rPr>
          <w:rFonts w:hint="eastAsia"/>
          <w:color w:val="auto"/>
          <w:lang w:val="en-US" w:eastAsia="en-US"/>
        </w:rPr>
        <w:t>化学成分主要有固定碳（天然石墨80%-99%，核级≥99.5%）、灰分、挥发分、水分及硫含量。物理性能关注粒度分布、振实密度与抗折强度，分别决定应用领域、电池能量密度及加工性能。电化学指标包含首次放电容量、首效、循环寿命与倍率性能，是负极材料核心评价依据。</w:t>
      </w:r>
    </w:p>
    <w:p w14:paraId="0D073C2F">
      <w:pPr>
        <w:pStyle w:val="4"/>
        <w:widowControl w:val="0"/>
        <w:wordWrap w:val="0"/>
        <w:bidi w:val="0"/>
        <w:spacing w:before="0" w:beforeLines="0" w:after="0" w:afterLines="0" w:line="560" w:lineRule="exact"/>
        <w:ind w:firstLine="640" w:firstLineChars="200"/>
        <w:jc w:val="both"/>
        <w:rPr>
          <w:rFonts w:hint="eastAsia" w:ascii="Segoe UI" w:hAnsi="Segoe UI" w:eastAsia="Segoe UI" w:cs="Segoe UI"/>
          <w:color w:val="auto"/>
          <w:kern w:val="2"/>
          <w:sz w:val="32"/>
          <w:szCs w:val="32"/>
          <w:shd w:val="clear" w:fill="FFFFFF"/>
          <w:lang w:val="en-US" w:eastAsia="zh-CN"/>
        </w:rPr>
      </w:pPr>
      <w:r>
        <w:rPr>
          <w:rFonts w:hint="eastAsia" w:ascii="Segoe UI" w:hAnsi="Segoe UI" w:eastAsia="Segoe UI" w:cs="Segoe UI"/>
          <w:color w:val="auto"/>
          <w:kern w:val="2"/>
          <w:sz w:val="32"/>
          <w:szCs w:val="32"/>
          <w:shd w:val="clear" w:fill="FFFFFF"/>
          <w:lang w:val="en-US" w:eastAsia="zh-CN"/>
        </w:rPr>
        <w:t>三、天然鳞片石墨主要应用方向</w:t>
      </w:r>
    </w:p>
    <w:p w14:paraId="6B5E6FF0">
      <w:pPr>
        <w:pStyle w:val="5"/>
        <w:keepNext w:val="0"/>
        <w:keepLines w:val="0"/>
        <w:pageBreakBefore w:val="0"/>
        <w:widowControl w:val="0"/>
        <w:numPr>
          <w:ilvl w:val="0"/>
          <w:numId w:val="0"/>
        </w:numPr>
        <w:kinsoku/>
        <w:wordWrap w:val="0"/>
        <w:overflowPunct/>
        <w:topLinePunct w:val="0"/>
        <w:autoSpaceDE/>
        <w:autoSpaceDN/>
        <w:bidi w:val="0"/>
        <w:adjustRightInd/>
        <w:snapToGrid/>
        <w:spacing w:before="0" w:beforeAutospacing="0" w:after="0" w:afterAutospacing="0" w:line="560" w:lineRule="exact"/>
        <w:ind w:firstLine="640" w:firstLineChars="200"/>
        <w:jc w:val="left"/>
        <w:textAlignment w:val="auto"/>
        <w:outlineLvl w:val="1"/>
        <w:rPr>
          <w:rFonts w:hint="eastAsia" w:ascii="Times New Roman" w:hAnsi="Times New Roman" w:eastAsia="黑体" w:cs="黑体"/>
          <w:b w:val="0"/>
          <w:bCs w:val="0"/>
          <w:color w:val="auto"/>
          <w:kern w:val="0"/>
          <w:sz w:val="32"/>
          <w:szCs w:val="32"/>
          <w:lang w:val="en-US" w:eastAsia="zh-CN" w:bidi="ar"/>
        </w:rPr>
      </w:pPr>
      <w:r>
        <w:rPr>
          <w:rFonts w:hint="eastAsia" w:ascii="Times New Roman" w:hAnsi="Times New Roman" w:eastAsia="黑体" w:cs="黑体"/>
          <w:b w:val="0"/>
          <w:bCs w:val="0"/>
          <w:color w:val="auto"/>
          <w:kern w:val="0"/>
          <w:sz w:val="32"/>
          <w:szCs w:val="32"/>
          <w:lang w:val="en-US" w:eastAsia="zh-CN" w:bidi="ar"/>
        </w:rPr>
        <w:t>（一）新能源汽车与动力电池领域</w:t>
      </w:r>
    </w:p>
    <w:p w14:paraId="6112559C">
      <w:pPr>
        <w:bidi w:val="0"/>
        <w:rPr>
          <w:rFonts w:hint="eastAsia"/>
          <w:color w:val="auto"/>
          <w:lang w:val="en-US" w:eastAsia="en-US"/>
        </w:rPr>
      </w:pPr>
      <w:r>
        <w:rPr>
          <w:rFonts w:hint="eastAsia"/>
          <w:color w:val="auto"/>
          <w:lang w:val="en-US" w:eastAsia="en-US"/>
        </w:rPr>
        <w:t>锂离子电池负极材料是天然鳞片石墨最主要的应用领域，消耗全球天然石墨产量的约30%-40%。锂离子电池工作时，充电时锂离子从正极脱出嵌入石墨层间，放电时锂离子从负极脱出返回正极。天然鳞片石墨凭借独特的层状晶体结构，是目前技术最成熟、成本最低的锂离子电池负极材料。经过提纯（固定碳≥99.9%）、球形化、包覆处理等深加工后，天然石墨负极材料电化学性能已可与高端人造石墨媲美，而成本方面具有明显优势。</w:t>
      </w:r>
    </w:p>
    <w:p w14:paraId="3C964A74">
      <w:pPr>
        <w:pStyle w:val="5"/>
        <w:keepNext w:val="0"/>
        <w:keepLines w:val="0"/>
        <w:pageBreakBefore w:val="0"/>
        <w:widowControl w:val="0"/>
        <w:numPr>
          <w:ilvl w:val="0"/>
          <w:numId w:val="0"/>
        </w:numPr>
        <w:kinsoku/>
        <w:wordWrap w:val="0"/>
        <w:overflowPunct/>
        <w:topLinePunct w:val="0"/>
        <w:autoSpaceDE/>
        <w:autoSpaceDN/>
        <w:bidi w:val="0"/>
        <w:adjustRightInd/>
        <w:snapToGrid/>
        <w:spacing w:before="0" w:beforeAutospacing="0" w:after="0" w:afterAutospacing="0" w:line="560" w:lineRule="exact"/>
        <w:ind w:firstLine="640" w:firstLineChars="200"/>
        <w:jc w:val="left"/>
        <w:textAlignment w:val="auto"/>
        <w:outlineLvl w:val="1"/>
        <w:rPr>
          <w:rFonts w:hint="eastAsia" w:ascii="Times New Roman" w:hAnsi="Times New Roman" w:eastAsia="黑体" w:cs="黑体"/>
          <w:b w:val="0"/>
          <w:bCs w:val="0"/>
          <w:color w:val="auto"/>
          <w:kern w:val="0"/>
          <w:sz w:val="32"/>
          <w:szCs w:val="32"/>
          <w:lang w:val="en-US" w:eastAsia="zh-CN" w:bidi="ar"/>
        </w:rPr>
      </w:pPr>
      <w:r>
        <w:rPr>
          <w:rFonts w:hint="eastAsia" w:ascii="Times New Roman" w:hAnsi="Times New Roman" w:eastAsia="黑体" w:cs="黑体"/>
          <w:b w:val="0"/>
          <w:bCs w:val="0"/>
          <w:color w:val="auto"/>
          <w:kern w:val="0"/>
          <w:sz w:val="32"/>
          <w:szCs w:val="32"/>
          <w:lang w:val="en-US" w:eastAsia="zh-CN" w:bidi="ar"/>
        </w:rPr>
        <w:t>（二）消费电子与航空航天领域</w:t>
      </w:r>
    </w:p>
    <w:p w14:paraId="441D14D6">
      <w:pPr>
        <w:bidi w:val="0"/>
        <w:rPr>
          <w:rFonts w:hint="eastAsia"/>
          <w:color w:val="auto"/>
          <w:lang w:val="en-US" w:eastAsia="en-US"/>
        </w:rPr>
      </w:pPr>
      <w:r>
        <w:rPr>
          <w:rFonts w:hint="eastAsia"/>
          <w:color w:val="auto"/>
          <w:lang w:val="en-US" w:eastAsia="en-US"/>
        </w:rPr>
        <w:t>消费电子是天然鳞片石墨传统应用领域，智能手机、平板、笔记本电脑等锂电产品负极以石墨为主。2025年全球智能手机出货约12.5亿部，5G机型占比超85%，高功耗带动电池容量提升；可穿戴设备与AR/VR头显成为需求补充增长点。航空航天与国防军工是石墨重要应用领域</w:t>
      </w:r>
      <w:r>
        <w:rPr>
          <w:rFonts w:hint="eastAsia"/>
          <w:color w:val="auto"/>
          <w:lang w:val="en-US" w:eastAsia="zh-CN"/>
        </w:rPr>
        <w:t>.</w:t>
      </w:r>
      <w:r>
        <w:rPr>
          <w:rFonts w:hint="eastAsia"/>
          <w:color w:val="auto"/>
          <w:lang w:val="en-US" w:eastAsia="en-US"/>
        </w:rPr>
        <w:t>导弹用石墨制作鼻锥、发动机喉衬及热防护件，耐高温、抗热冲击、耐烧蚀；航天器用石墨复合材料（CFRP）高刚高强度，可减重30%-50%；核工业中石墨用作结构材料与减速剂，对纯度与性能要求极高。</w:t>
      </w:r>
    </w:p>
    <w:p w14:paraId="6E158173">
      <w:pPr>
        <w:pStyle w:val="5"/>
        <w:keepNext w:val="0"/>
        <w:keepLines w:val="0"/>
        <w:pageBreakBefore w:val="0"/>
        <w:widowControl w:val="0"/>
        <w:numPr>
          <w:ilvl w:val="0"/>
          <w:numId w:val="0"/>
        </w:numPr>
        <w:kinsoku/>
        <w:wordWrap w:val="0"/>
        <w:overflowPunct/>
        <w:topLinePunct w:val="0"/>
        <w:autoSpaceDE/>
        <w:autoSpaceDN/>
        <w:bidi w:val="0"/>
        <w:adjustRightInd/>
        <w:snapToGrid/>
        <w:spacing w:before="0" w:beforeAutospacing="0" w:after="0" w:afterAutospacing="0" w:line="560" w:lineRule="exact"/>
        <w:ind w:firstLine="640" w:firstLineChars="200"/>
        <w:jc w:val="left"/>
        <w:textAlignment w:val="auto"/>
        <w:outlineLvl w:val="1"/>
        <w:rPr>
          <w:rFonts w:hint="eastAsia" w:ascii="Times New Roman" w:hAnsi="Times New Roman" w:eastAsia="黑体" w:cs="黑体"/>
          <w:b w:val="0"/>
          <w:bCs w:val="0"/>
          <w:color w:val="auto"/>
          <w:kern w:val="0"/>
          <w:sz w:val="32"/>
          <w:szCs w:val="32"/>
          <w:lang w:val="en-US" w:eastAsia="zh-CN" w:bidi="ar"/>
        </w:rPr>
      </w:pPr>
      <w:r>
        <w:rPr>
          <w:rFonts w:hint="eastAsia" w:ascii="Times New Roman" w:hAnsi="Times New Roman" w:eastAsia="黑体" w:cs="黑体"/>
          <w:b w:val="0"/>
          <w:bCs w:val="0"/>
          <w:color w:val="auto"/>
          <w:kern w:val="0"/>
          <w:sz w:val="32"/>
          <w:szCs w:val="32"/>
          <w:lang w:val="en-US" w:eastAsia="zh-CN" w:bidi="ar"/>
        </w:rPr>
        <w:t>（三）润滑密封与冶金耐火领域</w:t>
      </w:r>
    </w:p>
    <w:p w14:paraId="4E5D3D5D">
      <w:pPr>
        <w:bidi w:val="0"/>
        <w:rPr>
          <w:rFonts w:hint="eastAsia"/>
          <w:color w:val="auto"/>
          <w:lang w:val="en-US" w:eastAsia="en-US"/>
        </w:rPr>
      </w:pPr>
      <w:r>
        <w:rPr>
          <w:rFonts w:hint="eastAsia"/>
          <w:color w:val="auto"/>
          <w:lang w:val="en-US" w:eastAsia="en-US"/>
        </w:rPr>
        <w:t>石墨是经典固体润滑剂，层状结构使其可在高温、高压、真空等极端环境下稳定润滑，广泛用于冶金、航空、化工等领域。柔性石墨耐温范围广、耐腐蚀、摩擦系数低、环保耐用，是石棉理想替代材料，大量用于石化、食品、电力等行业密封。石墨熔点高、高温强度优异，是高端耐火材料核心原料，多用于镁碳砖、石墨坩埚、连铸保护渣等，服务钢铁冶金与有色金属冶炼。铸造及粉末冶金中，石墨常用作涂层、球化剂与渗碳剂，提升工艺与产品性能。</w:t>
      </w:r>
    </w:p>
    <w:p w14:paraId="6944277A">
      <w:pPr>
        <w:pStyle w:val="4"/>
        <w:widowControl w:val="0"/>
        <w:wordWrap w:val="0"/>
        <w:bidi w:val="0"/>
        <w:spacing w:before="0" w:beforeLines="0" w:after="0" w:afterLines="0" w:line="560" w:lineRule="exact"/>
        <w:ind w:firstLine="640" w:firstLineChars="200"/>
        <w:jc w:val="both"/>
        <w:rPr>
          <w:rFonts w:hint="eastAsia" w:ascii="Segoe UI" w:hAnsi="Segoe UI" w:eastAsia="Segoe UI" w:cs="Segoe UI"/>
          <w:color w:val="auto"/>
          <w:kern w:val="2"/>
          <w:sz w:val="32"/>
          <w:szCs w:val="32"/>
          <w:shd w:val="clear" w:fill="FFFFFF"/>
          <w:lang w:val="en-US" w:eastAsia="zh-CN"/>
        </w:rPr>
      </w:pPr>
      <w:r>
        <w:rPr>
          <w:rFonts w:hint="eastAsia" w:ascii="Segoe UI" w:hAnsi="Segoe UI" w:eastAsia="Segoe UI" w:cs="Segoe UI"/>
          <w:color w:val="auto"/>
          <w:kern w:val="2"/>
          <w:sz w:val="32"/>
          <w:szCs w:val="32"/>
          <w:shd w:val="clear" w:fill="FFFFFF"/>
          <w:lang w:val="en-US" w:eastAsia="zh-CN"/>
        </w:rPr>
        <w:t>四、全球各国（地区）产能情况</w:t>
      </w:r>
    </w:p>
    <w:p w14:paraId="5ECFFF0A">
      <w:pPr>
        <w:pStyle w:val="5"/>
        <w:keepNext w:val="0"/>
        <w:keepLines w:val="0"/>
        <w:pageBreakBefore w:val="0"/>
        <w:widowControl w:val="0"/>
        <w:numPr>
          <w:ilvl w:val="0"/>
          <w:numId w:val="0"/>
        </w:numPr>
        <w:kinsoku/>
        <w:wordWrap w:val="0"/>
        <w:overflowPunct/>
        <w:topLinePunct w:val="0"/>
        <w:autoSpaceDE/>
        <w:autoSpaceDN/>
        <w:bidi w:val="0"/>
        <w:adjustRightInd/>
        <w:snapToGrid/>
        <w:spacing w:before="0" w:beforeAutospacing="0" w:after="0" w:afterAutospacing="0" w:line="560" w:lineRule="exact"/>
        <w:ind w:firstLine="640" w:firstLineChars="200"/>
        <w:jc w:val="left"/>
        <w:textAlignment w:val="auto"/>
        <w:outlineLvl w:val="1"/>
        <w:rPr>
          <w:rFonts w:hint="eastAsia" w:ascii="Times New Roman" w:hAnsi="Times New Roman" w:eastAsia="黑体" w:cs="黑体"/>
          <w:b w:val="0"/>
          <w:bCs w:val="0"/>
          <w:color w:val="auto"/>
          <w:kern w:val="0"/>
          <w:sz w:val="32"/>
          <w:szCs w:val="32"/>
          <w:lang w:val="en-US" w:eastAsia="zh-CN" w:bidi="ar"/>
        </w:rPr>
      </w:pPr>
      <w:r>
        <w:rPr>
          <w:rFonts w:hint="eastAsia" w:ascii="Times New Roman" w:hAnsi="Times New Roman" w:eastAsia="黑体" w:cs="黑体"/>
          <w:b w:val="0"/>
          <w:bCs w:val="0"/>
          <w:color w:val="auto"/>
          <w:kern w:val="0"/>
          <w:sz w:val="32"/>
          <w:szCs w:val="32"/>
          <w:lang w:val="en-US" w:eastAsia="zh-CN" w:bidi="ar"/>
        </w:rPr>
        <w:t>（一）全球石墨资源储量分布</w:t>
      </w:r>
    </w:p>
    <w:p w14:paraId="181F16C5">
      <w:pPr>
        <w:bidi w:val="0"/>
        <w:rPr>
          <w:rFonts w:hint="eastAsia"/>
          <w:color w:val="auto"/>
          <w:lang w:val="en-US" w:eastAsia="en-US"/>
        </w:rPr>
      </w:pPr>
      <w:r>
        <w:rPr>
          <w:rFonts w:hint="eastAsia"/>
          <w:color w:val="auto"/>
          <w:lang w:val="en-US" w:eastAsia="en-US"/>
        </w:rPr>
        <w:t>根据USGS《矿产品摘要2026》数据，全球已探明石墨储量约3.1亿吨。储量高度集中于少数国家：中国约1亿吨，占32%，位列第一；巴西约7400万吨，占24%；莫桑比克约2500万吨；马达加斯加约2700万吨；坦桑尼亚约1800万吨；俄罗斯约1400万吨；印度约860万吨。全球石墨矿床主要形成于前寒武纪至古生代早期的古老变质岩系中，亚洲东部（尤其是中国东北部、朝鲜、越南、印度）和非洲东部是全球最重要的石墨成矿区带。</w:t>
      </w:r>
    </w:p>
    <w:p w14:paraId="59DF5BD8">
      <w:pPr>
        <w:pStyle w:val="5"/>
        <w:keepNext w:val="0"/>
        <w:keepLines w:val="0"/>
        <w:pageBreakBefore w:val="0"/>
        <w:widowControl w:val="0"/>
        <w:numPr>
          <w:ilvl w:val="0"/>
          <w:numId w:val="0"/>
        </w:numPr>
        <w:kinsoku/>
        <w:wordWrap w:val="0"/>
        <w:overflowPunct/>
        <w:topLinePunct w:val="0"/>
        <w:autoSpaceDE/>
        <w:autoSpaceDN/>
        <w:bidi w:val="0"/>
        <w:adjustRightInd/>
        <w:snapToGrid/>
        <w:spacing w:before="0" w:beforeAutospacing="0" w:after="0" w:afterAutospacing="0" w:line="560" w:lineRule="exact"/>
        <w:ind w:firstLine="640" w:firstLineChars="200"/>
        <w:jc w:val="left"/>
        <w:textAlignment w:val="auto"/>
        <w:outlineLvl w:val="1"/>
        <w:rPr>
          <w:rFonts w:hint="eastAsia" w:ascii="Times New Roman" w:hAnsi="Times New Roman" w:eastAsia="黑体" w:cs="黑体"/>
          <w:b w:val="0"/>
          <w:bCs w:val="0"/>
          <w:color w:val="auto"/>
          <w:kern w:val="0"/>
          <w:sz w:val="32"/>
          <w:szCs w:val="32"/>
          <w:lang w:val="en-US" w:eastAsia="zh-CN" w:bidi="ar"/>
        </w:rPr>
      </w:pPr>
      <w:r>
        <w:rPr>
          <w:rFonts w:hint="eastAsia" w:ascii="Times New Roman" w:hAnsi="Times New Roman" w:eastAsia="黑体" w:cs="黑体"/>
          <w:b w:val="0"/>
          <w:bCs w:val="0"/>
          <w:color w:val="auto"/>
          <w:kern w:val="0"/>
          <w:sz w:val="32"/>
          <w:szCs w:val="32"/>
          <w:lang w:val="en-US" w:eastAsia="zh-CN" w:bidi="ar"/>
        </w:rPr>
        <w:t>（二）主要生产国家产能</w:t>
      </w:r>
    </w:p>
    <w:p w14:paraId="4F3F23A8">
      <w:pPr>
        <w:bidi w:val="0"/>
        <w:rPr>
          <w:rFonts w:hint="eastAsia"/>
          <w:color w:val="auto"/>
          <w:lang w:val="en-US" w:eastAsia="en-US"/>
        </w:rPr>
      </w:pPr>
      <w:r>
        <w:rPr>
          <w:rFonts w:hint="eastAsia"/>
          <w:color w:val="auto"/>
          <w:lang w:val="en-US" w:eastAsia="en-US"/>
        </w:rPr>
        <w:t>中国是全球最大的天然石墨生产国，2025年天然石墨产量约140万吨，约占全球总产量的78%。矿床主要分布于黑龙江、山东、内蒙古、河南、四川、山西等省份。黑龙江省萝北县是中国最重要的鳞片石墨生产基地，被誉为</w:t>
      </w:r>
      <w:r>
        <w:rPr>
          <w:rFonts w:hint="eastAsia"/>
          <w:color w:val="auto"/>
          <w:lang w:val="en-US" w:eastAsia="zh-CN"/>
        </w:rPr>
        <w:t>“</w:t>
      </w:r>
      <w:r>
        <w:rPr>
          <w:rFonts w:hint="eastAsia"/>
          <w:color w:val="auto"/>
          <w:lang w:val="en-US" w:eastAsia="en-US"/>
        </w:rPr>
        <w:t>中国石墨之城</w:t>
      </w:r>
      <w:r>
        <w:rPr>
          <w:rFonts w:hint="eastAsia"/>
          <w:color w:val="auto"/>
          <w:lang w:val="en-US" w:eastAsia="zh-CN"/>
        </w:rPr>
        <w:t>”</w:t>
      </w:r>
      <w:r>
        <w:rPr>
          <w:rFonts w:hint="eastAsia"/>
          <w:color w:val="auto"/>
          <w:lang w:val="en-US" w:eastAsia="en-US"/>
        </w:rPr>
        <w:t>。中国石墨产业已形成完整产业链，从早期以出口鳞片石墨精矿为主，逐渐向球形石墨、高纯石墨、负极材料等高附加值产品转型。</w:t>
      </w:r>
    </w:p>
    <w:p w14:paraId="3861A391">
      <w:pPr>
        <w:bidi w:val="0"/>
        <w:rPr>
          <w:rFonts w:hint="eastAsia"/>
          <w:color w:val="auto"/>
          <w:lang w:val="en-US" w:eastAsia="en-US"/>
        </w:rPr>
      </w:pPr>
      <w:r>
        <w:rPr>
          <w:rFonts w:hint="eastAsia"/>
          <w:color w:val="auto"/>
          <w:lang w:val="en-US" w:eastAsia="en-US"/>
        </w:rPr>
        <w:t>巴西是全球第二大天然石墨生产国，以生产大鳞片石墨为主，品位较高、杂质含量低、鳞片结晶度好，主要分布于米纳斯吉拉斯州和巴伊亚州。莫桑比克近年来快速崛起为全球主要石墨生产国，Balama石墨矿设计年产能35万吨，2024年产量约3.5万吨。马达加斯加石墨矿以品位高、杂质少著称，主要矿区位于东部沿海地区。</w:t>
      </w:r>
    </w:p>
    <w:p w14:paraId="794AD696">
      <w:pPr>
        <w:pStyle w:val="5"/>
        <w:keepNext w:val="0"/>
        <w:keepLines w:val="0"/>
        <w:pageBreakBefore w:val="0"/>
        <w:widowControl w:val="0"/>
        <w:numPr>
          <w:ilvl w:val="0"/>
          <w:numId w:val="0"/>
        </w:numPr>
        <w:kinsoku/>
        <w:wordWrap w:val="0"/>
        <w:overflowPunct/>
        <w:topLinePunct w:val="0"/>
        <w:autoSpaceDE/>
        <w:autoSpaceDN/>
        <w:bidi w:val="0"/>
        <w:adjustRightInd/>
        <w:snapToGrid/>
        <w:spacing w:before="0" w:beforeAutospacing="0" w:after="0" w:afterAutospacing="0" w:line="560" w:lineRule="exact"/>
        <w:ind w:firstLine="640" w:firstLineChars="200"/>
        <w:jc w:val="left"/>
        <w:textAlignment w:val="auto"/>
        <w:outlineLvl w:val="1"/>
        <w:rPr>
          <w:rFonts w:hint="eastAsia" w:ascii="Times New Roman" w:hAnsi="Times New Roman" w:eastAsia="黑体" w:cs="黑体"/>
          <w:b w:val="0"/>
          <w:bCs w:val="0"/>
          <w:color w:val="auto"/>
          <w:kern w:val="0"/>
          <w:sz w:val="32"/>
          <w:szCs w:val="32"/>
          <w:lang w:val="en-US" w:eastAsia="zh-CN" w:bidi="ar"/>
        </w:rPr>
      </w:pPr>
      <w:r>
        <w:rPr>
          <w:rFonts w:hint="eastAsia" w:ascii="Times New Roman" w:hAnsi="Times New Roman" w:eastAsia="黑体" w:cs="黑体"/>
          <w:b w:val="0"/>
          <w:bCs w:val="0"/>
          <w:color w:val="auto"/>
          <w:kern w:val="0"/>
          <w:sz w:val="32"/>
          <w:szCs w:val="32"/>
          <w:lang w:val="en-US" w:eastAsia="zh-CN" w:bidi="ar"/>
        </w:rPr>
        <w:t>（三）全球石墨供需格局</w:t>
      </w:r>
    </w:p>
    <w:p w14:paraId="780BD677">
      <w:pPr>
        <w:bidi w:val="0"/>
        <w:rPr>
          <w:color w:val="auto"/>
        </w:rPr>
      </w:pPr>
      <w:r>
        <w:rPr>
          <w:rFonts w:hint="eastAsia"/>
          <w:color w:val="auto"/>
          <w:lang w:val="en-US" w:eastAsia="en-US"/>
        </w:rPr>
        <w:t>从全球视角看，天然石墨目前处于供需基本平衡但结构分化的状态。2025年全球天然石墨产量约180万吨，预计消费量约180万吨，供需关系相对宽松。但高端大鳞片石墨（纯度99%以上）供应偏紧，而低品位细鳞片石墨存在产能过剩。从区域分布看，石墨供应高度集中于亚洲和非洲东部地区，而消费市场分布相对分散。中长期价格走势以上行为主，短期受供需关系、库存水平、市场预期、汇率变动等因素影响呈周期性波动。</w:t>
      </w:r>
    </w:p>
    <w:p w14:paraId="32341BC8">
      <w:pPr>
        <w:pStyle w:val="4"/>
        <w:widowControl w:val="0"/>
        <w:wordWrap w:val="0"/>
        <w:bidi w:val="0"/>
        <w:spacing w:before="0" w:beforeLines="0" w:after="0" w:afterLines="0" w:line="560" w:lineRule="exact"/>
        <w:ind w:firstLine="640" w:firstLineChars="200"/>
        <w:jc w:val="both"/>
        <w:rPr>
          <w:rFonts w:hint="eastAsia" w:ascii="Segoe UI" w:hAnsi="Segoe UI" w:eastAsia="Segoe UI" w:cs="Segoe UI"/>
          <w:color w:val="auto"/>
          <w:kern w:val="2"/>
          <w:sz w:val="32"/>
          <w:szCs w:val="32"/>
          <w:shd w:val="clear" w:fill="FFFFFF"/>
          <w:lang w:val="en-US" w:eastAsia="zh-CN"/>
        </w:rPr>
      </w:pPr>
      <w:r>
        <w:rPr>
          <w:rFonts w:hint="eastAsia" w:ascii="Segoe UI" w:hAnsi="Segoe UI" w:eastAsia="Segoe UI" w:cs="Segoe UI"/>
          <w:color w:val="auto"/>
          <w:kern w:val="2"/>
          <w:sz w:val="32"/>
          <w:szCs w:val="32"/>
          <w:shd w:val="clear" w:fill="FFFFFF"/>
          <w:lang w:val="en-US" w:eastAsia="zh-CN"/>
        </w:rPr>
        <w:t>五、国内外主要生产企业及进出口情况</w:t>
      </w:r>
    </w:p>
    <w:p w14:paraId="0556A0BA">
      <w:pPr>
        <w:pStyle w:val="5"/>
        <w:keepNext w:val="0"/>
        <w:keepLines w:val="0"/>
        <w:pageBreakBefore w:val="0"/>
        <w:widowControl w:val="0"/>
        <w:numPr>
          <w:ilvl w:val="0"/>
          <w:numId w:val="0"/>
        </w:numPr>
        <w:kinsoku/>
        <w:wordWrap w:val="0"/>
        <w:overflowPunct/>
        <w:topLinePunct w:val="0"/>
        <w:autoSpaceDE/>
        <w:autoSpaceDN/>
        <w:bidi w:val="0"/>
        <w:adjustRightInd/>
        <w:snapToGrid/>
        <w:spacing w:before="0" w:beforeAutospacing="0" w:after="0" w:afterAutospacing="0" w:line="560" w:lineRule="exact"/>
        <w:ind w:firstLine="640" w:firstLineChars="200"/>
        <w:jc w:val="left"/>
        <w:textAlignment w:val="auto"/>
        <w:outlineLvl w:val="1"/>
        <w:rPr>
          <w:rFonts w:hint="eastAsia" w:ascii="Times New Roman" w:hAnsi="Times New Roman" w:eastAsia="黑体" w:cs="黑体"/>
          <w:b w:val="0"/>
          <w:bCs w:val="0"/>
          <w:color w:val="auto"/>
          <w:kern w:val="0"/>
          <w:sz w:val="32"/>
          <w:szCs w:val="32"/>
          <w:lang w:val="en-US" w:eastAsia="zh-CN" w:bidi="ar"/>
        </w:rPr>
      </w:pPr>
      <w:r>
        <w:rPr>
          <w:rFonts w:hint="eastAsia" w:ascii="Times New Roman" w:hAnsi="Times New Roman" w:eastAsia="黑体" w:cs="黑体"/>
          <w:b w:val="0"/>
          <w:bCs w:val="0"/>
          <w:color w:val="auto"/>
          <w:kern w:val="0"/>
          <w:sz w:val="32"/>
          <w:szCs w:val="32"/>
          <w:lang w:val="en-US" w:eastAsia="zh-CN" w:bidi="ar"/>
        </w:rPr>
        <w:t>（一）中国主要石墨生产企业</w:t>
      </w:r>
    </w:p>
    <w:p w14:paraId="4487105A">
      <w:pPr>
        <w:bidi w:val="0"/>
        <w:rPr>
          <w:rFonts w:hint="eastAsia"/>
          <w:color w:val="auto"/>
          <w:lang w:val="en-US" w:eastAsia="en-US"/>
        </w:rPr>
      </w:pPr>
      <w:r>
        <w:rPr>
          <w:rFonts w:hint="eastAsia"/>
          <w:color w:val="auto"/>
          <w:lang w:val="en-US" w:eastAsia="en-US"/>
        </w:rPr>
        <w:t>贝特瑞新材料集团股份有限公司是全球最大的锂离子电池负极材料生产企业，2025年负极材料销量约60万吨，同比增长约37%，连续16年位居全球第一。已投产负极材料产能78.25万吨/年。公司客户覆盖松下、三星SDI、LG新能源、宁德时代、比亚迪等全球主流锂电池生产企业。</w:t>
      </w:r>
    </w:p>
    <w:p w14:paraId="78B40A0E">
      <w:pPr>
        <w:bidi w:val="0"/>
        <w:rPr>
          <w:rFonts w:hint="eastAsia"/>
          <w:color w:val="auto"/>
          <w:lang w:val="en-US" w:eastAsia="en-US"/>
        </w:rPr>
      </w:pPr>
      <w:r>
        <w:rPr>
          <w:rFonts w:hint="eastAsia"/>
          <w:color w:val="auto"/>
          <w:lang w:val="en-US" w:eastAsia="en-US"/>
        </w:rPr>
        <w:t>上海璞泰来新能源科技股份有限公司是全球领先的新能源电池材料提供商，主营负极材料、涂覆隔膜、锂电设备三大板块。璞泰来坚持高端化、差异化产品定位，负极材料以优异循环性能、倍率性能和加工性能著称。负极材料全年出货量14.30万吨，营业收入约35亿元。涂覆加工量109.42亿㎡，同比增长56.3%，约占全球涂覆隔膜市场35.3%份额。</w:t>
      </w:r>
    </w:p>
    <w:p w14:paraId="1C44C335">
      <w:pPr>
        <w:bidi w:val="0"/>
        <w:rPr>
          <w:rFonts w:hint="eastAsia"/>
          <w:color w:val="auto"/>
          <w:lang w:val="en-US" w:eastAsia="en-US"/>
        </w:rPr>
      </w:pPr>
      <w:r>
        <w:rPr>
          <w:rFonts w:hint="eastAsia"/>
          <w:color w:val="auto"/>
          <w:lang w:val="en-US" w:eastAsia="en-US"/>
        </w:rPr>
        <w:t>宁波杉杉股份有限公司是中国最早的锂电池材料企业之一，负极材料是核心业务板块。2025年人造石墨负极出货量全球第一，市占率达21%。2025年上半年负极材料营收43.26亿元，出货量约27万吨。</w:t>
      </w:r>
    </w:p>
    <w:p w14:paraId="48DC68CC">
      <w:pPr>
        <w:bidi w:val="0"/>
        <w:rPr>
          <w:rFonts w:hint="eastAsia"/>
          <w:color w:val="auto"/>
          <w:lang w:val="en-US" w:eastAsia="en-US"/>
        </w:rPr>
      </w:pPr>
      <w:r>
        <w:rPr>
          <w:rFonts w:hint="eastAsia"/>
          <w:color w:val="auto"/>
          <w:lang w:val="en-US" w:eastAsia="en-US"/>
        </w:rPr>
        <w:t>深圳市翔丰华科技股份有限公司是专业从事锂离子电池负极材料研发、生产和销售的国家高新技术企业，在天然石墨负极材料领域具有较强技术实力，产品以高容量、高压实、高循环寿命著称。主要客户包括比亚迪、LG新能源、三星SDI、亿纬锂能等，在广东深圳、福建永安、四川遂宁建立了现代化生产基地。</w:t>
      </w:r>
    </w:p>
    <w:p w14:paraId="07809723">
      <w:pPr>
        <w:pStyle w:val="5"/>
        <w:keepNext w:val="0"/>
        <w:keepLines w:val="0"/>
        <w:pageBreakBefore w:val="0"/>
        <w:widowControl w:val="0"/>
        <w:numPr>
          <w:ilvl w:val="0"/>
          <w:numId w:val="0"/>
        </w:numPr>
        <w:kinsoku/>
        <w:wordWrap w:val="0"/>
        <w:overflowPunct/>
        <w:topLinePunct w:val="0"/>
        <w:autoSpaceDE/>
        <w:autoSpaceDN/>
        <w:bidi w:val="0"/>
        <w:adjustRightInd/>
        <w:snapToGrid/>
        <w:spacing w:before="0" w:beforeAutospacing="0" w:after="0" w:afterAutospacing="0" w:line="560" w:lineRule="exact"/>
        <w:ind w:firstLine="640" w:firstLineChars="200"/>
        <w:jc w:val="left"/>
        <w:textAlignment w:val="auto"/>
        <w:outlineLvl w:val="1"/>
        <w:rPr>
          <w:rFonts w:hint="eastAsia" w:ascii="Times New Roman" w:hAnsi="Times New Roman" w:eastAsia="黑体" w:cs="黑体"/>
          <w:b w:val="0"/>
          <w:bCs w:val="0"/>
          <w:color w:val="auto"/>
          <w:kern w:val="0"/>
          <w:sz w:val="32"/>
          <w:szCs w:val="32"/>
          <w:lang w:val="en-US" w:eastAsia="zh-CN" w:bidi="ar"/>
        </w:rPr>
      </w:pPr>
      <w:r>
        <w:rPr>
          <w:rFonts w:hint="eastAsia" w:ascii="Times New Roman" w:hAnsi="Times New Roman" w:eastAsia="黑体" w:cs="黑体"/>
          <w:b w:val="0"/>
          <w:bCs w:val="0"/>
          <w:color w:val="auto"/>
          <w:kern w:val="0"/>
          <w:sz w:val="32"/>
          <w:szCs w:val="32"/>
          <w:lang w:val="en-US" w:eastAsia="zh-CN" w:bidi="ar"/>
        </w:rPr>
        <w:t>（二）国外主要石墨生产企业</w:t>
      </w:r>
    </w:p>
    <w:p w14:paraId="6D0A3BD4">
      <w:pPr>
        <w:bidi w:val="0"/>
        <w:rPr>
          <w:rFonts w:hint="eastAsia"/>
          <w:color w:val="auto"/>
          <w:lang w:val="en-US" w:eastAsia="en-US"/>
        </w:rPr>
      </w:pPr>
      <w:r>
        <w:rPr>
          <w:rFonts w:hint="eastAsia"/>
          <w:color w:val="auto"/>
          <w:lang w:val="en-US" w:eastAsia="en-US"/>
        </w:rPr>
        <w:t>澳大利亚Syrah Resources运营的Balama石墨矿是全球最大的在产石墨矿之一，设计年产能35万吨，2024年实际产量约3.5万吨，正在向垂直整合转型，在美国路易斯安那州建设球形石墨加工设施。美国Graphite One正在推进阿拉斯加先进石墨项目，涵盖从石墨矿开采到负极材料生产的完整产业链，计划年产石墨精矿约17.5万吨。加拿大Northern Graphite开发魁北克省Lac des Iles石墨矿，年产石墨精矿约1.5万吨，目标是打造北美首屈一指的综合性石墨材料供应商。韩国大鲜集团是韩国主要的石墨贸易和加工企业。日本三菱材料株式会社从事石墨电极、特种石墨制品生产销售，在高端市场具有竞争优势。</w:t>
      </w:r>
    </w:p>
    <w:p w14:paraId="23CBD0E6">
      <w:pPr>
        <w:pStyle w:val="5"/>
        <w:keepNext w:val="0"/>
        <w:keepLines w:val="0"/>
        <w:pageBreakBefore w:val="0"/>
        <w:widowControl w:val="0"/>
        <w:numPr>
          <w:ilvl w:val="0"/>
          <w:numId w:val="0"/>
        </w:numPr>
        <w:kinsoku/>
        <w:wordWrap w:val="0"/>
        <w:overflowPunct/>
        <w:topLinePunct w:val="0"/>
        <w:autoSpaceDE/>
        <w:autoSpaceDN/>
        <w:bidi w:val="0"/>
        <w:adjustRightInd/>
        <w:snapToGrid/>
        <w:spacing w:before="0" w:beforeAutospacing="0" w:after="0" w:afterAutospacing="0" w:line="560" w:lineRule="exact"/>
        <w:ind w:firstLine="640" w:firstLineChars="200"/>
        <w:jc w:val="left"/>
        <w:textAlignment w:val="auto"/>
        <w:outlineLvl w:val="1"/>
        <w:rPr>
          <w:rFonts w:hint="eastAsia" w:ascii="Times New Roman" w:hAnsi="Times New Roman" w:eastAsia="黑体" w:cs="黑体"/>
          <w:b w:val="0"/>
          <w:bCs w:val="0"/>
          <w:color w:val="auto"/>
          <w:kern w:val="0"/>
          <w:sz w:val="32"/>
          <w:szCs w:val="32"/>
          <w:lang w:val="en-US" w:eastAsia="zh-CN" w:bidi="ar"/>
        </w:rPr>
      </w:pPr>
      <w:r>
        <w:rPr>
          <w:rFonts w:hint="eastAsia" w:ascii="Times New Roman" w:hAnsi="Times New Roman" w:eastAsia="黑体" w:cs="黑体"/>
          <w:b w:val="0"/>
          <w:bCs w:val="0"/>
          <w:color w:val="auto"/>
          <w:kern w:val="0"/>
          <w:sz w:val="32"/>
          <w:szCs w:val="32"/>
          <w:lang w:val="en-US" w:eastAsia="zh-CN" w:bidi="ar"/>
        </w:rPr>
        <w:t>（三）中国石墨进出口贸易分析</w:t>
      </w:r>
    </w:p>
    <w:p w14:paraId="27A2A385">
      <w:pPr>
        <w:bidi w:val="0"/>
        <w:rPr>
          <w:rFonts w:hint="eastAsia"/>
          <w:color w:val="auto"/>
          <w:lang w:val="en-US" w:eastAsia="en-US"/>
        </w:rPr>
      </w:pPr>
      <w:r>
        <w:rPr>
          <w:rFonts w:hint="eastAsia"/>
          <w:color w:val="auto"/>
          <w:lang w:val="en-US" w:eastAsia="en-US"/>
        </w:rPr>
        <w:t>2024年中国天然石墨出口量19.04万吨，同比下降14.18%。产品结构：鳞片天然石墨出口6.40万吨，同比下降28.33%；球化天然石墨出口4.20万吨，同比下降24.68%。2025年1-9月出口总量约15.24万吨，同比增长10.45%。出口目的地：2024年日本8.35万吨（43.8%）、韩国3.29万吨（17.3%）、美国1.61万吨（8.5%）；2025年1-9月日本4.77万吨（31.3%）、印度尼西亚3.73万吨（24.5%）、韩国2.59万吨（17.0%）。印度尼西亚出口量大幅增长主要反映了中国企业在当地布局球形石墨加工产能的趋势。主要发货省份：广东7.35万吨、山东6.44万吨、湖南2.98万吨。进口方面，2024年进口约5万吨，主要来自坦桑尼亚、马达加斯加、莫桑比克等非洲国家以及巴西，以高品位大鳞片石墨为主，用于核工业、半导体等高端领域。</w:t>
      </w:r>
    </w:p>
    <w:p w14:paraId="71DB4766">
      <w:pPr>
        <w:pStyle w:val="4"/>
        <w:widowControl w:val="0"/>
        <w:wordWrap w:val="0"/>
        <w:bidi w:val="0"/>
        <w:spacing w:before="0" w:beforeLines="0" w:after="0" w:afterLines="0" w:line="560" w:lineRule="exact"/>
        <w:ind w:firstLine="640" w:firstLineChars="200"/>
        <w:jc w:val="both"/>
        <w:rPr>
          <w:rFonts w:hint="eastAsia" w:ascii="Segoe UI" w:hAnsi="Segoe UI" w:eastAsia="Segoe UI" w:cs="Segoe UI"/>
          <w:color w:val="auto"/>
          <w:kern w:val="2"/>
          <w:sz w:val="32"/>
          <w:szCs w:val="32"/>
          <w:shd w:val="clear" w:fill="FFFFFF"/>
          <w:lang w:val="en-US" w:eastAsia="zh-CN"/>
        </w:rPr>
      </w:pPr>
      <w:r>
        <w:rPr>
          <w:rFonts w:hint="eastAsia" w:ascii="Segoe UI" w:hAnsi="Segoe UI" w:eastAsia="Segoe UI" w:cs="Segoe UI"/>
          <w:color w:val="auto"/>
          <w:kern w:val="2"/>
          <w:sz w:val="32"/>
          <w:szCs w:val="32"/>
          <w:shd w:val="clear" w:fill="FFFFFF"/>
          <w:lang w:val="en-US" w:eastAsia="zh-CN"/>
        </w:rPr>
        <w:t>六、查获典型案例及主要走私手法</w:t>
      </w:r>
    </w:p>
    <w:p w14:paraId="10547562">
      <w:pPr>
        <w:pStyle w:val="5"/>
        <w:keepNext w:val="0"/>
        <w:keepLines w:val="0"/>
        <w:pageBreakBefore w:val="0"/>
        <w:widowControl w:val="0"/>
        <w:numPr>
          <w:ilvl w:val="0"/>
          <w:numId w:val="0"/>
        </w:numPr>
        <w:kinsoku/>
        <w:wordWrap w:val="0"/>
        <w:overflowPunct/>
        <w:topLinePunct w:val="0"/>
        <w:autoSpaceDE/>
        <w:autoSpaceDN/>
        <w:bidi w:val="0"/>
        <w:adjustRightInd/>
        <w:snapToGrid/>
        <w:spacing w:before="0" w:beforeAutospacing="0" w:after="0" w:afterAutospacing="0" w:line="560" w:lineRule="exact"/>
        <w:ind w:firstLine="640" w:firstLineChars="200"/>
        <w:jc w:val="left"/>
        <w:textAlignment w:val="auto"/>
        <w:outlineLvl w:val="1"/>
        <w:rPr>
          <w:rFonts w:hint="eastAsia" w:ascii="Times New Roman" w:hAnsi="Times New Roman" w:eastAsia="黑体" w:cs="黑体"/>
          <w:b w:val="0"/>
          <w:bCs w:val="0"/>
          <w:color w:val="auto"/>
          <w:kern w:val="0"/>
          <w:sz w:val="32"/>
          <w:szCs w:val="32"/>
          <w:lang w:val="en-US" w:eastAsia="zh-CN" w:bidi="ar"/>
        </w:rPr>
      </w:pPr>
      <w:r>
        <w:rPr>
          <w:rFonts w:hint="eastAsia" w:ascii="Times New Roman" w:hAnsi="Times New Roman" w:eastAsia="黑体" w:cs="黑体"/>
          <w:b w:val="0"/>
          <w:bCs w:val="0"/>
          <w:color w:val="auto"/>
          <w:kern w:val="0"/>
          <w:sz w:val="32"/>
          <w:szCs w:val="32"/>
          <w:lang w:val="en-US" w:eastAsia="zh-CN" w:bidi="ar"/>
        </w:rPr>
        <w:t>（一）石墨走私概述</w:t>
      </w:r>
    </w:p>
    <w:p w14:paraId="1F10596A">
      <w:pPr>
        <w:bidi w:val="0"/>
        <w:rPr>
          <w:rFonts w:hint="eastAsia"/>
          <w:color w:val="auto"/>
          <w:lang w:val="en-US" w:eastAsia="en-US"/>
        </w:rPr>
      </w:pPr>
      <w:r>
        <w:rPr>
          <w:rFonts w:hint="eastAsia"/>
          <w:color w:val="auto"/>
          <w:lang w:val="en-US" w:eastAsia="en-US"/>
        </w:rPr>
        <w:t>石墨走私成因主要包括：逃避出口管制、偷逃关税、规避贸易限制。从国家层面破坏石墨等战略性矿产的管理秩序，威胁国家资源安全；从经济层面造成国家税收流失，扰乱市场竞争秩序；从安全层面可能将被管制物项用于危害国际和平与安全的目的。走私手段不断升级翻新</w:t>
      </w:r>
      <w:r>
        <w:rPr>
          <w:rFonts w:hint="eastAsia"/>
          <w:color w:val="auto"/>
          <w:lang w:val="en-US" w:eastAsia="zh-CN"/>
        </w:rPr>
        <w:t>，</w:t>
      </w:r>
      <w:r>
        <w:rPr>
          <w:rFonts w:hint="eastAsia"/>
          <w:color w:val="auto"/>
          <w:lang w:val="en-US" w:eastAsia="en-US"/>
        </w:rPr>
        <w:t>网络化程度提高</w:t>
      </w:r>
      <w:r>
        <w:rPr>
          <w:rFonts w:hint="eastAsia"/>
          <w:color w:val="auto"/>
          <w:lang w:val="en-US" w:eastAsia="zh-CN"/>
        </w:rPr>
        <w:t>，</w:t>
      </w:r>
      <w:r>
        <w:rPr>
          <w:rFonts w:hint="eastAsia"/>
          <w:color w:val="auto"/>
          <w:lang w:val="en-US" w:eastAsia="en-US"/>
        </w:rPr>
        <w:t>目标定向化</w:t>
      </w:r>
      <w:r>
        <w:rPr>
          <w:rFonts w:hint="eastAsia"/>
          <w:color w:val="auto"/>
          <w:lang w:val="en-US" w:eastAsia="zh-CN"/>
        </w:rPr>
        <w:t>，</w:t>
      </w:r>
      <w:r>
        <w:rPr>
          <w:rFonts w:hint="eastAsia"/>
          <w:color w:val="auto"/>
          <w:lang w:val="en-US" w:eastAsia="en-US"/>
        </w:rPr>
        <w:t>行为隐蔽化。</w:t>
      </w:r>
    </w:p>
    <w:p w14:paraId="6762E47D">
      <w:pPr>
        <w:pStyle w:val="5"/>
        <w:keepNext w:val="0"/>
        <w:keepLines w:val="0"/>
        <w:pageBreakBefore w:val="0"/>
        <w:widowControl w:val="0"/>
        <w:numPr>
          <w:ilvl w:val="0"/>
          <w:numId w:val="0"/>
        </w:numPr>
        <w:kinsoku/>
        <w:wordWrap w:val="0"/>
        <w:overflowPunct/>
        <w:topLinePunct w:val="0"/>
        <w:autoSpaceDE/>
        <w:autoSpaceDN/>
        <w:bidi w:val="0"/>
        <w:adjustRightInd/>
        <w:snapToGrid/>
        <w:spacing w:before="0" w:beforeAutospacing="0" w:after="0" w:afterAutospacing="0" w:line="560" w:lineRule="exact"/>
        <w:ind w:firstLine="640" w:firstLineChars="200"/>
        <w:jc w:val="left"/>
        <w:textAlignment w:val="auto"/>
        <w:outlineLvl w:val="1"/>
        <w:rPr>
          <w:rFonts w:hint="eastAsia" w:ascii="Times New Roman" w:hAnsi="Times New Roman" w:eastAsia="黑体" w:cs="黑体"/>
          <w:b w:val="0"/>
          <w:bCs w:val="0"/>
          <w:color w:val="auto"/>
          <w:kern w:val="0"/>
          <w:sz w:val="32"/>
          <w:szCs w:val="32"/>
          <w:lang w:val="en-US" w:eastAsia="zh-CN" w:bidi="ar"/>
        </w:rPr>
      </w:pPr>
      <w:r>
        <w:rPr>
          <w:rFonts w:hint="eastAsia" w:ascii="Times New Roman" w:hAnsi="Times New Roman" w:eastAsia="黑体" w:cs="黑体"/>
          <w:b w:val="0"/>
          <w:bCs w:val="0"/>
          <w:color w:val="auto"/>
          <w:kern w:val="0"/>
          <w:sz w:val="32"/>
          <w:szCs w:val="32"/>
          <w:lang w:val="en-US" w:eastAsia="zh-CN" w:bidi="ar"/>
        </w:rPr>
        <w:t>（二）典型走私案例分析</w:t>
      </w:r>
    </w:p>
    <w:p w14:paraId="70767B53">
      <w:pPr>
        <w:bidi w:val="0"/>
        <w:rPr>
          <w:rFonts w:hint="eastAsia"/>
          <w:color w:val="auto"/>
          <w:lang w:val="en-US" w:eastAsia="en-US"/>
        </w:rPr>
      </w:pPr>
      <w:r>
        <w:rPr>
          <w:rFonts w:hint="eastAsia"/>
          <w:color w:val="auto"/>
          <w:lang w:val="en-US" w:eastAsia="en-US"/>
        </w:rPr>
        <w:t>1.伪报商品名称走私石墨案例</w:t>
      </w:r>
    </w:p>
    <w:p w14:paraId="4192E5CD">
      <w:pPr>
        <w:bidi w:val="0"/>
        <w:rPr>
          <w:rFonts w:hint="eastAsia"/>
          <w:color w:val="auto"/>
          <w:lang w:val="en-US" w:eastAsia="en-US"/>
        </w:rPr>
      </w:pPr>
      <w:r>
        <w:rPr>
          <w:rFonts w:hint="eastAsia"/>
          <w:color w:val="auto"/>
          <w:lang w:val="en-US" w:eastAsia="en-US"/>
        </w:rPr>
        <w:t>不法分子将实际为石墨或石墨制品的货物伪报为其他商品名称报关。例如，将天然鳞片石墨伪报为</w:t>
      </w:r>
      <w:r>
        <w:rPr>
          <w:rFonts w:hint="eastAsia"/>
          <w:color w:val="auto"/>
          <w:lang w:val="en-US" w:eastAsia="zh-CN"/>
        </w:rPr>
        <w:t>“</w:t>
      </w:r>
      <w:r>
        <w:rPr>
          <w:rFonts w:hint="eastAsia"/>
          <w:color w:val="auto"/>
          <w:lang w:val="en-US" w:eastAsia="en-US"/>
        </w:rPr>
        <w:t>人造石墨</w:t>
      </w:r>
      <w:r>
        <w:rPr>
          <w:rFonts w:hint="eastAsia"/>
          <w:color w:val="auto"/>
          <w:lang w:val="en-US" w:eastAsia="zh-CN"/>
        </w:rPr>
        <w:t>”</w:t>
      </w:r>
      <w:r>
        <w:rPr>
          <w:rFonts w:hint="eastAsia"/>
          <w:color w:val="auto"/>
          <w:lang w:val="en-US" w:eastAsia="en-US"/>
        </w:rPr>
        <w:t>、</w:t>
      </w:r>
      <w:r>
        <w:rPr>
          <w:rFonts w:hint="eastAsia"/>
          <w:color w:val="auto"/>
          <w:lang w:val="en-US" w:eastAsia="zh-CN"/>
        </w:rPr>
        <w:t>“</w:t>
      </w:r>
      <w:r>
        <w:rPr>
          <w:rFonts w:hint="eastAsia"/>
          <w:color w:val="auto"/>
          <w:lang w:val="en-US" w:eastAsia="en-US"/>
        </w:rPr>
        <w:t>石墨粉（工业用）</w:t>
      </w:r>
      <w:r>
        <w:rPr>
          <w:rFonts w:hint="eastAsia"/>
          <w:color w:val="auto"/>
          <w:lang w:val="en-US" w:eastAsia="zh-CN"/>
        </w:rPr>
        <w:t>”</w:t>
      </w:r>
      <w:r>
        <w:rPr>
          <w:rFonts w:hint="eastAsia"/>
          <w:color w:val="auto"/>
          <w:lang w:val="en-US" w:eastAsia="en-US"/>
        </w:rPr>
        <w:t>等品名，或将球形石墨伪报为</w:t>
      </w:r>
      <w:r>
        <w:rPr>
          <w:rFonts w:hint="eastAsia"/>
          <w:color w:val="auto"/>
          <w:lang w:val="en-US" w:eastAsia="zh-CN"/>
        </w:rPr>
        <w:t>“</w:t>
      </w:r>
      <w:r>
        <w:rPr>
          <w:rFonts w:hint="eastAsia"/>
          <w:color w:val="auto"/>
          <w:lang w:val="en-US" w:eastAsia="en-US"/>
        </w:rPr>
        <w:t>石墨电极废碎料</w:t>
      </w:r>
      <w:r>
        <w:rPr>
          <w:rFonts w:hint="eastAsia"/>
          <w:color w:val="auto"/>
          <w:lang w:val="en-US" w:eastAsia="zh-CN"/>
        </w:rPr>
        <w:t>”</w:t>
      </w:r>
      <w:r>
        <w:rPr>
          <w:rFonts w:hint="eastAsia"/>
          <w:color w:val="auto"/>
          <w:lang w:val="en-US" w:eastAsia="en-US"/>
        </w:rPr>
        <w:t>等低价值商品名称。</w:t>
      </w:r>
    </w:p>
    <w:p w14:paraId="61D62825">
      <w:pPr>
        <w:bidi w:val="0"/>
        <w:rPr>
          <w:rFonts w:hint="eastAsia"/>
          <w:color w:val="auto"/>
          <w:lang w:val="en-US" w:eastAsia="en-US"/>
        </w:rPr>
      </w:pPr>
      <w:r>
        <w:rPr>
          <w:rFonts w:hint="eastAsia"/>
          <w:color w:val="auto"/>
          <w:lang w:val="en-US" w:eastAsia="en-US"/>
        </w:rPr>
        <w:t>典型案例1：黄岛海关查获青岛莱特森五金有限公司伪报品名走私天然鳞片石墨案（2023年12月）。当事人申报出口</w:t>
      </w:r>
      <w:r>
        <w:rPr>
          <w:rFonts w:hint="eastAsia"/>
          <w:color w:val="auto"/>
          <w:lang w:val="en-US" w:eastAsia="zh-CN"/>
        </w:rPr>
        <w:t>“</w:t>
      </w:r>
      <w:r>
        <w:rPr>
          <w:rFonts w:hint="eastAsia"/>
          <w:color w:val="auto"/>
          <w:lang w:val="en-US" w:eastAsia="en-US"/>
        </w:rPr>
        <w:t>粉末天然石墨</w:t>
      </w:r>
      <w:r>
        <w:rPr>
          <w:rFonts w:hint="eastAsia"/>
          <w:color w:val="auto"/>
          <w:lang w:val="en-US" w:eastAsia="zh-CN"/>
        </w:rPr>
        <w:t>”</w:t>
      </w:r>
      <w:r>
        <w:rPr>
          <w:rFonts w:hint="eastAsia"/>
          <w:color w:val="auto"/>
          <w:lang w:val="en-US" w:eastAsia="en-US"/>
        </w:rPr>
        <w:t>，伪报税号2504109900（无监管），实际为天然鳞片石墨，应归入管制税号25041010，需两用物项出口许可证，涉案数量3200千克。典型案例2：石家庄海关查获灵寿县鑫图矿产品有限公司伪报品名出口管制石墨案（2024年3月）。当事人申报出口</w:t>
      </w:r>
      <w:r>
        <w:rPr>
          <w:rFonts w:hint="eastAsia"/>
          <w:color w:val="auto"/>
          <w:lang w:val="en-US" w:eastAsia="zh-CN"/>
        </w:rPr>
        <w:t>“</w:t>
      </w:r>
      <w:r>
        <w:rPr>
          <w:rFonts w:hint="eastAsia"/>
          <w:color w:val="auto"/>
          <w:lang w:val="en-US" w:eastAsia="en-US"/>
        </w:rPr>
        <w:t>粉末状天然石墨</w:t>
      </w:r>
      <w:r>
        <w:rPr>
          <w:rFonts w:hint="eastAsia"/>
          <w:color w:val="auto"/>
          <w:lang w:val="en-US" w:eastAsia="zh-CN"/>
        </w:rPr>
        <w:t>”</w:t>
      </w:r>
      <w:r>
        <w:rPr>
          <w:rFonts w:hint="eastAsia"/>
          <w:color w:val="auto"/>
          <w:lang w:val="en-US" w:eastAsia="en-US"/>
        </w:rPr>
        <w:t>，伪报税号2504109900，经查验其中2150千克为天然鳞片石墨，属于管制物项，未取得出口许可证。</w:t>
      </w:r>
    </w:p>
    <w:p w14:paraId="3539816F">
      <w:pPr>
        <w:bidi w:val="0"/>
        <w:rPr>
          <w:rFonts w:hint="eastAsia"/>
          <w:color w:val="auto"/>
          <w:lang w:val="en-US" w:eastAsia="en-US"/>
        </w:rPr>
      </w:pPr>
      <w:r>
        <w:rPr>
          <w:rFonts w:hint="eastAsia"/>
          <w:color w:val="auto"/>
          <w:lang w:val="en-US" w:eastAsia="en-US"/>
        </w:rPr>
        <w:t>2.夹藏瞒报走私石墨案例</w:t>
      </w:r>
    </w:p>
    <w:p w14:paraId="25704B54">
      <w:pPr>
        <w:bidi w:val="0"/>
        <w:rPr>
          <w:rFonts w:hint="eastAsia"/>
          <w:color w:val="auto"/>
          <w:lang w:val="en-US" w:eastAsia="en-US"/>
        </w:rPr>
      </w:pPr>
      <w:r>
        <w:rPr>
          <w:rFonts w:hint="eastAsia"/>
          <w:color w:val="auto"/>
          <w:lang w:val="en-US" w:eastAsia="en-US"/>
        </w:rPr>
        <w:t>将石墨或石墨制品藏匿于其他货物之中企图逃避海关监管。例如，在申报为</w:t>
      </w:r>
      <w:r>
        <w:rPr>
          <w:rFonts w:hint="eastAsia"/>
          <w:color w:val="auto"/>
          <w:lang w:val="en-US" w:eastAsia="zh-CN"/>
        </w:rPr>
        <w:t>“</w:t>
      </w:r>
      <w:r>
        <w:rPr>
          <w:rFonts w:hint="eastAsia"/>
          <w:color w:val="auto"/>
          <w:lang w:val="en-US" w:eastAsia="en-US"/>
        </w:rPr>
        <w:t>机械设备零件</w:t>
      </w:r>
      <w:r>
        <w:rPr>
          <w:rFonts w:hint="eastAsia"/>
          <w:color w:val="auto"/>
          <w:lang w:val="en-US" w:eastAsia="zh-CN"/>
        </w:rPr>
        <w:t>”</w:t>
      </w:r>
      <w:r>
        <w:rPr>
          <w:rFonts w:hint="eastAsia"/>
          <w:color w:val="auto"/>
          <w:lang w:val="en-US" w:eastAsia="en-US"/>
        </w:rPr>
        <w:t>、</w:t>
      </w:r>
      <w:r>
        <w:rPr>
          <w:rFonts w:hint="eastAsia"/>
          <w:color w:val="auto"/>
          <w:lang w:val="en-US" w:eastAsia="zh-CN"/>
        </w:rPr>
        <w:t>“</w:t>
      </w:r>
      <w:r>
        <w:rPr>
          <w:rFonts w:hint="eastAsia"/>
          <w:color w:val="auto"/>
          <w:lang w:val="en-US" w:eastAsia="en-US"/>
        </w:rPr>
        <w:t>家具</w:t>
      </w:r>
      <w:r>
        <w:rPr>
          <w:rFonts w:hint="eastAsia"/>
          <w:color w:val="auto"/>
          <w:lang w:val="en-US" w:eastAsia="zh-CN"/>
        </w:rPr>
        <w:t>”</w:t>
      </w:r>
      <w:r>
        <w:rPr>
          <w:rFonts w:hint="eastAsia"/>
          <w:color w:val="auto"/>
          <w:lang w:val="en-US" w:eastAsia="en-US"/>
        </w:rPr>
        <w:t>等货物的集装箱中夹藏石墨产品，或在货物包装夹层、内衬、底部等不易被发现部位藏匿石墨。</w:t>
      </w:r>
    </w:p>
    <w:p w14:paraId="28EA132E">
      <w:pPr>
        <w:bidi w:val="0"/>
        <w:rPr>
          <w:rFonts w:hint="eastAsia"/>
          <w:color w:val="auto"/>
          <w:lang w:val="en-US" w:eastAsia="en-US"/>
        </w:rPr>
      </w:pPr>
      <w:r>
        <w:rPr>
          <w:rFonts w:hint="eastAsia"/>
          <w:color w:val="auto"/>
          <w:lang w:val="en-US" w:eastAsia="en-US"/>
        </w:rPr>
        <w:t>典型案例1：宁波北仑海关夹藏未申报天然鳞片石墨坩埚案（2024年11月）。对申报品名为</w:t>
      </w:r>
      <w:r>
        <w:rPr>
          <w:rFonts w:hint="eastAsia"/>
          <w:color w:val="auto"/>
          <w:lang w:val="en-US" w:eastAsia="zh-CN"/>
        </w:rPr>
        <w:t>“</w:t>
      </w:r>
      <w:r>
        <w:rPr>
          <w:rFonts w:hint="eastAsia"/>
          <w:color w:val="auto"/>
          <w:lang w:val="en-US" w:eastAsia="en-US"/>
        </w:rPr>
        <w:t>不锈钢型材、焊条</w:t>
      </w:r>
      <w:r>
        <w:rPr>
          <w:rFonts w:hint="eastAsia"/>
          <w:color w:val="auto"/>
          <w:lang w:val="en-US" w:eastAsia="zh-CN"/>
        </w:rPr>
        <w:t>”</w:t>
      </w:r>
      <w:r>
        <w:rPr>
          <w:rFonts w:hint="eastAsia"/>
          <w:color w:val="auto"/>
          <w:lang w:val="en-US" w:eastAsia="en-US"/>
        </w:rPr>
        <w:t>的出口货物查验时，发现夹藏2个未申报坩埚，经鉴定含28%天然鳞片石墨，共计500千克，当事人未取得《两用物项和技术出口许可证》。典型案例2：深圳宝安机场海关伪报夹藏管制人造石墨制品案（2025年1月）。对申报品名为</w:t>
      </w:r>
      <w:r>
        <w:rPr>
          <w:rFonts w:hint="eastAsia"/>
          <w:color w:val="auto"/>
          <w:lang w:val="en-US" w:eastAsia="zh-CN"/>
        </w:rPr>
        <w:t>“</w:t>
      </w:r>
      <w:r>
        <w:rPr>
          <w:rFonts w:hint="eastAsia"/>
          <w:color w:val="auto"/>
          <w:lang w:val="en-US" w:eastAsia="en-US"/>
        </w:rPr>
        <w:t>熔炼坩埚</w:t>
      </w:r>
      <w:r>
        <w:rPr>
          <w:rFonts w:hint="eastAsia"/>
          <w:color w:val="auto"/>
          <w:lang w:val="en-US" w:eastAsia="zh-CN"/>
        </w:rPr>
        <w:t>”</w:t>
      </w:r>
      <w:r>
        <w:rPr>
          <w:rFonts w:hint="eastAsia"/>
          <w:color w:val="auto"/>
          <w:lang w:val="en-US" w:eastAsia="en-US"/>
        </w:rPr>
        <w:t>的出口货物查验，经取样送检，确认货物为纯度99.91%人造石墨制品，符合高纯度、高强度、高密度管制标准，共计301个、重115千克，当事人无法提供出口许可证。</w:t>
      </w:r>
    </w:p>
    <w:p w14:paraId="3443FEF3">
      <w:pPr>
        <w:bidi w:val="0"/>
        <w:rPr>
          <w:rFonts w:hint="eastAsia"/>
          <w:color w:val="auto"/>
          <w:lang w:val="en-US" w:eastAsia="en-US"/>
        </w:rPr>
      </w:pPr>
      <w:r>
        <w:rPr>
          <w:rFonts w:hint="eastAsia"/>
          <w:color w:val="auto"/>
          <w:lang w:val="en-US" w:eastAsia="en-US"/>
        </w:rPr>
        <w:t>3.低报价格走私石墨案例</w:t>
      </w:r>
    </w:p>
    <w:p w14:paraId="3BF94A19">
      <w:pPr>
        <w:bidi w:val="0"/>
        <w:rPr>
          <w:rFonts w:hint="eastAsia"/>
          <w:color w:val="auto"/>
          <w:lang w:val="en-US" w:eastAsia="en-US"/>
        </w:rPr>
      </w:pPr>
      <w:r>
        <w:rPr>
          <w:rFonts w:hint="eastAsia"/>
          <w:color w:val="auto"/>
          <w:lang w:val="en-US" w:eastAsia="en-US"/>
        </w:rPr>
        <w:t>通过不如实申报货物成交价格来偷逃关税。 利用石墨产品规格繁多、价格差异大的特点，故意低报成交价格以少缴税款。例如，将实际成交价格为每吨数千美元的高纯石墨申报为每吨数百美元。</w:t>
      </w:r>
    </w:p>
    <w:p w14:paraId="092F49E0">
      <w:pPr>
        <w:bidi w:val="0"/>
        <w:rPr>
          <w:rFonts w:hint="eastAsia"/>
          <w:color w:val="auto"/>
          <w:lang w:val="en-US" w:eastAsia="en-US"/>
        </w:rPr>
      </w:pPr>
      <w:r>
        <w:rPr>
          <w:rFonts w:hint="eastAsia"/>
          <w:color w:val="auto"/>
          <w:lang w:val="en-US" w:eastAsia="en-US"/>
        </w:rPr>
        <w:t>典型案例1：濮耐股份伪报品名+低报价格走私天然鳞片石墨出口案（2025年5月立案，2026年4月移送起诉）。2023年11月至2025年3月，在天然鳞片石墨被纳入出口管制后，为逃避许可监管并降低申报成本，将管制商品伪报品名、伪报税则号列，以</w:t>
      </w:r>
      <w:r>
        <w:rPr>
          <w:rFonts w:hint="eastAsia"/>
          <w:color w:val="auto"/>
          <w:lang w:val="en-US" w:eastAsia="zh-CN"/>
        </w:rPr>
        <w:t>“</w:t>
      </w:r>
      <w:r>
        <w:rPr>
          <w:rFonts w:hint="eastAsia"/>
          <w:color w:val="auto"/>
          <w:lang w:val="en-US" w:eastAsia="en-US"/>
        </w:rPr>
        <w:t>其他粉末状天然石墨</w:t>
      </w:r>
      <w:r>
        <w:rPr>
          <w:rFonts w:hint="eastAsia"/>
          <w:color w:val="auto"/>
          <w:lang w:val="en-US" w:eastAsia="zh-CN"/>
        </w:rPr>
        <w:t>”</w:t>
      </w:r>
      <w:r>
        <w:rPr>
          <w:rFonts w:hint="eastAsia"/>
          <w:color w:val="auto"/>
          <w:lang w:val="en-US" w:eastAsia="en-US"/>
        </w:rPr>
        <w:t>名义申报出口，累计走私1243.55吨至美国子公司，涉案金额598.47万元。典型案例2：香港华怡公司低报价格走私石墨出口案（2009-2012年）。借用他人资质出口，长期低报成交价格，伪造合同、发票等单证，累计虚假申报出口石墨球26947.8吨，偷逃税款321.85万元。</w:t>
      </w:r>
    </w:p>
    <w:p w14:paraId="3B859FBA">
      <w:pPr>
        <w:bidi w:val="0"/>
        <w:rPr>
          <w:rFonts w:hint="eastAsia"/>
          <w:color w:val="auto"/>
          <w:lang w:val="en-US" w:eastAsia="en-US"/>
        </w:rPr>
      </w:pPr>
      <w:r>
        <w:rPr>
          <w:rFonts w:hint="eastAsia"/>
          <w:color w:val="auto"/>
          <w:lang w:val="en-US" w:eastAsia="en-US"/>
        </w:rPr>
        <w:t>4.伪报原产地走私石墨案例</w:t>
      </w:r>
    </w:p>
    <w:p w14:paraId="54227D4F">
      <w:pPr>
        <w:bidi w:val="0"/>
        <w:rPr>
          <w:rFonts w:hint="eastAsia"/>
          <w:color w:val="auto"/>
          <w:lang w:val="en-US" w:eastAsia="en-US"/>
        </w:rPr>
      </w:pPr>
      <w:r>
        <w:rPr>
          <w:rFonts w:hint="eastAsia"/>
          <w:color w:val="auto"/>
          <w:lang w:val="en-US" w:eastAsia="en-US"/>
        </w:rPr>
        <w:t>将实际产自中国的石墨伪报为产自其他享有贸易优惠待遇的国家或地区，以享受较低或零关税待遇；或将受管制石墨货物的原产地伪装成非管制来源。主流违规模式：一是第三国中转洗货洗单，将国产管制石墨经越南、马来西亚、泰国等地区简单拼装，通过篡改物流单据、虚构加工记录，伪报为中转国原产；二是直接伪造单证，通过变造原产地证书、矿源材料、生产台账，将中国受控石墨标注为非管制产地。</w:t>
      </w:r>
    </w:p>
    <w:p w14:paraId="421ED7B5">
      <w:pPr>
        <w:pStyle w:val="5"/>
        <w:keepNext w:val="0"/>
        <w:keepLines w:val="0"/>
        <w:pageBreakBefore w:val="0"/>
        <w:widowControl w:val="0"/>
        <w:numPr>
          <w:ilvl w:val="0"/>
          <w:numId w:val="0"/>
        </w:numPr>
        <w:kinsoku/>
        <w:wordWrap w:val="0"/>
        <w:overflowPunct/>
        <w:topLinePunct w:val="0"/>
        <w:autoSpaceDE/>
        <w:autoSpaceDN/>
        <w:bidi w:val="0"/>
        <w:adjustRightInd/>
        <w:snapToGrid/>
        <w:spacing w:before="0" w:beforeAutospacing="0" w:after="0" w:afterAutospacing="0" w:line="560" w:lineRule="exact"/>
        <w:ind w:firstLine="640" w:firstLineChars="200"/>
        <w:jc w:val="left"/>
        <w:textAlignment w:val="auto"/>
        <w:outlineLvl w:val="1"/>
        <w:rPr>
          <w:rFonts w:hint="eastAsia" w:ascii="Times New Roman" w:hAnsi="Times New Roman" w:eastAsia="黑体" w:cs="黑体"/>
          <w:b w:val="0"/>
          <w:bCs w:val="0"/>
          <w:color w:val="auto"/>
          <w:kern w:val="0"/>
          <w:sz w:val="32"/>
          <w:szCs w:val="32"/>
          <w:lang w:val="en-US" w:eastAsia="zh-CN" w:bidi="ar"/>
        </w:rPr>
      </w:pPr>
      <w:r>
        <w:rPr>
          <w:rFonts w:hint="eastAsia" w:ascii="Times New Roman" w:hAnsi="Times New Roman" w:eastAsia="黑体" w:cs="黑体"/>
          <w:b w:val="0"/>
          <w:bCs w:val="0"/>
          <w:color w:val="auto"/>
          <w:kern w:val="0"/>
          <w:sz w:val="32"/>
          <w:szCs w:val="32"/>
          <w:lang w:val="en-US" w:eastAsia="zh-CN" w:bidi="ar"/>
        </w:rPr>
        <w:t>（三）走私手法的演变趋势</w:t>
      </w:r>
    </w:p>
    <w:p w14:paraId="3A413DDC">
      <w:pPr>
        <w:bidi w:val="0"/>
        <w:rPr>
          <w:color w:val="auto"/>
        </w:rPr>
      </w:pPr>
      <w:r>
        <w:rPr>
          <w:rFonts w:hint="eastAsia"/>
          <w:color w:val="auto"/>
          <w:lang w:val="en-US" w:eastAsia="en-US"/>
        </w:rPr>
        <w:t>走私手法呈现三大演变趋势：一是利用新贸易形态走私，利用跨境电商、市场采购、外贸综合服务平台等新渠道将石墨产品化整为零伪报为个人物品或小额零售商品进口；二是利用加工贸易渠道走私，将本应内销的保税石墨擅自倒卖、转让或挪作他用，或将国产石墨原料混入保税料件深加工后出口骗取退税；三是利用特殊监管区域走私，通过综合保税区、保税物流中心等特殊监管区域进行</w:t>
      </w:r>
      <w:r>
        <w:rPr>
          <w:rFonts w:hint="eastAsia"/>
          <w:color w:val="auto"/>
          <w:lang w:val="en-US" w:eastAsia="zh-CN"/>
        </w:rPr>
        <w:t>“</w:t>
      </w:r>
      <w:r>
        <w:rPr>
          <w:rFonts w:hint="eastAsia"/>
          <w:color w:val="auto"/>
          <w:lang w:val="en-US" w:eastAsia="en-US"/>
        </w:rPr>
        <w:t>洗货</w:t>
      </w:r>
      <w:r>
        <w:rPr>
          <w:rFonts w:hint="eastAsia"/>
          <w:color w:val="auto"/>
          <w:lang w:val="en-US" w:eastAsia="zh-CN"/>
        </w:rPr>
        <w:t>”</w:t>
      </w:r>
      <w:r>
        <w:rPr>
          <w:rFonts w:hint="eastAsia"/>
          <w:color w:val="auto"/>
          <w:lang w:val="en-US" w:eastAsia="en-US"/>
        </w:rPr>
        <w:t>、</w:t>
      </w:r>
      <w:r>
        <w:rPr>
          <w:rFonts w:hint="eastAsia"/>
          <w:color w:val="auto"/>
          <w:lang w:val="en-US" w:eastAsia="zh-CN"/>
        </w:rPr>
        <w:t>“</w:t>
      </w:r>
      <w:r>
        <w:rPr>
          <w:rFonts w:hint="eastAsia"/>
          <w:color w:val="auto"/>
          <w:lang w:val="en-US" w:eastAsia="en-US"/>
        </w:rPr>
        <w:t>洗单</w:t>
      </w:r>
      <w:r>
        <w:rPr>
          <w:rFonts w:hint="eastAsia"/>
          <w:color w:val="auto"/>
          <w:lang w:val="en-US" w:eastAsia="zh-CN"/>
        </w:rPr>
        <w:t>”</w:t>
      </w:r>
      <w:r>
        <w:rPr>
          <w:rFonts w:hint="eastAsia"/>
          <w:color w:val="auto"/>
          <w:lang w:val="en-US" w:eastAsia="en-US"/>
        </w:rPr>
        <w:t>活动，将非法来源的石墨货物伪装成从特殊监管区域出口的货物。</w:t>
      </w:r>
    </w:p>
    <w:sectPr>
      <w:footerReference r:id="rId5" w:type="default"/>
      <w:pgSz w:w="12240" w:h="15840"/>
      <w:pgMar w:top="1440" w:right="1797" w:bottom="1440" w:left="1797" w:header="720" w:footer="720" w:gutter="0"/>
      <w:pgNumType w:fmt="decimal"/>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640"/>
      </w:pPr>
      <w:r>
        <w:separator/>
      </w:r>
    </w:p>
  </w:endnote>
  <w:endnote w:type="continuationSeparator" w:id="1">
    <w:p>
      <w:pPr>
        <w:spacing w:line="240" w:lineRule="auto"/>
        <w:ind w:firstLine="64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8"/>
    <w:family w:val="moder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仿宋_GBK">
    <w:panose1 w:val="03000509000000000000"/>
    <w:charset w:val="86"/>
    <w:family w:val="auto"/>
    <w:pitch w:val="default"/>
    <w:sig w:usb0="00000001" w:usb1="080E0000" w:usb2="00000000" w:usb3="00000000" w:csb0="0004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Cambria">
    <w:panose1 w:val="02040503050406030204"/>
    <w:charset w:val="00"/>
    <w:family w:val="auto"/>
    <w:pitch w:val="default"/>
    <w:sig w:usb0="E00006FF" w:usb1="420024FF" w:usb2="02000000" w:usb3="00000000" w:csb0="2000019F"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A12ECD">
    <w:pPr>
      <w:pStyle w:val="24"/>
    </w:pPr>
    <w:r>
      <w:rPr>
        <w:sz w:val="32"/>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09BB4B2">
                          <w:pPr>
                            <w:pStyle w:val="2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109BB4B2">
                    <w:pPr>
                      <w:pStyle w:val="24"/>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ind w:firstLine="640"/>
      </w:pPr>
      <w:r>
        <w:separator/>
      </w:r>
    </w:p>
  </w:footnote>
  <w:footnote w:type="continuationSeparator" w:id="1">
    <w:p>
      <w:pPr>
        <w:spacing w:before="0" w:after="0" w:line="240" w:lineRule="auto"/>
        <w:ind w:firstLine="64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97B71D6"/>
    <w:rsid w:val="0D552B6D"/>
    <w:rsid w:val="0F2B2C04"/>
    <w:rsid w:val="0F825E34"/>
    <w:rsid w:val="13A20852"/>
    <w:rsid w:val="159B4585"/>
    <w:rsid w:val="19606167"/>
    <w:rsid w:val="1B7C5E2D"/>
    <w:rsid w:val="1BC21A9A"/>
    <w:rsid w:val="39D96F6F"/>
    <w:rsid w:val="3C245698"/>
    <w:rsid w:val="528368D0"/>
    <w:rsid w:val="5CC31B3E"/>
    <w:rsid w:val="617436E2"/>
    <w:rsid w:val="6D3B2A1F"/>
    <w:rsid w:val="794F04F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9"/>
    </w:pPr>
    <w:rPr>
      <w:rFonts w:ascii="Times New Roman" w:hAnsi="Times New Roman" w:eastAsia="方正仿宋_GBK" w:cstheme="minorBidi"/>
      <w:kern w:val="2"/>
      <w:sz w:val="32"/>
      <w:szCs w:val="3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5067</Words>
  <Characters>5570</Characters>
  <Lines>0</Lines>
  <Paragraphs>0</Paragraphs>
  <TotalTime>34</TotalTime>
  <ScaleCrop>false</ScaleCrop>
  <LinksUpToDate>false</LinksUpToDate>
  <CharactersWithSpaces>5576</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Mo</cp:lastModifiedBy>
  <dcterms:modified xsi:type="dcterms:W3CDTF">2026-04-30T08:15:12Z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eyJoZGlkIjoiNDE3ZjU4ZjUxZGY1ODljOGQzNzUyMDM2Y2M0ODM3ZWIiLCJ1c2VySWQiOiIzOTUyMjM1MTQifQ==</vt:lpwstr>
  </property>
  <property fmtid="{D5CDD505-2E9C-101B-9397-08002B2CF9AE}" pid="3" name="KSOProductBuildVer">
    <vt:lpwstr>2052-12.1.0.25225</vt:lpwstr>
  </property>
  <property fmtid="{D5CDD505-2E9C-101B-9397-08002B2CF9AE}" pid="4" name="ICV">
    <vt:lpwstr>38B0A5C6FB904561B373BF4A19A18677_13</vt:lpwstr>
  </property>
</Properties>
</file>