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2F174">
      <w:pPr>
        <w:widowControl w:val="0"/>
        <w:spacing w:line="560" w:lineRule="exact"/>
        <w:ind w:firstLine="0" w:firstLineChars="0"/>
        <w:jc w:val="center"/>
        <w:rPr>
          <w:rFonts w:hint="eastAsia" w:ascii="Times New Roman" w:hAnsi="Times New Roman" w:eastAsia="方正小标宋简体" w:cs="Times New Roman"/>
          <w:color w:val="FF0000"/>
          <w:spacing w:val="34"/>
          <w:sz w:val="52"/>
          <w:szCs w:val="52"/>
          <w:lang w:val="en-US" w:eastAsia="zh-CN"/>
        </w:rPr>
      </w:pPr>
    </w:p>
    <w:p w14:paraId="13D75CB4">
      <w:pPr>
        <w:widowControl w:val="0"/>
        <w:spacing w:line="560" w:lineRule="exact"/>
        <w:ind w:firstLine="0" w:firstLineChars="0"/>
        <w:jc w:val="center"/>
        <w:outlineLvl w:val="0"/>
        <w:rPr>
          <w:rFonts w:hint="default" w:ascii="Times New Roman" w:hAnsi="Times New Roman" w:eastAsia="方正小标宋简体" w:cs="Times New Roman"/>
          <w:color w:val="FF0000"/>
          <w:spacing w:val="34"/>
          <w:sz w:val="52"/>
          <w:szCs w:val="52"/>
          <w:lang w:val="en-US" w:eastAsia="zh-CN"/>
        </w:rPr>
      </w:pPr>
      <w:bookmarkStart w:id="0" w:name="_Toc7840"/>
      <w:r>
        <w:rPr>
          <w:rFonts w:hint="eastAsia" w:eastAsia="方正小标宋简体" w:cs="Times New Roman"/>
          <w:color w:val="FF0000"/>
          <w:spacing w:val="34"/>
          <w:sz w:val="52"/>
          <w:szCs w:val="52"/>
          <w:lang w:val="en-US" w:eastAsia="zh-CN"/>
        </w:rPr>
        <w:t>天然鳞片石墨调研报告</w:t>
      </w:r>
      <w:bookmarkEnd w:id="0"/>
    </w:p>
    <w:p w14:paraId="02B6EA05">
      <w:pPr>
        <w:spacing w:line="560" w:lineRule="exact"/>
        <w:ind w:firstLine="672"/>
        <w:jc w:val="center"/>
        <w:rPr>
          <w:rFonts w:cs="Times New Roman"/>
          <w:color w:val="000000" w:themeColor="text1"/>
          <w:szCs w:val="32"/>
          <w14:textFill>
            <w14:solidFill>
              <w14:schemeClr w14:val="tx1"/>
            </w14:solidFill>
          </w14:textFill>
        </w:rPr>
      </w:pPr>
    </w:p>
    <w:p w14:paraId="4D0ED3FB">
      <w:pPr>
        <w:spacing w:line="560" w:lineRule="exact"/>
        <w:ind w:firstLine="0" w:firstLineChars="0"/>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hint="eastAsia" w:ascii="Times New Roman" w:hAnsi="Times New Roman" w:eastAsia="方正仿宋简体" w:cs="Times New Roman"/>
          <w:color w:val="000000" w:themeColor="text1"/>
          <w:sz w:val="32"/>
          <w:szCs w:val="32"/>
          <w14:textFill>
            <w14:solidFill>
              <w14:schemeClr w14:val="tx1"/>
            </w14:solidFill>
          </w14:textFill>
        </w:rPr>
        <w:t>2026年4月</w:t>
      </w:r>
      <w:r>
        <w:rPr>
          <w:rFonts w:hint="eastAsia" w:eastAsia="方正仿宋简体" w:cs="Times New Roman"/>
          <w:color w:val="000000" w:themeColor="text1"/>
          <w:sz w:val="32"/>
          <w:szCs w:val="32"/>
          <w:lang w:val="en-US" w:eastAsia="zh-CN"/>
          <w14:textFill>
            <w14:solidFill>
              <w14:schemeClr w14:val="tx1"/>
            </w14:solidFill>
          </w14:textFill>
        </w:rPr>
        <w:t>30</w:t>
      </w:r>
      <w:r>
        <w:rPr>
          <w:rFonts w:hint="eastAsia" w:ascii="Times New Roman" w:hAnsi="Times New Roman" w:eastAsia="方正仿宋简体" w:cs="Times New Roman"/>
          <w:color w:val="000000" w:themeColor="text1"/>
          <w:sz w:val="32"/>
          <w:szCs w:val="32"/>
          <w14:textFill>
            <w14:solidFill>
              <w14:schemeClr w14:val="tx1"/>
            </w14:solidFill>
          </w14:textFill>
        </w:rPr>
        <w:t>日</w:t>
      </w:r>
    </w:p>
    <w:p w14:paraId="5487114A">
      <w:pPr>
        <w:pStyle w:val="20"/>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sdt>
      <w:sdtPr>
        <w:rPr>
          <w:rFonts w:ascii="宋体" w:hAnsi="宋体" w:eastAsia="宋体" w:cstheme="minorBidi"/>
          <w:kern w:val="2"/>
          <w:sz w:val="21"/>
          <w:szCs w:val="32"/>
          <w:lang w:val="en-US" w:eastAsia="zh-CN" w:bidi="ar-SA"/>
        </w:rPr>
        <w:id w:val="147469732"/>
        <w15:color w:val="DBDBDB"/>
        <w:docPartObj>
          <w:docPartGallery w:val="Table of Contents"/>
          <w:docPartUnique/>
        </w:docPartObj>
      </w:sdtPr>
      <w:sdtEndPr>
        <w:rPr>
          <w:rFonts w:hint="eastAsia" w:ascii="宋体" w:hAnsi="宋体" w:eastAsia="宋体" w:cs="宋体"/>
          <w:kern w:val="2"/>
          <w:sz w:val="21"/>
          <w:szCs w:val="21"/>
          <w:lang w:val="en-US" w:eastAsia="zh-CN" w:bidi="ar-SA"/>
        </w:rPr>
      </w:sdtEndPr>
      <w:sdtContent>
        <w:p w14:paraId="0F3020A0">
          <w:pPr>
            <w:spacing w:before="0" w:beforeLines="0" w:after="0" w:afterLines="0" w:line="24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b/>
              <w:kern w:val="2"/>
              <w:sz w:val="21"/>
              <w:szCs w:val="21"/>
              <w:lang w:val="en-US" w:eastAsia="zh-CN" w:bidi="ar-SA"/>
            </w:rPr>
            <w:fldChar w:fldCharType="begin"/>
          </w:r>
          <w:r>
            <w:rPr>
              <w:rFonts w:hint="eastAsia" w:ascii="宋体" w:hAnsi="宋体" w:eastAsia="宋体" w:cs="宋体"/>
              <w:b/>
              <w:kern w:val="2"/>
              <w:sz w:val="21"/>
              <w:szCs w:val="21"/>
              <w:lang w:val="en-US" w:eastAsia="zh-CN" w:bidi="ar-SA"/>
            </w:rPr>
            <w:instrText xml:space="preserve">TOC \o "1-3" \h \u </w:instrText>
          </w:r>
          <w:r>
            <w:rPr>
              <w:rFonts w:hint="eastAsia" w:ascii="宋体" w:hAnsi="宋体" w:eastAsia="宋体" w:cs="宋体"/>
              <w:b/>
              <w:kern w:val="2"/>
              <w:sz w:val="21"/>
              <w:szCs w:val="21"/>
              <w:lang w:val="en-US" w:eastAsia="zh-CN" w:bidi="ar-SA"/>
            </w:rPr>
            <w:fldChar w:fldCharType="separate"/>
          </w:r>
        </w:p>
        <w:p w14:paraId="465D40E3">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_Toc7840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pacing w:val="34"/>
              <w:sz w:val="21"/>
              <w:szCs w:val="21"/>
              <w:lang w:val="en-US" w:eastAsia="zh-CN"/>
            </w:rPr>
            <w:t>天然鳞片石墨调研报告</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_Toc7840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520D9363">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_Toc8374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摘要</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_Toc8374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A01BE47">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_Toc11917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一、国内外出口管制政策梳理</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_Toc11917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5F98233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_Toc21809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（一）中国出口管制政策体系</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_Toc21809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FD04F16">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_Toc2943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1.出口管制法规框架</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_Toc2943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6047B5C">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_Toc22996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2.2023年石墨出口管制公告</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_Toc22996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734B1F50">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_Toc2890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3.2024年石墨出口管制公告</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_Toc2890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08527563">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_Toc4344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4.2025年石墨出口管制公告</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_Toc4344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25CECFD8">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_Toc9067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5.出口管制政策的实施效果</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_Toc9067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3E331151">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_Toc27785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（二）国际出口管制与限制措施</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_Toc27785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6</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71E172D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_Toc3837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1.美国关键矿产政策</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_Toc3837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6</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2F9D9F48">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_Toc28840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2.欧盟关键原材料战略</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_Toc28840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7</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50D8886">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_Toc26948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3.其他国家政策动向</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_Toc26948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8</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3A9E4DE9">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_Toc31882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二、天然鳞片石墨相关商品知识</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_Toc31882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10</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3BC12891">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_Toc2459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（一）</w:t>
          </w:r>
          <w:r>
            <w:rPr>
              <w:rFonts w:hint="default" w:ascii="Times New Roman" w:hAnsi="Times New Roman" w:eastAsia="黑体" w:cs="Times New Roman"/>
              <w:kern w:val="2"/>
              <w:szCs w:val="21"/>
              <w:lang w:val="en-US" w:eastAsia="zh-CN" w:bidi="ar-SA"/>
            </w:rPr>
            <w:t>天然</w:t>
          </w:r>
          <w:r>
            <w:rPr>
              <w:rFonts w:hint="default" w:ascii="Times New Roman" w:hAnsi="Times New Roman" w:eastAsia="黑体" w:cs="Times New Roman"/>
              <w:bCs w:val="0"/>
              <w:kern w:val="0"/>
              <w:sz w:val="21"/>
              <w:szCs w:val="21"/>
              <w:lang w:val="en-US" w:eastAsia="zh-CN" w:bidi="ar"/>
            </w:rPr>
            <w:t>鳞片石墨的基本概念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_Toc2459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10</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52B983D0">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_Toc4911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1.定义与特征</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_Toc4911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10</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2C9A854">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_Toc5066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2.成因与分布</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_Toc5066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11</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01FC2042">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_Toc27362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（二）</w:t>
          </w:r>
          <w:r>
            <w:rPr>
              <w:rFonts w:hint="default" w:ascii="Times New Roman" w:hAnsi="Times New Roman" w:eastAsia="黑体" w:cs="Times New Roman"/>
              <w:kern w:val="2"/>
              <w:szCs w:val="21"/>
              <w:lang w:val="en-US" w:eastAsia="zh-CN" w:bidi="ar-SA"/>
            </w:rPr>
            <w:t>人造</w:t>
          </w:r>
          <w:r>
            <w:rPr>
              <w:rFonts w:hint="default" w:ascii="Times New Roman" w:hAnsi="Times New Roman" w:eastAsia="黑体" w:cs="Times New Roman"/>
              <w:bCs w:val="0"/>
              <w:kern w:val="0"/>
              <w:sz w:val="21"/>
              <w:szCs w:val="21"/>
              <w:lang w:val="en-US" w:eastAsia="zh-CN" w:bidi="ar"/>
            </w:rPr>
            <w:t>石墨与天然石墨的对比</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_Toc27362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6C55AF40">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_Toc2062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1.基本概念区分</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_Toc2062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11</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0F8FD513">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_Toc417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2.性能与应用差异</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_Toc417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12</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207048A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_Toc14422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3.市场格局与价格走势</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_Toc14422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13</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794F15EE">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_Toc9693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（三）</w:t>
          </w:r>
          <w:r>
            <w:rPr>
              <w:rFonts w:hint="default" w:ascii="Times New Roman" w:hAnsi="Times New Roman" w:eastAsia="黑体" w:cs="Times New Roman"/>
              <w:kern w:val="2"/>
              <w:szCs w:val="21"/>
              <w:lang w:val="en-US" w:eastAsia="zh-CN" w:bidi="ar-SA"/>
            </w:rPr>
            <w:t>石墨</w:t>
          </w:r>
          <w:r>
            <w:rPr>
              <w:rFonts w:hint="default" w:ascii="Times New Roman" w:hAnsi="Times New Roman" w:eastAsia="黑体" w:cs="Times New Roman"/>
              <w:bCs w:val="0"/>
              <w:kern w:val="0"/>
              <w:sz w:val="21"/>
              <w:szCs w:val="21"/>
              <w:lang w:val="en-US" w:eastAsia="zh-CN" w:bidi="ar"/>
            </w:rPr>
            <w:t>深加工产品</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_Toc9693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A5E6AE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_Toc29831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1.球形石墨（球化石墨）</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_Toc29831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14</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55F9067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_Toc7736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2.高纯石墨</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_Toc7736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15</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169B6CE">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_Toc3528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3.膨胀石墨与柔性石墨</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_Toc3528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16</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0E196C6">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_Toc12325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4.石墨烯</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_Toc12325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17</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AB4E15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_Toc4374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（四）</w:t>
          </w:r>
          <w:r>
            <w:rPr>
              <w:rFonts w:hint="default" w:ascii="Times New Roman" w:hAnsi="Times New Roman" w:eastAsia="黑体" w:cs="Times New Roman"/>
              <w:kern w:val="2"/>
              <w:szCs w:val="21"/>
              <w:lang w:val="en-US" w:eastAsia="zh-CN" w:bidi="ar-SA"/>
            </w:rPr>
            <w:t>石墨</w:t>
          </w:r>
          <w:r>
            <w:rPr>
              <w:rFonts w:hint="default" w:ascii="Times New Roman" w:hAnsi="Times New Roman" w:eastAsia="黑体" w:cs="Times New Roman"/>
              <w:bCs w:val="0"/>
              <w:kern w:val="0"/>
              <w:sz w:val="21"/>
              <w:szCs w:val="21"/>
              <w:lang w:val="en-US" w:eastAsia="zh-CN" w:bidi="ar"/>
            </w:rPr>
            <w:t>的主要技术指标与检测方法</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_Toc4374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D58E4CF">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_Toc1177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1.化学成分指标</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_Toc1177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18</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2081DB08">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_Toc23488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2.物理性能指标</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_Toc23488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19</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519105A7">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_Toc9003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3.电化学性能指标</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_Toc9003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20</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6702E086">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_Toc120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三、天然鳞片石墨主要应用方向</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_Toc120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20</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58E83C8B">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_Toc16216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（一）</w:t>
          </w:r>
          <w:r>
            <w:rPr>
              <w:rFonts w:hint="default" w:ascii="Times New Roman" w:hAnsi="Times New Roman" w:eastAsia="黑体" w:cs="Times New Roman"/>
              <w:kern w:val="2"/>
              <w:szCs w:val="21"/>
              <w:lang w:val="en-US" w:eastAsia="zh-CN" w:bidi="ar-SA"/>
            </w:rPr>
            <w:t>新</w:t>
          </w:r>
          <w:r>
            <w:rPr>
              <w:rFonts w:hint="default" w:ascii="Times New Roman" w:hAnsi="Times New Roman" w:eastAsia="黑体" w:cs="Times New Roman"/>
              <w:bCs w:val="0"/>
              <w:kern w:val="0"/>
              <w:sz w:val="21"/>
              <w:szCs w:val="21"/>
              <w:lang w:val="en-US" w:eastAsia="zh-CN" w:bidi="ar"/>
            </w:rPr>
            <w:t>能源汽车与动力电池领域</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_Toc16216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20</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4A6F0738">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_Toc27153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napToGrid w:val="0"/>
              <w:kern w:val="2"/>
              <w:sz w:val="21"/>
              <w:szCs w:val="21"/>
              <w:lang w:val="en-US" w:eastAsia="zh-CN" w:bidi="ar-SA"/>
            </w:rPr>
            <w:t>1.锂</w:t>
          </w:r>
          <w:r>
            <w:rPr>
              <w:rFonts w:hint="default" w:ascii="Times New Roman" w:hAnsi="Times New Roman" w:eastAsia="黑体" w:cs="Times New Roman"/>
              <w:kern w:val="2"/>
              <w:sz w:val="21"/>
              <w:szCs w:val="21"/>
              <w:lang w:val="en-US" w:eastAsia="zh-CN"/>
            </w:rPr>
            <w:t>离子电池负极材料</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_Toc27153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20</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9CCC32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_Toc12488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2.新能源汽车产业发展对石墨需求的影响</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_Toc12488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22</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F1903EB">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_Toc20784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3.储能电池市场的崛起</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_Toc20784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23</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3B575F0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_Toc30399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（二）</w:t>
          </w:r>
          <w:r>
            <w:rPr>
              <w:rFonts w:hint="default" w:ascii="Times New Roman" w:hAnsi="Times New Roman" w:eastAsia="黑体" w:cs="Times New Roman"/>
              <w:kern w:val="2"/>
              <w:szCs w:val="21"/>
              <w:lang w:val="en-US" w:eastAsia="zh-CN" w:bidi="ar-SA"/>
            </w:rPr>
            <w:t>消费</w:t>
          </w:r>
          <w:r>
            <w:rPr>
              <w:rFonts w:hint="default" w:ascii="Times New Roman" w:hAnsi="Times New Roman" w:eastAsia="黑体" w:cs="Times New Roman"/>
              <w:bCs w:val="0"/>
              <w:kern w:val="0"/>
              <w:sz w:val="21"/>
              <w:szCs w:val="21"/>
              <w:lang w:val="en-US" w:eastAsia="zh-CN" w:bidi="ar"/>
            </w:rPr>
            <w:t>电子与数码产品领域</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_Toc30399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066A64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_Toc1138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1.智能手机和平板电脑</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_Toc1138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24</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F25B57C">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_Toc26661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2.可穿戴设备和新兴消费电子</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_Toc26661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25</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540182B9">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_Toc16089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（三）</w:t>
          </w:r>
          <w:r>
            <w:rPr>
              <w:rFonts w:hint="default" w:ascii="Times New Roman" w:hAnsi="Times New Roman" w:eastAsia="黑体" w:cs="Times New Roman"/>
              <w:kern w:val="2"/>
              <w:szCs w:val="21"/>
              <w:lang w:val="en-US" w:eastAsia="zh-CN" w:bidi="ar-SA"/>
            </w:rPr>
            <w:t>航空</w:t>
          </w:r>
          <w:r>
            <w:rPr>
              <w:rFonts w:hint="default" w:ascii="Times New Roman" w:hAnsi="Times New Roman" w:eastAsia="黑体" w:cs="Times New Roman"/>
              <w:bCs w:val="0"/>
              <w:kern w:val="0"/>
              <w:sz w:val="21"/>
              <w:szCs w:val="21"/>
              <w:lang w:val="en-US" w:eastAsia="zh-CN" w:bidi="ar"/>
            </w:rPr>
            <w:t>航天与国防军事领域</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_Toc16089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25</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603B471">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_Toc31947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1.导弹和火箭技术应用</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_Toc31947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25</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C2FCC33">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_Toc26231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2.卫星和航天器应用</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_Toc26231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26</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60D23DA0">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_Toc16856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3.核工业应用</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_Toc16856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27</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BB3E5EC">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_Toc7610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（四）</w:t>
          </w:r>
          <w:r>
            <w:rPr>
              <w:rFonts w:hint="default" w:ascii="Times New Roman" w:hAnsi="Times New Roman" w:eastAsia="黑体" w:cs="Times New Roman"/>
              <w:bCs w:val="0"/>
              <w:kern w:val="0"/>
              <w:sz w:val="21"/>
              <w:szCs w:val="21"/>
              <w:lang w:val="en-US" w:eastAsia="zh-CN" w:bidi="ar"/>
            </w:rPr>
            <w:t>润滑与密封领域</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_Toc7610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B4AEDF9">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_Toc23160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1.工业润滑剂</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_Toc23160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28</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02861D6F">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_Toc9152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2.密封材料</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_Toc9152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29</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4B80857">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_Toc14159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（五）</w:t>
          </w:r>
          <w:r>
            <w:rPr>
              <w:rFonts w:hint="default" w:ascii="Times New Roman" w:hAnsi="Times New Roman" w:eastAsia="黑体" w:cs="Times New Roman"/>
              <w:bCs w:val="0"/>
              <w:kern w:val="0"/>
              <w:sz w:val="21"/>
              <w:szCs w:val="21"/>
              <w:lang w:val="en-US" w:eastAsia="zh-CN" w:bidi="ar"/>
            </w:rPr>
            <w:t>耐火材料和冶金领域</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_Toc14159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0B87457">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_Toc9371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1.耐火材料应用</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_Toc9371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29</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0064CBAB">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_Toc16958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2.铸造和粉末冶金</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_Toc16958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30</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5317C1C">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_Toc24689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（六）</w:t>
          </w:r>
          <w:r>
            <w:rPr>
              <w:rFonts w:hint="default" w:ascii="Times New Roman" w:hAnsi="Times New Roman" w:eastAsia="黑体" w:cs="Times New Roman"/>
              <w:bCs w:val="0"/>
              <w:kern w:val="0"/>
              <w:sz w:val="21"/>
              <w:szCs w:val="21"/>
              <w:lang w:val="en-US" w:eastAsia="zh-CN" w:bidi="ar"/>
            </w:rPr>
            <w:t>其他新兴应用领域</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_Toc24689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1626C57">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_Toc26994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1.氢能产业应用</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_Toc26994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31</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5959C92E">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_Toc2263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2.先进复合材料</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_Toc2263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32</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72E63AE2">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_Toc3036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四、全球各国（地区）产能情况</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_Toc3036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33</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011AC790">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_Toc28129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（一）</w:t>
          </w:r>
          <w:r>
            <w:rPr>
              <w:rFonts w:hint="default" w:ascii="Times New Roman" w:hAnsi="Times New Roman" w:eastAsia="黑体" w:cs="Times New Roman"/>
              <w:bCs w:val="0"/>
              <w:kern w:val="0"/>
              <w:sz w:val="21"/>
              <w:szCs w:val="21"/>
              <w:lang w:val="en-US" w:eastAsia="zh-CN" w:bidi="ar"/>
            </w:rPr>
            <w:t>全球石墨资源储量分布</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_Toc28129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06B1663">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_Toc6788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1.全球已探明石墨储量</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_Toc6788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33</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53EADAE1">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_Toc8371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2.区域分布特征与成因</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_Toc8371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33</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36AFF1B5">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_Toc7508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（二）</w:t>
          </w:r>
          <w:r>
            <w:rPr>
              <w:rFonts w:hint="default" w:ascii="Times New Roman" w:hAnsi="Times New Roman" w:eastAsia="黑体" w:cs="Times New Roman"/>
              <w:bCs w:val="0"/>
              <w:kern w:val="0"/>
              <w:sz w:val="21"/>
              <w:szCs w:val="21"/>
              <w:lang w:val="en-US" w:eastAsia="zh-CN" w:bidi="ar"/>
            </w:rPr>
            <w:t>主要生产国家产能</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_Toc7508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292650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_Toc8087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1.中国石墨产能与产量</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_Toc8087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34</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828E80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_Toc32586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2.巴西石墨产能</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_Toc32586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35</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0F9ED98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_Toc32750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3.莫桑比克石墨产能</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_Toc32750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36</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6471FC4B">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_Toc25911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4.马达加斯加石墨产能</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_Toc25911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36</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4AD9133">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_Toc27762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napToGrid w:val="0"/>
              <w:kern w:val="2"/>
              <w:sz w:val="21"/>
              <w:szCs w:val="21"/>
              <w:lang w:val="en-US" w:eastAsia="zh-CN" w:bidi="ar-SA"/>
            </w:rPr>
            <w:t>5.其</w:t>
          </w:r>
          <w:r>
            <w:rPr>
              <w:rFonts w:hint="default" w:ascii="Times New Roman" w:hAnsi="Times New Roman" w:eastAsia="黑体" w:cs="Times New Roman"/>
              <w:kern w:val="2"/>
              <w:sz w:val="21"/>
              <w:szCs w:val="21"/>
              <w:lang w:val="en-US" w:eastAsia="zh-CN"/>
            </w:rPr>
            <w:t>他生产国家情况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_Toc27762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37</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7152DDB">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_Toc11120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（三）</w:t>
          </w:r>
          <w:r>
            <w:rPr>
              <w:rFonts w:hint="default" w:ascii="Times New Roman" w:hAnsi="Times New Roman" w:eastAsia="黑体" w:cs="Times New Roman"/>
              <w:bCs w:val="0"/>
              <w:kern w:val="0"/>
              <w:sz w:val="21"/>
              <w:szCs w:val="21"/>
              <w:lang w:val="en-US" w:eastAsia="zh-CN" w:bidi="ar"/>
            </w:rPr>
            <w:t>主要消费国家与地区</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_Toc11120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F436FA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_Toc17049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1.亚洲市场</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_Toc17049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38</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02AFB94">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_Toc18978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2.欧洲市场</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_Toc18978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39</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221D0C52">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_Toc12327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3.北美市场</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_Toc12327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40</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539F2080">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_Toc7464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（四）</w:t>
          </w:r>
          <w:r>
            <w:rPr>
              <w:rFonts w:hint="default" w:ascii="Times New Roman" w:hAnsi="Times New Roman" w:eastAsia="黑体" w:cs="Times New Roman"/>
              <w:bCs w:val="0"/>
              <w:kern w:val="0"/>
              <w:sz w:val="21"/>
              <w:szCs w:val="21"/>
              <w:lang w:val="en-US" w:eastAsia="zh-CN" w:bidi="ar"/>
            </w:rPr>
            <w:t>全球石墨供需格局分析</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_Toc7464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40</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4F7A0BB9">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_Toc31273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1.供需平衡现状</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_Toc31273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40</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2111279">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_Toc13193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2.价格走势与影响因素</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_Toc13193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41</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3FD25DE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_Toc8433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五、国内外主要生产企业及进出口情况</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_Toc8433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42</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0849C0D1">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_Toc11284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（一）</w:t>
          </w:r>
          <w:r>
            <w:rPr>
              <w:rFonts w:hint="default" w:ascii="Times New Roman" w:hAnsi="Times New Roman" w:eastAsia="黑体" w:cs="Times New Roman"/>
              <w:bCs w:val="0"/>
              <w:kern w:val="0"/>
              <w:sz w:val="21"/>
              <w:szCs w:val="21"/>
              <w:lang w:val="en-US" w:eastAsia="zh-CN" w:bidi="ar"/>
            </w:rPr>
            <w:t>中国主要石墨生产企业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_Toc11284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42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1CFD4DB">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_Toc28875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1.贝特瑞新材料集团股份有限公司</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_Toc28875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42</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724DC72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_Toc4019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2.上海璞泰来新能源科技股份有限公司</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_Toc4019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43</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2D83820E">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_Toc19843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3.宁波杉杉股份有限公司</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_Toc19843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44</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61B1EBFE">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_Toc24422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4.深圳市翔丰华科技股份有限公司</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_Toc24422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45</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74485B84">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_Toc14071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（二）</w:t>
          </w:r>
          <w:r>
            <w:rPr>
              <w:rFonts w:hint="default" w:ascii="Times New Roman" w:hAnsi="Times New Roman" w:eastAsia="黑体" w:cs="Times New Roman"/>
              <w:bCs w:val="0"/>
              <w:kern w:val="0"/>
              <w:sz w:val="21"/>
              <w:szCs w:val="21"/>
              <w:lang w:val="en-US" w:eastAsia="zh-CN" w:bidi="ar"/>
            </w:rPr>
            <w:t>国外主要石墨生产企业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_Toc14071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45</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706A70C">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_Toc31494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1.澳大利亚Syrah Resources有限公司</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_Toc31494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45</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036ED6E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_Toc14146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2.美国Graphite One公司</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_Toc14146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46</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3BA80F3">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_Toc28486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3.加拿大Northern Graphite公司</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_Toc28486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47</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56D4D1A4">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_Toc12104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4.韩国大鲜集团（Daewon）</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_Toc12104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47</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757C90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_Toc27781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5.日本三菱材料株式会社</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_Toc27781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48</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2E0EFB21">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_Toc23729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（三）</w:t>
          </w:r>
          <w:r>
            <w:rPr>
              <w:rFonts w:hint="default" w:ascii="Times New Roman" w:hAnsi="Times New Roman" w:eastAsia="黑体" w:cs="Times New Roman"/>
              <w:bCs w:val="0"/>
              <w:kern w:val="0"/>
              <w:sz w:val="21"/>
              <w:szCs w:val="21"/>
              <w:lang w:val="en-US" w:eastAsia="zh-CN" w:bidi="ar"/>
            </w:rPr>
            <w:t>中国石墨进出口贸易分析</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_Toc23729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48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6BC2FF1">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_Toc30068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1.出口规模与结构</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_Toc30068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48</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F968ED2">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_Toc3211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2.出口目的地分布</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_Toc3211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49</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6BDA354E">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_Toc2967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3.主要发货省份</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_Toc2967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50</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7862CEE7">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_Toc18476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4.进口情况</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_Toc18476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51</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3623E62">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_Toc4398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（四）</w:t>
          </w:r>
          <w:r>
            <w:rPr>
              <w:rFonts w:hint="default" w:ascii="Times New Roman" w:hAnsi="Times New Roman" w:eastAsia="黑体" w:cs="Times New Roman"/>
              <w:bCs w:val="0"/>
              <w:kern w:val="0"/>
              <w:sz w:val="21"/>
              <w:szCs w:val="21"/>
              <w:lang w:val="en-US" w:eastAsia="zh-CN" w:bidi="ar"/>
            </w:rPr>
            <w:t>主要国家石墨贸易流向</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_Toc4398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51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59C5D7C7">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_Toc30230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1.中日韩石墨贸易</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_Toc30230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51</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548BAB3">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_Toc4874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2.中国与西方国家石墨贸易</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_Toc4874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52</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72CE124C">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_Toc30426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3.新兴供应国的贸易格局</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_Toc30426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53</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61051A9">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_Toc596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六、查获典型案例及主要走私手法</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_Toc596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54</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2A3617B3">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_Toc18011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（一）</w:t>
          </w:r>
          <w:r>
            <w:rPr>
              <w:rFonts w:hint="default" w:ascii="Times New Roman" w:hAnsi="Times New Roman" w:eastAsia="黑体" w:cs="Times New Roman"/>
              <w:bCs w:val="0"/>
              <w:kern w:val="0"/>
              <w:sz w:val="21"/>
              <w:szCs w:val="21"/>
              <w:lang w:val="en-US" w:eastAsia="zh-CN" w:bidi="ar"/>
            </w:rPr>
            <w:t>石墨走私概述与危害</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_Toc18011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54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52D4E49">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_Toc25943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1.走私活动的成因</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_Toc25943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54</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4F69036">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_Toc11229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2.走私活动的特点</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_Toc11229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55</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06640740">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_Toc32714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（二）</w:t>
          </w:r>
          <w:r>
            <w:rPr>
              <w:rFonts w:hint="default" w:ascii="Times New Roman" w:hAnsi="Times New Roman" w:eastAsia="黑体" w:cs="Times New Roman"/>
              <w:bCs w:val="0"/>
              <w:kern w:val="0"/>
              <w:sz w:val="21"/>
              <w:szCs w:val="21"/>
              <w:lang w:val="en-US" w:eastAsia="zh-CN" w:bidi="ar"/>
            </w:rPr>
            <w:t>典型走私案例分析</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_Toc32714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55</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05970AE">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_Toc6076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1.伪报商品名称走私石墨案例</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_Toc6076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56</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74D2D31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_Toc13864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2.夹藏瞒报走私石墨案例</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_Toc13864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57</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33F5168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_Toc971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3.低报价格走私石墨案例</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_Toc971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59</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7ECD9A5">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_Toc19742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4.伪报原产地走私石墨案例</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_Toc19742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61</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479251C0">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210" w:firstLineChars="1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_Toc5025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（三）</w:t>
          </w:r>
          <w:r>
            <w:rPr>
              <w:rFonts w:hint="default" w:ascii="Times New Roman" w:hAnsi="Times New Roman" w:eastAsia="黑体" w:cs="Times New Roman"/>
              <w:bCs w:val="0"/>
              <w:kern w:val="0"/>
              <w:sz w:val="21"/>
              <w:szCs w:val="21"/>
              <w:lang w:val="en-US" w:eastAsia="zh-CN" w:bidi="ar"/>
            </w:rPr>
            <w:t>走私手法的演变趋势</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_Toc5025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4A36E58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_Toc27927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1.利用新贸易形态走私</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_Toc27927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62</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5453F30C">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kern w:val="2"/>
              <w:szCs w:val="21"/>
              <w:lang w:val="en-US" w:eastAsia="zh-CN" w:bidi="ar-SA"/>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_Toc23650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2.利用加工贸易渠道走私</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_Toc23650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63</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3BFEA6A2">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HYPERLINK \l _Toc21354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3.利用特殊监管区域走私</w:t>
          </w:r>
          <w:r>
            <w:rPr>
              <w:rFonts w:hint="default" w:ascii="Times New Roman" w:hAnsi="Times New Roman" w:eastAsia="黑体" w:cs="Times New Roman"/>
              <w:kern w:val="2"/>
              <w:szCs w:val="21"/>
              <w:lang w:val="en-US" w:eastAsia="zh-CN" w:bidi="ar-SA"/>
            </w:rPr>
            <w:tab/>
          </w:r>
          <w:r>
            <w:rPr>
              <w:rFonts w:hint="default" w:ascii="Times New Roman" w:hAnsi="Times New Roman" w:eastAsia="黑体" w:cs="Times New Roman"/>
              <w:kern w:val="2"/>
              <w:szCs w:val="21"/>
              <w:lang w:val="en-US" w:eastAsia="zh-CN" w:bidi="ar-SA"/>
            </w:rPr>
            <w:fldChar w:fldCharType="begin"/>
          </w:r>
          <w:r>
            <w:rPr>
              <w:rFonts w:hint="default" w:ascii="Times New Roman" w:hAnsi="Times New Roman" w:eastAsia="黑体" w:cs="Times New Roman"/>
              <w:kern w:val="2"/>
              <w:szCs w:val="21"/>
              <w:lang w:val="en-US" w:eastAsia="zh-CN" w:bidi="ar-SA"/>
            </w:rPr>
            <w:instrText xml:space="preserve"> PAGEREF _Toc21354 \h </w:instrText>
          </w:r>
          <w:r>
            <w:rPr>
              <w:rFonts w:hint="default" w:ascii="Times New Roman" w:hAnsi="Times New Roman" w:eastAsia="黑体" w:cs="Times New Roman"/>
              <w:kern w:val="2"/>
              <w:szCs w:val="21"/>
              <w:lang w:val="en-US" w:eastAsia="zh-CN" w:bidi="ar-SA"/>
            </w:rPr>
            <w:fldChar w:fldCharType="separate"/>
          </w:r>
          <w:r>
            <w:rPr>
              <w:rFonts w:hint="default" w:ascii="Times New Roman" w:hAnsi="Times New Roman" w:eastAsia="黑体" w:cs="Times New Roman"/>
              <w:kern w:val="2"/>
              <w:szCs w:val="21"/>
              <w:lang w:val="en-US" w:eastAsia="zh-CN" w:bidi="ar-SA"/>
            </w:rPr>
            <w:t>64</w:t>
          </w:r>
          <w:r>
            <w:rPr>
              <w:rFonts w:hint="default" w:ascii="Times New Roman" w:hAnsi="Times New Roman" w:eastAsia="黑体" w:cs="Times New Roman"/>
              <w:kern w:val="2"/>
              <w:szCs w:val="21"/>
              <w:lang w:val="en-US" w:eastAsia="zh-CN" w:bidi="ar-SA"/>
            </w:rPr>
            <w:fldChar w:fldCharType="end"/>
          </w:r>
          <w:r>
            <w:rPr>
              <w:rFonts w:hint="default" w:ascii="Times New Roman" w:hAnsi="Times New Roman" w:eastAsia="黑体" w:cs="Times New Roman"/>
              <w:kern w:val="2"/>
              <w:szCs w:val="21"/>
              <w:lang w:val="en-US" w:eastAsia="zh-CN" w:bidi="ar-SA"/>
            </w:rPr>
            <w:fldChar w:fldCharType="end"/>
          </w:r>
        </w:p>
        <w:p w14:paraId="1BC2C756">
          <w:pPr>
            <w:spacing w:before="0" w:beforeLines="0" w:after="0" w:afterLines="0" w:line="24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end"/>
          </w:r>
        </w:p>
      </w:sdtContent>
    </w:sdt>
    <w:p w14:paraId="47308542">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eastAsia" w:ascii="宋体" w:hAnsi="宋体" w:eastAsia="宋体" w:cs="宋体"/>
          <w:b/>
          <w:bCs/>
          <w:i w:val="0"/>
          <w:iCs w:val="0"/>
          <w:caps w:val="0"/>
          <w:spacing w:val="0"/>
          <w:kern w:val="2"/>
          <w:sz w:val="21"/>
          <w:szCs w:val="21"/>
          <w:shd w:val="clear" w:fill="FFFFFF"/>
          <w:lang w:val="en-US" w:eastAsia="zh-CN" w:bidi="ar-SA"/>
        </w:rPr>
        <w:sectPr>
          <w:pgSz w:w="11906" w:h="16838"/>
          <w:pgMar w:top="1440" w:right="1800" w:bottom="1440" w:left="1800" w:header="851" w:footer="992" w:gutter="0"/>
          <w:cols w:space="425" w:num="1"/>
          <w:docGrid w:type="lines" w:linePitch="312" w:charSpace="0"/>
        </w:sectPr>
      </w:pPr>
    </w:p>
    <w:p w14:paraId="77F57B3E">
      <w:pPr>
        <w:pStyle w:val="3"/>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ind w:firstLine="640" w:firstLineChars="200"/>
        <w:jc w:val="both"/>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1" w:name="_Toc8374"/>
      <w:bookmarkStart w:id="2" w:name="_Toc10790"/>
      <w:r>
        <w:rPr>
          <w:rFonts w:hint="eastAsia" w:ascii="Segoe UI" w:hAnsi="Segoe UI" w:eastAsia="Segoe UI" w:cs="Segoe UI"/>
          <w:b/>
          <w:bCs/>
          <w:i w:val="0"/>
          <w:iCs w:val="0"/>
          <w:caps w:val="0"/>
          <w:spacing w:val="0"/>
          <w:kern w:val="2"/>
          <w:sz w:val="32"/>
          <w:szCs w:val="32"/>
          <w:shd w:val="clear" w:fill="FFFFFF"/>
          <w:lang w:val="en-US" w:eastAsia="zh-CN" w:bidi="ar-SA"/>
        </w:rPr>
        <w:t>摘要</w:t>
      </w:r>
      <w:bookmarkEnd w:id="1"/>
      <w:bookmarkEnd w:id="2"/>
    </w:p>
    <w:p w14:paraId="5FDFE4F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天然鳞片石墨是全球战略性关键矿产之一，在新能源、先进制造、电子信息等领域具有不可替代的应用价值。中国作为全球最大的天然鳞片石墨生产国和出口国，在全球石墨供应链中占据核心地位。近年来，随着全球能源转型加速和新能源汽车产业蓬勃发展，天然鳞片石墨的需求量持续攀升，国际市场对其关注度显著提升。与此同时，主要经济体出于供应链安全和产业战略考量，纷纷加强对关键矿产的管控力度，中国也于2023年和2024年先后对石墨类相关物项实施了出口管制措施，并于2025年进一步将人造石墨负极材料纳入管制范围。</w:t>
      </w:r>
    </w:p>
    <w:p w14:paraId="7BB3825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ascii="Times New Roman" w:hAnsi="Times New Roman" w:eastAsia="方正仿宋_GBK"/>
          <w:kern w:val="2"/>
          <w:sz w:val="32"/>
          <w:szCs w:val="32"/>
          <w:lang w:val="en-US" w:eastAsia="en-US"/>
        </w:rPr>
        <w:t>本报告从出口管制政策、商品知识、应用领域、全球产能、主要企业及典型走私案例等维度，对天然鳞片石墨进行全面系统梳理，旨在为相关产业研究、政策制定和贸易实践提供参考依据。</w:t>
      </w:r>
      <w:bookmarkStart w:id="3" w:name="_Toc13910"/>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686E7FD8">
      <w:pPr>
        <w:pStyle w:val="3"/>
        <w:bidi w:val="0"/>
        <w:rPr>
          <w:rFonts w:hint="default"/>
          <w:lang w:val="en-US" w:eastAsia="zh-CN"/>
        </w:rPr>
      </w:pPr>
      <w:bookmarkStart w:id="4" w:name="_Toc11917"/>
      <w:r>
        <w:rPr>
          <w:rFonts w:hint="eastAsia"/>
          <w:lang w:val="en-US" w:eastAsia="zh-CN"/>
        </w:rPr>
        <w:t>一、国内外出口管制政策梳理</w:t>
      </w:r>
      <w:bookmarkEnd w:id="3"/>
      <w:bookmarkEnd w:id="4"/>
    </w:p>
    <w:p w14:paraId="1F86350C">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5" w:name="_Toc21809"/>
      <w:bookmarkStart w:id="6" w:name="_Toc19208"/>
      <w:r>
        <w:rPr>
          <w:rFonts w:hint="eastAsia" w:ascii="Times New Roman" w:hAnsi="Times New Roman" w:eastAsia="黑体" w:cs="黑体"/>
          <w:b w:val="0"/>
          <w:bCs w:val="0"/>
          <w:kern w:val="0"/>
          <w:sz w:val="32"/>
          <w:szCs w:val="32"/>
          <w:lang w:val="en-US" w:eastAsia="zh-CN" w:bidi="ar"/>
        </w:rPr>
        <w:t>（一）中国出口管制政策体系</w:t>
      </w:r>
      <w:bookmarkEnd w:id="5"/>
    </w:p>
    <w:p w14:paraId="7FC8235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7" w:name="_Toc2943"/>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出口管制法规框架</w:t>
      </w:r>
      <w:bookmarkEnd w:id="7"/>
    </w:p>
    <w:p w14:paraId="56C3554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中国对石墨类商品的出口管制建立在完善的法律体系基础之上。《中华人民共和国出口管制法》于2020年12月1日正式施行，标志着中国出口管制制度进入法治化、规范化的新阶段。该法确立了国家对两用物项、军品、核及其他与国家安全和利益相关的货物、技术、服务等物项的出口采取禁止或限制措施的基本制度，明确了出口管制管理部门、许可证管理制度、最终用户和最终用途管理、法律责任等核心要素，为石墨等关键矿产的出口管制提供了根本法律依据。</w:t>
      </w:r>
    </w:p>
    <w:p w14:paraId="6BB0F48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在《出口管制法》的统领下，商务部作为国务院出口管制主管部门，负责制定和调整出口管制物品清单、组织实施出口许可制度、对最终用户和最终用途进行管理等具体工作。</w:t>
      </w:r>
    </w:p>
    <w:p w14:paraId="46FB2AB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cs="黑体"/>
          <w:b w:val="0"/>
          <w:bCs w:val="0"/>
          <w:kern w:val="0"/>
          <w:sz w:val="32"/>
          <w:szCs w:val="32"/>
          <w:lang w:val="en-US" w:eastAsia="zh-CN" w:bidi="ar"/>
        </w:rPr>
      </w:pPr>
      <w:r>
        <w:rPr>
          <w:rFonts w:hint="default" w:ascii="Times New Roman" w:hAnsi="Times New Roman" w:eastAsia="方正仿宋_GBK"/>
          <w:kern w:val="2"/>
          <w:sz w:val="32"/>
          <w:szCs w:val="32"/>
          <w:lang w:val="en-US" w:eastAsia="zh-CN"/>
        </w:rPr>
        <w:t>《中华人民共和国货物进出口管理条例》进一步细化了货物进出口的管理规范，明确规定了限制进出口和禁止进出口货物的范围、许可条件、申请程序等内容，为石墨等特定货物的出口管理提供了操作</w:t>
      </w:r>
      <w:r>
        <w:rPr>
          <w:rFonts w:hint="default" w:cs="黑体"/>
          <w:b w:val="0"/>
          <w:bCs w:val="0"/>
          <w:kern w:val="0"/>
          <w:sz w:val="32"/>
          <w:szCs w:val="32"/>
          <w:lang w:val="en-US" w:eastAsia="zh-CN" w:bidi="ar"/>
        </w:rPr>
        <w:t>层面的制度保障。此外，《两用物项和技术进出口许可证管理办法》对涉及核、生物、化学、导弹等两用物项的进出口管理作出了详细规定，虽然石墨本身不属于传统两用物项范畴，但石墨深加工产品（如高纯石墨、球形石墨等）可能在特定应用场景下涉及两用物项管理，因此该办法的相关规定对石墨贸易同样具有参考意义。</w:t>
      </w:r>
    </w:p>
    <w:p w14:paraId="086A08B2">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8" w:name="_Toc22996"/>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2023年石墨出口管制公告</w:t>
      </w:r>
      <w:bookmarkEnd w:id="8"/>
    </w:p>
    <w:p w14:paraId="4D88FCEF">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2023年10月20日，中华人民共和国商务部与海关总署联合发布了2023年第39号公告，宣布对石墨类相关物项实施临时出口管制措施。该公告自发布之日起正式施行，管制物项主要包括高纯度（高强度）石墨、天然鳞片石墨及其制品，涉及纯度、碳含量、粒度等多项技术参数指标。根据公告要求，出口经营者应按照相关规定申请出口许可证，商务部将依法对出口申请进行审查，对国家安全、公共利益或外交政策造成不利影响的，将不予许可。</w:t>
      </w:r>
    </w:p>
    <w:p w14:paraId="4692A592">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公告明确指出，此次临时出口管制措施旨在维护国家安全和利益，履行防扩散等国际义务。公告特别强调，出口经营者不得擅自转让或处置经许可出口的石墨物项，应确保相关物项最终用于合法用途。商务部将加强对石墨出口的统计分析和动态监测，必要时对管制措施进行调整。海关作为出口管制的重要关口，负责对出口石墨物项实施单证审核、货物查验等监管措施，对违规出口行为依法予以查处。这一公告的发布，标志着中国对石墨这一关键矿产的战略属性有了更深刻的认识，管制政策从被动应对转向主动布局。</w:t>
      </w:r>
    </w:p>
    <w:p w14:paraId="1AFCA08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9" w:name="_Toc2890"/>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2024年石墨出口管制公告</w:t>
      </w:r>
      <w:bookmarkEnd w:id="9"/>
    </w:p>
    <w:p w14:paraId="3F3026E2">
      <w:pPr>
        <w:ind w:left="0" w:leftChars="0" w:firstLine="640" w:firstLineChars="200"/>
        <w:rPr>
          <w:rFonts w:hint="default" w:cs="黑体"/>
          <w:b w:val="0"/>
          <w:bCs w:val="0"/>
          <w:kern w:val="0"/>
          <w:sz w:val="32"/>
          <w:szCs w:val="32"/>
          <w:lang w:val="en-US" w:eastAsia="zh-CN" w:bidi="ar"/>
        </w:rPr>
      </w:pPr>
      <w:r>
        <w:rPr>
          <w:rFonts w:hint="default" w:ascii="Times New Roman" w:hAnsi="Times New Roman" w:eastAsia="方正仿宋_GBK"/>
          <w:kern w:val="2"/>
          <w:sz w:val="32"/>
          <w:szCs w:val="32"/>
          <w:lang w:val="en-US" w:eastAsia="zh-CN"/>
        </w:rPr>
        <w:t>在2023年临时管制措施的基础上，经过近一年的实践评估和政策优化，2024年12月3日，商务部发布了2024年第46号公告，宣布将此前实施的石墨临时出口管制措施予以正式化，并进一步明确了管制物项的具体范围和技术标准。该公告将天然鳞片石墨及其制品、球化石墨（球形石墨）、高纯石墨（高纯度石墨）正式纳入《两用物项和技术出口许可证管理目录》，明确了各</w:t>
      </w:r>
      <w:r>
        <w:rPr>
          <w:rFonts w:hint="default" w:cs="黑体"/>
          <w:b w:val="0"/>
          <w:bCs w:val="0"/>
          <w:kern w:val="0"/>
          <w:sz w:val="32"/>
          <w:szCs w:val="32"/>
          <w:lang w:val="en-US" w:eastAsia="zh-CN" w:bidi="ar"/>
        </w:rPr>
        <w:t>类石墨产品的海关商品编码归类和许可证申请要求。</w:t>
      </w:r>
    </w:p>
    <w:p w14:paraId="5826CF08">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根据2024年第46号公告的规定，出口经营者向特定国家和地区（主要是美国等西方国家）出口石墨两用物项时，应依法取得出口许可证。公告对石墨制品的界定更加精确，涵盖了以天然鳞片石墨或人造石墨为原料经过深加工制成的各类产品，包括但不限于球形石墨、高纯石墨、石墨电极、石墨模具、石墨纤维等。对于石墨原料的出口，公告明确了碳含量、粒度分布等关键指标参数，只有达到一定纯度和规格要求的鳞片石墨才被纳入管制范围。商务部表示，这一政策调整是基于维护国家安全和利益的需要，符合国际法和相关条约义务，旨在确保石墨这一战略性资源的合理利用。</w:t>
      </w:r>
    </w:p>
    <w:p w14:paraId="661AFBA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10" w:name="_Toc4344"/>
      <w:r>
        <w:rPr>
          <w:rFonts w:hint="eastAsia" w:ascii="Times New Roman" w:hAnsi="Times New Roman" w:eastAsia="方正仿宋_GBK"/>
          <w:kern w:val="2"/>
          <w:sz w:val="32"/>
          <w:szCs w:val="32"/>
          <w:lang w:val="en-US" w:eastAsia="zh-CN"/>
        </w:rPr>
        <w:t>4</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2025年石墨出口管制公告</w:t>
      </w:r>
      <w:bookmarkEnd w:id="10"/>
    </w:p>
    <w:p w14:paraId="11DE30A5">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在2024年石墨出口管制正式化的基础上，2025年中国继续完善石墨类商品的出口管制体系。2025年10月9日，商务部与海关总署联合发布了2025年第58号公告，公布对锂电池和人造石墨负极材料相关物项实施出口管制的决定，进一步扩大了管制物项范围，将人造石墨负极材料及其制造设备和技术纳入管制范畴。该公告自2025年11月8日起正式实施，标志着中国对石墨类两用物项的出口管制体系进一步完善。</w:t>
      </w:r>
    </w:p>
    <w:p w14:paraId="62FBA127">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2025年11月9日，商务部发布2025年第72号公告，公布调整实施商务部公告2024年第46号的决定。经批准，自即日起至2026年11月27日，商务部公告2024年第46号（《关于加强相关两用物项对美国出口管制的公告》）第二款暂停实施。根据该决定，对石墨两用物项向美国出口的实施更严格审查的条款暂时中止，转为实施更为灵活的管理方式。这一政策调整体现了中国在中美经贸关系中的务实态度，以及在维护国家利益的同时促进全球产业链供应链稳定的努力。</w:t>
      </w:r>
    </w:p>
    <w:p w14:paraId="0CEC8AD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11" w:name="_Toc9067"/>
      <w:r>
        <w:rPr>
          <w:rFonts w:hint="eastAsia" w:ascii="Times New Roman" w:hAnsi="Times New Roman" w:eastAsia="方正仿宋_GBK"/>
          <w:kern w:val="2"/>
          <w:sz w:val="32"/>
          <w:szCs w:val="32"/>
          <w:lang w:val="en-US" w:eastAsia="zh-CN"/>
        </w:rPr>
        <w:t>5</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出口管制政策的实施效果</w:t>
      </w:r>
      <w:bookmarkEnd w:id="11"/>
    </w:p>
    <w:p w14:paraId="6012FBA5">
      <w:pPr>
        <w:rPr>
          <w:rFonts w:hint="default"/>
          <w:lang w:val="en-US" w:eastAsia="zh-CN"/>
        </w:rPr>
      </w:pPr>
      <w:r>
        <w:rPr>
          <w:rFonts w:hint="default"/>
          <w:lang w:val="en-US" w:eastAsia="zh-CN"/>
        </w:rPr>
        <w:t>中国石墨出口管制政策的实施对国际市场产生了显著影响。根据中国海关总署发布的贸易统计数据，2024年中国天然石墨出口量呈现明显下降态势。全年累计出口天然石墨19.04万吨，同比下降14.18%，其中鳞片天然石墨出口6.40万吨，同比大幅下降28.33%，球化天然石墨出口4.20万吨，同比下降24.68%。2025年以来，随着出口管制政策进一步明确和实施，市场预期趋于稳定，石墨出口呈现恢复性增长。2025年1-9月中国天然石墨出口总量约15.24万吨，较2024年同期增长约10.45%，其中鳞片天然石墨出口量7.37万吨，同比增长67.06%，球化天然石墨出口量3.74万吨，同比增长28.68%。这一数据变化表明，出口管制政策在规范石墨出口秩序、引导资源合理配置方面发挥了积极作用。</w:t>
      </w:r>
    </w:p>
    <w:p w14:paraId="564B9C7D">
      <w:pPr>
        <w:rPr>
          <w:rFonts w:hint="default"/>
          <w:lang w:val="en-US" w:eastAsia="zh-CN"/>
        </w:rPr>
      </w:pPr>
      <w:r>
        <w:rPr>
          <w:rFonts w:hint="default"/>
          <w:lang w:val="en-US" w:eastAsia="zh-CN"/>
        </w:rPr>
        <w:t>从出口目的地结构看，2024年中国天然石墨出口排名前三的国家和地区分别为：日本8.35万吨（占出口总量的43.8%）、韩国3.29万吨（占17.3%）、美国1.61万吨（占8.5%），三大目的地合计占比接近70%。2025年出口目的地结构有所调整，2025年1-9月排名前三的分别为：日本4.77万吨（31.3%）、印度尼西亚3.73万吨（24.5%）、韩国2.59万吨（17.0%）。印度尼西亚出口量的大幅增长主要反映了中国企业在当地布局球形石墨加工产能的趋势。</w:t>
      </w:r>
    </w:p>
    <w:p w14:paraId="06755875">
      <w:pPr>
        <w:rPr>
          <w:rFonts w:hint="default"/>
          <w:lang w:val="en-US" w:eastAsia="zh-CN"/>
        </w:rPr>
      </w:pPr>
      <w:r>
        <w:rPr>
          <w:rFonts w:hint="default"/>
          <w:lang w:val="en-US" w:eastAsia="zh-CN"/>
        </w:rPr>
        <w:t>出口管制政策的实施也对国内石墨产业产生了深远影响。一方面，政策强化了市场对石墨资源稀缺性和战略价值的认知，推动石墨价格保持在相对合理区间，保障了国内石墨生产企业的合理利润空间。另一方面，出口管制措施倒逼国内石墨产业加快技术升级和结构调整步伐，高附加值深加工产品的研发和生产受到更多关注，有利于提升中国在全球石墨产业链中的地位和话语权。从长期来看，随着全球新能源汽车、储能等产业的持续发展，石墨作为关键电池材料的战略地位将进一步凸显，中国的出口管制政策将持续发挥维护国家利益和全球供应链稳定的重要作用。</w:t>
      </w:r>
    </w:p>
    <w:p w14:paraId="1D540C2A">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12" w:name="_Toc27785"/>
      <w:r>
        <w:rPr>
          <w:rFonts w:hint="eastAsia" w:ascii="Times New Roman" w:hAnsi="Times New Roman" w:eastAsia="黑体" w:cs="黑体"/>
          <w:b w:val="0"/>
          <w:bCs w:val="0"/>
          <w:kern w:val="0"/>
          <w:sz w:val="32"/>
          <w:szCs w:val="32"/>
          <w:lang w:val="en-US" w:eastAsia="zh-CN" w:bidi="ar"/>
        </w:rPr>
        <w:t>（二）国际出口管制与限制措施</w:t>
      </w:r>
      <w:bookmarkEnd w:id="12"/>
    </w:p>
    <w:p w14:paraId="37F79FB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13" w:name="_Toc3837"/>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美国关键矿产政策</w:t>
      </w:r>
      <w:bookmarkEnd w:id="13"/>
    </w:p>
    <w:p w14:paraId="2F491201">
      <w:pPr>
        <w:bidi w:val="0"/>
        <w:rPr>
          <w:rFonts w:hint="eastAsia"/>
          <w:lang w:val="en-US" w:eastAsia="zh-CN"/>
        </w:rPr>
      </w:pPr>
      <w:r>
        <w:rPr>
          <w:rFonts w:hint="eastAsia"/>
          <w:lang w:val="en-US" w:eastAsia="zh-CN"/>
        </w:rPr>
        <w:t>美国政府对天然石墨的战略重视程度在近年来显著提升。拜登政府于2021年2月24日签署第14017号行政令《美国的供应链》，启动关键矿产供应链审查。2022年2月22日，白宫宣布关键矿物供应链投资计划；2022年3月31日，总统依据《国防生产法》作出关键材料用于大容量电池的决定。美国地质调查局（USGS）于2018年首次发布关键矿产清单时已将天然石墨列入其中，2022年更新清单时新增镍和锌，移除氦、钾、铼、锶，标志着石墨在美国国家安全战略中的地位得到正式确认。</w:t>
      </w:r>
    </w:p>
    <w:p w14:paraId="5F88CE68">
      <w:pPr>
        <w:rPr>
          <w:rFonts w:hint="eastAsia"/>
          <w:lang w:val="en-US" w:eastAsia="zh-CN"/>
        </w:rPr>
      </w:pPr>
      <w:r>
        <w:rPr>
          <w:rFonts w:hint="eastAsia"/>
          <w:lang w:val="en-US" w:eastAsia="zh-CN"/>
        </w:rPr>
        <w:t>2024年至2025年，美国政府进一步强化了对关键矿产的政策支持力度，同时对中国石墨产品实施了一系列贸易限制措施。2025年5月，美国商务部对来自中国的活性阳极材料（涵盖天然石墨、人造石墨等产品）反补贴调查作出初步裁定，拟加征6.5%的关税，部分企业被征收超过700%的高额税率。2025年7月，美国商务部进一步宣布对从中国进口的阳极级石墨初步加征93.5%的反倾销税，加上此前已有的反补贴税、30%对华通用关税及25%的"301条款"关税，实际综合税率高达160%，即日生效。受影响产品为含碳量≥90%的天然/合成/混合石墨，覆盖2023年价值约3.5亿美元的进口商品。</w:t>
      </w:r>
    </w:p>
    <w:p w14:paraId="1487AB41">
      <w:pPr>
        <w:rPr>
          <w:rFonts w:hint="eastAsia"/>
          <w:lang w:val="en-US" w:eastAsia="zh-CN"/>
        </w:rPr>
      </w:pPr>
      <w:r>
        <w:rPr>
          <w:rFonts w:hint="eastAsia"/>
          <w:lang w:val="en-US" w:eastAsia="zh-CN"/>
        </w:rPr>
        <w:t>美国本土石墨产业发展受到高度关注。特斯拉、松下、LG等电池制造商对该关税政策表示强烈反对，指出美国本土石墨在质量与产能上均无法满足需求。根据美国地质调查局数据，2024年美国进口天然石墨约7.39万吨、人造石墨约11.58万吨。2021-2024年期间，从中国进口天然石墨占比约46%。2024年天然石墨和人造石墨进口额合计约3.6亿美元。美国本土最大石墨企业Westwater Resources的工厂预计2026年产能仅1.25万吨，不足中国单月出口量的十分之一。美国政府表示，将在2025年12月5日前公布最终裁定，这一贸易政策将深刻影响全球石墨贸易格局。</w:t>
      </w:r>
    </w:p>
    <w:p w14:paraId="0F36DBA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14" w:name="_Toc28840"/>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欧盟关键原材料战略</w:t>
      </w:r>
      <w:bookmarkEnd w:id="14"/>
    </w:p>
    <w:p w14:paraId="332479C9">
      <w:pPr>
        <w:rPr>
          <w:rFonts w:hint="eastAsia"/>
          <w:lang w:val="en-US" w:eastAsia="zh-CN"/>
        </w:rPr>
      </w:pPr>
      <w:r>
        <w:rPr>
          <w:rFonts w:hint="eastAsia"/>
          <w:lang w:val="en-US" w:eastAsia="zh-CN"/>
        </w:rPr>
        <w:t>欧盟委员会于2020年发布《关键原材料韧性战略》，明确将石墨列为关键原材料之一。2024年3月，欧盟通过了《关键原材料法案》，为欧盟确保关键原材料的安全和可持续供应建立了全面框架。该法案设定了到2030年欧盟内部开采、回收和加工关键原材料的具体目标，其中原生关键原材料的年开采量应达到国内年消费量的10%，关键原材料的年加工量应达到国内年消费量的40%，关键原材料的年回收量应达到国内年消费量的25%。石墨作为战略性关键原材料，被纳入法案的重点关注范畴。</w:t>
      </w:r>
    </w:p>
    <w:p w14:paraId="091619F2">
      <w:pPr>
        <w:rPr>
          <w:rFonts w:hint="eastAsia"/>
          <w:lang w:val="en-US" w:eastAsia="zh-CN"/>
        </w:rPr>
      </w:pPr>
      <w:r>
        <w:rPr>
          <w:rFonts w:hint="eastAsia"/>
          <w:lang w:val="en-US" w:eastAsia="zh-CN"/>
        </w:rPr>
        <w:t>在石墨供应方面，欧盟高度依赖进口，尤其是来自中国的进口。根据欧盟统计局数据，2024年欧盟从中国进口天然石墨占比约38%，但在球形石墨等加工产品方面依赖度更高。为降低供应风险，欧盟积极推进与加拿大、澳大利亚、挪威等国家的关键原材料贸易合作，同时加大对本土石墨矿床勘探和开采项目的支持力度。瑞典北部的基律纳地区被发现拥有欧洲最大的石墨矿藏之一，欧盟正在推动该矿区的开发建设。此外，欧盟还通过《企业可持续发展尽职调查指令》等政策工具，要求在欧盟运营的企业对其供应链中的环境和人权问题进行尽职调查，这将对包括石墨在内的进口原材料的合规性提出更高要求。</w:t>
      </w:r>
    </w:p>
    <w:p w14:paraId="22A91FC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15" w:name="_Toc26948"/>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其他国家政策动向</w:t>
      </w:r>
      <w:bookmarkEnd w:id="15"/>
    </w:p>
    <w:p w14:paraId="0DF7F095">
      <w:pPr>
        <w:rPr>
          <w:rFonts w:hint="eastAsia"/>
          <w:lang w:val="en-US" w:eastAsia="zh-CN"/>
        </w:rPr>
      </w:pPr>
      <w:r>
        <w:rPr>
          <w:rFonts w:hint="eastAsia"/>
          <w:lang w:val="en-US" w:eastAsia="zh-CN"/>
        </w:rPr>
        <w:t>日本作为全球主要的石墨消费国之一，高度重视石墨供应安全。日本经济产业省高度重视石墨等稀有金属的供应安全，于2023年1月发布《关于确保重要矿产品稳定供应的措施方针》，将石墨等列为重点保障对象。日本政府通过税收优惠、补贴支持等方式鼓励国内企业参与海外石墨资源开发，同时建立了国家稀有金属储备制度，要求企业和政府共同储备可供一定周期消费的稀有金属库存。在技术创新方面，日本政府大力支持高性能负极材料、新一代电池技术的研发，以减少对传统石墨材料的依赖或提高石墨利用效率。</w:t>
      </w:r>
    </w:p>
    <w:p w14:paraId="12B82C98">
      <w:pPr>
        <w:rPr>
          <w:rFonts w:hint="eastAsia"/>
          <w:lang w:val="en-US" w:eastAsia="zh-CN"/>
        </w:rPr>
      </w:pPr>
      <w:r>
        <w:rPr>
          <w:rFonts w:hint="eastAsia"/>
          <w:lang w:val="en-US" w:eastAsia="zh-CN"/>
        </w:rPr>
        <w:t>韩国政府同样将石墨视为战略物资。2023年，韩国产业通商资源部发布了《二次电池产业创新战略》，明确提出要构建稳定的电池材料供应体系，降低对特定国家的原材料依赖。韩国计划到2030年将战略矿产进口依赖度从80%降至50%，并将回收率从2%提升至20%。韩国政府还积极推动与澳大利亚、加拿大、智利等资源丰富国家的合作，建立多元化的石墨供应渠道。此外，韩国海关和贸易监管机构加强了对石墨进口来源的审查和追溯管理，确保进口石墨符合相关法规要求。</w:t>
      </w:r>
    </w:p>
    <w:p w14:paraId="238F7CDC">
      <w:pPr>
        <w:rPr>
          <w:rFonts w:hint="eastAsia"/>
          <w:lang w:val="en-US" w:eastAsia="zh-CN"/>
        </w:rPr>
      </w:pPr>
      <w:r>
        <w:rPr>
          <w:rFonts w:hint="eastAsia"/>
          <w:lang w:val="en-US" w:eastAsia="zh-CN"/>
        </w:rPr>
        <w:t>澳大利亚联邦政府于2022年发布了《澳大利亚关键矿物战略》，将石墨列为重点发展的24种关键矿物之一。澳大利亚拥有丰富的石墨资源储量，主要分布在塔斯马尼亚州和西澳大利亚州。澳大利亚政府通过“关键矿物开发基金”等机制，为本土石墨矿项目提供资金支持，鼓励将澳大利亚打造为全球领先的关键矿物供应国。2024年，澳大利亚与美国、英国、日本、韩国等国签署了多项关键矿产合作协议，石墨被列为重点合作领域之一。澳大利亚的政策导向表明，该国正在积极利用自身资源优势，在全球石墨供应链重构中寻求战略机遇。</w:t>
      </w:r>
    </w:p>
    <w:p w14:paraId="09C37085">
      <w:pPr>
        <w:pStyle w:val="3"/>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jc w:val="both"/>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16" w:name="_Toc31882"/>
      <w:r>
        <w:rPr>
          <w:rFonts w:hint="eastAsia" w:cs="Segoe UI"/>
          <w:b/>
          <w:bCs/>
          <w:i w:val="0"/>
          <w:iCs w:val="0"/>
          <w:caps w:val="0"/>
          <w:spacing w:val="0"/>
          <w:kern w:val="2"/>
          <w:sz w:val="32"/>
          <w:szCs w:val="32"/>
          <w:shd w:val="clear" w:fill="FFFFFF"/>
          <w:lang w:val="en-US" w:eastAsia="zh-CN" w:bidi="ar-SA"/>
        </w:rPr>
        <w:t>二</w:t>
      </w:r>
      <w:r>
        <w:rPr>
          <w:rFonts w:hint="eastAsia" w:ascii="Segoe UI" w:hAnsi="Segoe UI" w:eastAsia="Segoe UI" w:cs="Segoe UI"/>
          <w:b/>
          <w:bCs/>
          <w:i w:val="0"/>
          <w:iCs w:val="0"/>
          <w:caps w:val="0"/>
          <w:spacing w:val="0"/>
          <w:kern w:val="2"/>
          <w:sz w:val="32"/>
          <w:szCs w:val="32"/>
          <w:shd w:val="clear" w:fill="FFFFFF"/>
          <w:lang w:val="en-US" w:eastAsia="zh-CN" w:bidi="ar-SA"/>
        </w:rPr>
        <w:t>、天然鳞片石墨相关商品知识</w:t>
      </w:r>
      <w:bookmarkEnd w:id="16"/>
    </w:p>
    <w:p w14:paraId="2DF9D6C5">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17" w:name="_Toc2459"/>
      <w:r>
        <w:rPr>
          <w:rFonts w:hint="eastAsia"/>
          <w:lang w:val="en-US" w:eastAsia="zh-CN"/>
        </w:rPr>
        <w:t>（一）</w:t>
      </w:r>
      <w:r>
        <w:rPr>
          <w:rFonts w:hint="eastAsia" w:ascii="Times New Roman" w:hAnsi="Times New Roman" w:eastAsia="黑体" w:cs="黑体"/>
          <w:b w:val="0"/>
          <w:bCs w:val="0"/>
          <w:kern w:val="0"/>
          <w:sz w:val="32"/>
          <w:szCs w:val="32"/>
          <w:lang w:val="en-US" w:eastAsia="zh-CN" w:bidi="ar"/>
        </w:rPr>
        <w:t>天然鳞片石墨的基本概念</w:t>
      </w:r>
      <w:bookmarkEnd w:id="17"/>
    </w:p>
    <w:p w14:paraId="64C57D0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18" w:name="_Toc4911"/>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定义与特征</w:t>
      </w:r>
      <w:bookmarkEnd w:id="18"/>
    </w:p>
    <w:p w14:paraId="274C07FA">
      <w:pPr>
        <w:rPr>
          <w:rFonts w:hint="default"/>
          <w:lang w:val="en-US" w:eastAsia="zh-CN"/>
        </w:rPr>
      </w:pPr>
      <w:r>
        <w:rPr>
          <w:rFonts w:hint="default"/>
          <w:lang w:val="en-US" w:eastAsia="zh-CN"/>
        </w:rPr>
        <w:t>天然鳞片石墨（Natural Flake Graphite）是指自然形成的、具有明显鳞片状结晶构造的石墨矿物。其英文名称为"Natural Flake Graphite"，在矿物学分类中属于碳的同素异形体之一，化学分子式为C，理论碳含量为100%，但自然界中开采的天然鳞片石墨通常含有少量的挥发分、灰分和其他杂质，碳含量一般在80%至99%之间（USGS Mineral Commodity Summaries, 2025）。天然鳞片石墨最显著的特征是其独特的片状晶体结构，石墨晶体呈六方晶系层状排列，每一层内的碳原子以共价键连接形成牢固的平面结构，而层与层之间则通过较弱的范德华力相结合。这种特殊的晶体结构赋予了天然鳞片石墨一系列独特的物理化学性质。</w:t>
      </w:r>
    </w:p>
    <w:p w14:paraId="5927B586">
      <w:pPr>
        <w:rPr>
          <w:rFonts w:hint="default"/>
          <w:lang w:val="en-US" w:eastAsia="zh-CN"/>
        </w:rPr>
      </w:pPr>
      <w:r>
        <w:rPr>
          <w:rFonts w:hint="default"/>
          <w:lang w:val="en-US" w:eastAsia="zh-CN"/>
        </w:rPr>
        <w:t>从外观形态看，天然鳞片石墨呈深灰黑色或钢灰色，具有金属光泽或不染污手的光滑手感。其结晶程度随矿床类型和成矿条件的不同而有所差异，结晶程度越好的鳞片石墨，片径越大，纯度越高，应用价值也越大。根据鳞片大小和纯度不同，天然鳞片石墨可分为不同等级：大型鳞片（粒径大于180μm，即+80目）主要用于生产高纯石墨、柔性石墨、膨胀石墨等产品；中型鳞片（粒径在150至180μm之间，即-80+100目）可用于生产中等规格的石墨制品；小型鳞片（粒径小于150μm，即-100目）则多用于生产球形石墨、铅笔芯、润滑剂等产品。</w:t>
      </w:r>
    </w:p>
    <w:p w14:paraId="15908762">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19" w:name="_Toc5066"/>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成因与分布</w:t>
      </w:r>
      <w:bookmarkEnd w:id="19"/>
    </w:p>
    <w:p w14:paraId="19DA0AEC">
      <w:pPr>
        <w:ind w:left="0" w:leftChars="0" w:firstLine="640" w:firstLineChars="200"/>
        <w:rPr>
          <w:rFonts w:hint="default"/>
          <w:lang w:val="en-US" w:eastAsia="zh-CN"/>
        </w:rPr>
      </w:pPr>
      <w:r>
        <w:rPr>
          <w:rFonts w:hint="default"/>
          <w:lang w:val="en-US" w:eastAsia="zh-CN"/>
        </w:rPr>
        <w:t>天然鳞片石墨的形成需要经历复杂的地质作用过程，主要通过三种途径形成：一是区域变质作用，即富含碳质的沉积岩（如煤系地层、碳质页岩）在区域变质过程中，碳质物质发生重结晶和石墨化作用形成石墨矿床，这是世界上大多数大型石墨矿床的主要成因类型；二是接触变质作用，即岩浆岩侵入富含碳质的围岩时，岩浆带来的热量和化学成分促使围岩中的碳质发生石墨化，形成接触变质型石墨矿床；三是岩浆结晶作用，即在特定条件下，石墨直接从岩浆中结晶形成岩浆型石墨矿床，这种成因类型的石墨矿床较为罕见。</w:t>
      </w:r>
    </w:p>
    <w:p w14:paraId="3B7A5064">
      <w:pPr>
        <w:ind w:left="0" w:leftChars="0" w:firstLine="640" w:firstLineChars="200"/>
        <w:rPr>
          <w:rFonts w:hint="default"/>
          <w:lang w:val="en-US" w:eastAsia="zh-CN"/>
        </w:rPr>
      </w:pPr>
      <w:r>
        <w:rPr>
          <w:rFonts w:hint="default"/>
          <w:lang w:val="en-US" w:eastAsia="zh-CN"/>
        </w:rPr>
        <w:t>全球天然鳞片石墨矿床主要分布在以下几个地区：从洲际分布看，亚洲的石墨储量最为丰富，主要集中在中国、越南、印度、朝鲜等国；欧洲的石墨储量次之，主要分布在乌克兰、挪威、德国等国；非洲的莫桑比克、马达加斯加、坦桑尼亚等国拥有一定规模的石墨矿藏；北美洲的石墨矿床主要分布在美国和加拿大；南美洲的巴西是重要的石墨生产国；澳大利亚也是新兴的石墨产地。从成矿时代看，天然鳞片石墨主要形成于前寒武纪至古生代的地质历史时期，这一时期形成的古老变质岩系是全球石墨矿床的主要赋存层位。</w:t>
      </w:r>
    </w:p>
    <w:p w14:paraId="459AD65A">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eastAsia" w:cs="黑体"/>
          <w:b w:val="0"/>
          <w:bCs w:val="0"/>
          <w:kern w:val="0"/>
          <w:sz w:val="32"/>
          <w:szCs w:val="32"/>
          <w:lang w:val="en-US" w:eastAsia="zh-CN" w:bidi="ar"/>
        </w:rPr>
      </w:pPr>
      <w:bookmarkStart w:id="20" w:name="_Toc27362"/>
      <w:r>
        <w:rPr>
          <w:rFonts w:hint="eastAsia"/>
          <w:lang w:val="en-US" w:eastAsia="zh-CN"/>
        </w:rPr>
        <w:t>（二）</w:t>
      </w:r>
      <w:r>
        <w:rPr>
          <w:rFonts w:hint="eastAsia" w:cs="黑体"/>
          <w:b w:val="0"/>
          <w:bCs w:val="0"/>
          <w:kern w:val="0"/>
          <w:sz w:val="32"/>
          <w:szCs w:val="32"/>
          <w:lang w:val="en-US" w:eastAsia="zh-CN" w:bidi="ar"/>
        </w:rPr>
        <w:t>人造石墨与天然石墨的对比</w:t>
      </w:r>
      <w:bookmarkEnd w:id="20"/>
    </w:p>
    <w:p w14:paraId="6C8C23A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21" w:name="_Toc2062"/>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基本概念区分</w:t>
      </w:r>
      <w:bookmarkEnd w:id="21"/>
    </w:p>
    <w:p w14:paraId="70001D63">
      <w:pPr>
        <w:rPr>
          <w:rFonts w:hint="default"/>
          <w:lang w:val="en-US" w:eastAsia="zh-CN"/>
        </w:rPr>
      </w:pPr>
      <w:r>
        <w:rPr>
          <w:rFonts w:hint="default"/>
          <w:lang w:val="en-US" w:eastAsia="zh-CN"/>
        </w:rPr>
        <w:t>石墨可分为天然石墨（Natural Graphite）和人造石墨（Synthetic Graphite）两大类，这一区分在贸易统计、产业研究和市场分析中具有重要意义。天然石墨是从自然界直接开采获得的石墨矿物，按照形态特征可分为鳞片石墨和隐晶质石墨（土状石墨）两种；人造石墨则是以碳质原料（如石油焦、针状焦、沥青焦等）为前驱体，通过高温石墨化处理工艺人工制成的石墨材料。从化学成分看，天然石墨和人造石墨的主要成分都是碳，但由于原料来源和生产工艺的差异，两者在物理性能、化学性质和应用领域上存在一定差异。</w:t>
      </w:r>
    </w:p>
    <w:p w14:paraId="19731519">
      <w:pPr>
        <w:rPr>
          <w:rFonts w:hint="default"/>
          <w:lang w:val="en-US" w:eastAsia="zh-CN"/>
        </w:rPr>
      </w:pPr>
      <w:r>
        <w:rPr>
          <w:rFonts w:hint="default"/>
          <w:lang w:val="en-US" w:eastAsia="zh-CN"/>
        </w:rPr>
        <w:t>在贸易统计中，天然石墨与人造石墨分别对应不同的海关商品编码。根据《中华人民共和国海关进出口税则》，天然石墨（编码2546.1000、2546.2000）与人造石墨（编码3801.1000）在税则中分列，需要分别进行统计和监管。在锂电池负极材料领域，人造石墨和天然石墨都是重要的原材料来源，但两者在产品性能和成本结构上各有特点：人造石墨的优势在于产品批次稳定性好、容量分布均匀、一致性高，但其生产成本也相对较高；天然石墨的优势在于成本相对较低、资源可获取性好，但在产品性能一致性和稳定性控制方面存在一定挑战。</w:t>
      </w:r>
    </w:p>
    <w:p w14:paraId="6BF2DCE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22" w:name="_Toc417"/>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性能与应用差异</w:t>
      </w:r>
      <w:bookmarkEnd w:id="22"/>
    </w:p>
    <w:p w14:paraId="53168FB5">
      <w:pPr>
        <w:rPr>
          <w:rFonts w:hint="default"/>
          <w:lang w:val="en-US" w:eastAsia="zh-CN"/>
        </w:rPr>
      </w:pPr>
      <w:r>
        <w:rPr>
          <w:rFonts w:hint="default"/>
          <w:lang w:val="en-US" w:eastAsia="zh-CN"/>
        </w:rPr>
        <w:t>从物理性能对比看，天然鳞片石墨和人造石墨在晶体结构上具有相似性（六方晶系层状结构），但在具体参数上存在差异。人造石墨的结晶度通常高于天然石墨，石墨化度（石墨化程度）可达99%以上，而天然石墨的石墨化度一般在80%至95%之间。人造石墨的粒度分布可以通过生产工艺精确控制，产品一致性较好；天然石墨的粒度分布则受矿石性质影响，批次间可能存在一定波动。在电化学性能方面，用于锂离子电池负极材料时，人造石墨的首次充放电效率通常略高于天然石墨，循环寿命表现也更为稳定；天然石墨的容量发挥稍高，但膨胀率较大，对电解液的兼容性要求更高。</w:t>
      </w:r>
    </w:p>
    <w:p w14:paraId="014A3297">
      <w:pPr>
        <w:rPr>
          <w:rFonts w:hint="default"/>
          <w:lang w:val="en-US" w:eastAsia="zh-CN"/>
        </w:rPr>
      </w:pPr>
      <w:r>
        <w:rPr>
          <w:rFonts w:hint="default"/>
          <w:lang w:val="en-US" w:eastAsia="zh-CN"/>
        </w:rPr>
        <w:t>从应用领域看，人造石墨主要用于对产品性能要求较高的中高端锂电池负极材料、高端石墨电极、石墨模具、精密碳纤维制品等领域；天然石墨则广泛应用于中低端锂电池负极材料、铅笔芯、润滑剂、涂料、耐火材料、膨胀石墨、柔性石墨等众多领域。近年来，随着天然石墨提纯加工技术的进步和低成本球形化工艺的成熟，天然石墨在锂电池负极材料市场的应用比例持续提升。值得注意的是，无论是天然石墨还是人造石墨，最终产品中可能同时包含两种来源的原料，通过配比调整实现性能与成本的平衡。</w:t>
      </w:r>
    </w:p>
    <w:p w14:paraId="06E8B5F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23" w:name="_Toc14422"/>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市场格局与价格走势</w:t>
      </w:r>
      <w:bookmarkEnd w:id="23"/>
    </w:p>
    <w:p w14:paraId="49D68046">
      <w:pPr>
        <w:ind w:left="0" w:leftChars="0" w:firstLine="640" w:firstLineChars="200"/>
        <w:rPr>
          <w:rFonts w:hint="default"/>
          <w:lang w:val="en-US" w:eastAsia="zh-CN"/>
        </w:rPr>
      </w:pPr>
      <w:r>
        <w:rPr>
          <w:rFonts w:hint="default"/>
          <w:lang w:val="en-US" w:eastAsia="zh-CN"/>
        </w:rPr>
        <w:t>从全球市场格局看，中国是天然石墨的最大生产国和出口国，也是人造石墨的最大生产国和消费国。根据USGS最新数据，2025年全球天然石墨产量约180万吨，同比增长约16%，其中中国产量约140万吨，占全球总产量的约78%；莫桑比克产量约6万吨，巴西产量约6.5万吨，马达加斯加产量约8万吨，坦桑尼亚产量约7.5万吨，成为重要的新兴供应来源。全球天然石墨储量约3.1亿吨，主要分布在中国（约1亿吨）、巴西（约7400万吨）、莫桑比克（约2500万吨）、马达加斯加（约2700万吨）等国家。人造石墨方面，全球产能主要集中在亚洲地区，中国、日本、韩国是主要生产国，其中中国的人造石墨产能和产量均居世界首位。从贸易流向看，天然石墨的主要出口国为中国、巴西、莫桑比克等，主要进口国和地区为日本、韩国、美国、德国等发达国家。</w:t>
      </w:r>
    </w:p>
    <w:p w14:paraId="7BD7A2E5">
      <w:pPr>
        <w:ind w:left="0" w:leftChars="0" w:firstLine="640" w:firstLineChars="200"/>
        <w:rPr>
          <w:rFonts w:hint="default"/>
          <w:lang w:val="en-US" w:eastAsia="zh-CN"/>
        </w:rPr>
      </w:pPr>
      <w:r>
        <w:rPr>
          <w:rFonts w:hint="default"/>
          <w:lang w:val="en-US" w:eastAsia="zh-CN"/>
        </w:rPr>
        <w:t>在价格走势方面，天然石墨与人造石墨的市场价格存在明显差异。天然石墨价格受矿石品位、鳞片大小、纯度等级等因素影响较大，高品位大鳞片石墨价格显著高于低品位细鳞片石墨。2020年以来，随着新能源汽车产业快速发展拉动负极材料需求增长，天然石墨价格呈现波动上行态势。2022年至2023年期间，受上游矿端供应紧张和下游需求旺盛的双重影响，天然石墨价格一度达到阶段性高点。2024年至2025年受中国出口管制政策调整、部分国家新增产能释放以及国际贸易摩擦等因素影响，石墨市场价格出现阶段性波动，市场观望情绪加重。人造石墨价格走势与天然石墨大体一致，但由于其原料来源和工艺特点，价格波动幅度相对较小。</w:t>
      </w:r>
    </w:p>
    <w:p w14:paraId="02CD702E">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eastAsia" w:cs="黑体"/>
          <w:b w:val="0"/>
          <w:bCs w:val="0"/>
          <w:kern w:val="0"/>
          <w:sz w:val="32"/>
          <w:szCs w:val="32"/>
          <w:lang w:val="en-US" w:eastAsia="zh-CN" w:bidi="ar"/>
        </w:rPr>
      </w:pPr>
      <w:bookmarkStart w:id="24" w:name="_Toc9693"/>
      <w:r>
        <w:rPr>
          <w:rFonts w:hint="eastAsia"/>
          <w:lang w:val="en-US" w:eastAsia="zh-CN"/>
        </w:rPr>
        <w:t>（三）</w:t>
      </w:r>
      <w:r>
        <w:rPr>
          <w:rFonts w:hint="eastAsia" w:cs="黑体"/>
          <w:b w:val="0"/>
          <w:bCs w:val="0"/>
          <w:kern w:val="0"/>
          <w:sz w:val="32"/>
          <w:szCs w:val="32"/>
          <w:lang w:val="en-US" w:eastAsia="zh-CN" w:bidi="ar"/>
        </w:rPr>
        <w:t>石墨深加工产品</w:t>
      </w:r>
      <w:bookmarkEnd w:id="24"/>
    </w:p>
    <w:p w14:paraId="5E368E3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25" w:name="_Toc29831"/>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球形石墨（球化石墨）</w:t>
      </w:r>
      <w:bookmarkEnd w:id="25"/>
    </w:p>
    <w:p w14:paraId="0101B4ED">
      <w:pPr>
        <w:ind w:left="0" w:leftChars="0" w:firstLine="640" w:firstLineChars="200"/>
        <w:rPr>
          <w:rFonts w:hint="default"/>
          <w:lang w:val="en-US" w:eastAsia="zh-CN"/>
        </w:rPr>
      </w:pPr>
      <w:r>
        <w:rPr>
          <w:rFonts w:hint="default"/>
          <w:lang w:val="en-US" w:eastAsia="zh-CN"/>
        </w:rPr>
        <w:t>球形石墨（Spherical Graphite，简称SPG）是天然鳞片石墨或人造石墨经球形化处理制成的球状石墨颗粒，是生产锂电池负极材料的关键前驱体。球形石墨的制备工艺主要包括机械球化法和气流粉碎法两种：机械球化法利用球磨机对石墨颗粒进行高速摩擦碰撞，使其逐渐圆润化；气流粉碎法则利用高速气流携带石墨颗粒相互碰撞和摩擦，实现球形化处理。球形石墨的主要技术指标包括球形度（颗粒接近球形的程度）、振实密度、比表面积、粒径分布等，这些指标直接影响其作为负极材料的电化学性能表现。</w:t>
      </w:r>
    </w:p>
    <w:p w14:paraId="58AB5A5E">
      <w:pPr>
        <w:ind w:left="0" w:leftChars="0" w:firstLine="640" w:firstLineChars="200"/>
        <w:rPr>
          <w:rFonts w:hint="default"/>
          <w:lang w:val="en-US" w:eastAsia="zh-CN"/>
        </w:rPr>
      </w:pPr>
      <w:r>
        <w:rPr>
          <w:rFonts w:hint="default"/>
          <w:lang w:val="en-US" w:eastAsia="zh-CN"/>
        </w:rPr>
        <w:t>球形石墨行业的产业链结构清晰：上游为天然鳞片石墨或人造石墨原料供应商，中游为球形石墨加工企业，下游为负极材料生产企业，最终应用于锂离子电池。从全球球形石墨市场格局看，中国企业占据主导地位，贝特瑞、杉杉股份、璞泰来等企业均具备大规模的球形石墨生产能力。在球形石墨贸易方面，中国既是主要生产国也是主要出口国，但近年来随着日韩负极材料企业在东南亚等地区的产能布局，东南亚地区开始成为球形石墨的重要生产基地。根据中国海关总署统计，2024年中国球化天然石墨出口4.20万吨，同比下降24.68%；2025年1-9月球化天然石墨出口量3.74万吨，同比增长28.68%，显示出口管制政策调整后出口市场有所恢复。</w:t>
      </w:r>
    </w:p>
    <w:p w14:paraId="6F35593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26" w:name="_Toc7736"/>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高纯石墨</w:t>
      </w:r>
      <w:bookmarkEnd w:id="26"/>
    </w:p>
    <w:p w14:paraId="3D3E65B5">
      <w:pPr>
        <w:ind w:left="0" w:leftChars="0" w:firstLine="640" w:firstLineChars="200"/>
        <w:rPr>
          <w:rFonts w:hint="default"/>
          <w:lang w:val="en-US" w:eastAsia="zh-CN"/>
        </w:rPr>
      </w:pPr>
      <w:r>
        <w:rPr>
          <w:rFonts w:hint="default"/>
          <w:lang w:val="en-US" w:eastAsia="zh-CN"/>
        </w:rPr>
        <w:t>高纯石墨是指碳含量达到99.9%以上的高端石墨材料，根据碳含量和杂质含量的不同，可进一步细分为高纯石墨（碳含量≥99.9%）、超高纯石墨（碳含量≥99.99%）等不同等级。高纯石墨的生产需要经过多道提纯工艺，主要方法包括高温提纯法、化学提纯法、物理提纯法等。高温提纯法利用石墨与其他杂质元素的沸点差异，在高温（通常超过2500℃）条件下使杂质挥发，从而提高石墨纯度；化学提纯法利用酸碱等化学试剂与杂质反应生成可溶性化合物，再经洗涤干燥得到高纯石墨产品；物理提纯法则利用电磁选、重选等物理方法分离去除石墨中的磁性杂质和硅酸盐类杂质。</w:t>
      </w:r>
    </w:p>
    <w:p w14:paraId="7AFC1922">
      <w:pPr>
        <w:ind w:left="0" w:leftChars="0" w:firstLine="640" w:firstLineChars="200"/>
        <w:rPr>
          <w:rFonts w:hint="default"/>
          <w:lang w:val="en-US" w:eastAsia="zh-CN"/>
        </w:rPr>
      </w:pPr>
      <w:r>
        <w:rPr>
          <w:rFonts w:hint="default"/>
          <w:lang w:val="en-US" w:eastAsia="zh-CN"/>
        </w:rPr>
        <w:t>高纯石墨的应用领域广泛，主要包括以下几个方面：一是半导体产业用高纯石墨制品，如单晶硅生长炉用石墨热场组件、硅外延生长用石墨基座等；二是电火花加工用高纯石墨电极，要求材料具有高强度、高密度、良好导电性和低热膨胀系数；三是核工业用高纯石墨，作为核反应堆的中子减速剂和反射层材料，对纯度和性能要求极为严格；四是航空航天用高纯石墨，用于火箭发动机喷嘴、导弹鼻锥等高温结构部件；五是光电产业用高纯石墨，如光纤拉丝用石墨模具等。高纯石墨属于技术含量高、附加值大的深加工产品，其出口受到中国出口管制政策的重点关注。</w:t>
      </w:r>
    </w:p>
    <w:p w14:paraId="0ABEA3B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27" w:name="_Toc3528"/>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膨胀石墨与柔性石墨</w:t>
      </w:r>
      <w:bookmarkEnd w:id="27"/>
    </w:p>
    <w:p w14:paraId="6F761253">
      <w:pPr>
        <w:ind w:left="0" w:leftChars="0" w:firstLine="640" w:firstLineChars="200"/>
        <w:rPr>
          <w:rFonts w:hint="default"/>
          <w:lang w:val="en-US" w:eastAsia="zh-CN"/>
        </w:rPr>
      </w:pPr>
      <w:r>
        <w:rPr>
          <w:rFonts w:hint="default"/>
          <w:lang w:val="en-US" w:eastAsia="zh-CN"/>
        </w:rPr>
        <w:t>膨胀石墨（Expanded Graphite）是指经特殊化学处理后层间被插入化合物撑开的石墨材料。当鳞片石墨与浓硫酸、硝酸等氧化剂及高锰酸钾等插层剂混合反应后，石墨层间会形成插入化合物，随后快速加热使插入物气化挥发，石墨层间被撑开形成蠕虫状结构，体积可比原状膨胀数十倍甚至数百倍。膨胀石墨继承了天然鳞片石墨的耐高温、耐腐蚀、导电导热等优良性能，同时具有了特殊的膨胀特性和密封性能。膨胀石墨经压制加工后可制成柔性石墨板材、密封垫片、填料函等密封制品，广泛应用于石油、化工、制药、食品等行业的管道阀门密封。</w:t>
      </w:r>
    </w:p>
    <w:p w14:paraId="03685CEB">
      <w:pPr>
        <w:ind w:left="0" w:leftChars="0" w:firstLine="640" w:firstLineChars="200"/>
        <w:rPr>
          <w:rFonts w:hint="default"/>
          <w:lang w:val="en-US" w:eastAsia="zh-CN"/>
        </w:rPr>
      </w:pPr>
      <w:r>
        <w:rPr>
          <w:rFonts w:hint="default"/>
          <w:lang w:val="en-US" w:eastAsia="zh-CN"/>
        </w:rPr>
        <w:t>柔性石墨（Flexible Graphite）是膨胀石墨经进一步压制加工制成的柔性材料，可卷曲、折叠而不破裂，是传统石棉密封材料的理想替代品。柔性石墨密封制品具有耐高温（使用温度可达-200℃至+3000℃）、耐腐蚀、自润滑、寿命长等优点，在工业密封领域应用广泛。从国际贸易角度看，膨胀石墨和柔性石墨制品不属于初级石墨原料，而是经过加工的制成品，其贸易监管政策与原料石墨有所不同。中国作为全球最大的石墨生产国，也是膨胀石墨和柔性石墨制品的重要出口国，相关产品的出口贸易需要符合出口管制法规的要求。</w:t>
      </w:r>
    </w:p>
    <w:p w14:paraId="7A41037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28" w:name="_Toc12325"/>
      <w:r>
        <w:rPr>
          <w:rFonts w:hint="eastAsia" w:ascii="Times New Roman" w:hAnsi="Times New Roman" w:eastAsia="方正仿宋_GBK"/>
          <w:kern w:val="2"/>
          <w:sz w:val="32"/>
          <w:szCs w:val="32"/>
          <w:lang w:val="en-US" w:eastAsia="zh-CN"/>
        </w:rPr>
        <w:t>4</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石墨烯</w:t>
      </w:r>
      <w:bookmarkEnd w:id="28"/>
    </w:p>
    <w:p w14:paraId="05C5BA18">
      <w:pPr>
        <w:ind w:left="0" w:leftChars="0" w:firstLine="640" w:firstLineChars="200"/>
        <w:rPr>
          <w:rFonts w:hint="default"/>
          <w:lang w:val="en-US" w:eastAsia="zh-CN"/>
        </w:rPr>
      </w:pPr>
      <w:r>
        <w:rPr>
          <w:rFonts w:hint="default"/>
          <w:lang w:val="en-US" w:eastAsia="zh-CN"/>
        </w:rPr>
        <w:t>石墨烯（Graphene）是碳原子以六方晶格排列形成的单层二维纳米材料，厚度仅为一个碳原子直径（约0.335nm），是已知最薄且强度最高的材料之一。石墨烯具有优异的电学性能（电子迁移率极高）、力学性能（强度高达130GPa）、热学性能（热导率可达5000W/(m·K)）和光学性能（对可见光几乎完全透明），在电子信息、新能源、生物医药、复合材料等领域具有广阔的应用前景，被誉为“新材料之王”。需要指出的是，石墨烯与石墨是两种不同的材料：石墨是三维层状结构的碳材料，而石墨烯是二维单层结构的碳材料；石墨烯并非天然鳞片石墨的直接加工产物，而是需要通过特殊制备工艺（如机械剥离法、化学气相沉积法、氧化还原法等）才能获得。</w:t>
      </w:r>
    </w:p>
    <w:p w14:paraId="0317634B">
      <w:pPr>
        <w:ind w:left="0" w:leftChars="0" w:firstLine="640" w:firstLineChars="200"/>
        <w:rPr>
          <w:rFonts w:hint="default"/>
          <w:lang w:val="en-US" w:eastAsia="zh-CN"/>
        </w:rPr>
      </w:pPr>
      <w:r>
        <w:rPr>
          <w:rFonts w:hint="default"/>
          <w:lang w:val="en-US" w:eastAsia="zh-CN"/>
        </w:rPr>
        <w:t>石墨烯的制备方法主要有以下几类：机械剥离法利用Scotch胶带反复剥离高定向热解石墨获得石墨烯薄片，方法简单但产率低，主要用于实验室基础研究；化学气相沉积法（CVD）在金属基底表面通入碳源气体，高温下分解沉积形成石墨烯薄膜，可实现大面积高质量石墨烯的制备；氧化还原法先将石墨经强氧化处理制成氧化石墨烯，再通过化学还原恢复部分石墨烯结构，是目前成本最低、最有可能实现规模化生产的方法；外延生长法在碳化硅等单晶基底上高温退火，使硅原子挥发后碳原子重排形成石墨烯。石墨烯产业目前仍处于发展早期，商业化应用主要集中于复合材料、导电浆料、散热材料等相对成熟的应用领域。</w:t>
      </w:r>
    </w:p>
    <w:p w14:paraId="39B0186C">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eastAsia" w:cs="黑体"/>
          <w:b w:val="0"/>
          <w:bCs w:val="0"/>
          <w:kern w:val="0"/>
          <w:sz w:val="32"/>
          <w:szCs w:val="32"/>
          <w:lang w:val="en-US" w:eastAsia="zh-CN" w:bidi="ar"/>
        </w:rPr>
      </w:pPr>
      <w:bookmarkStart w:id="29" w:name="_Toc4374"/>
      <w:r>
        <w:rPr>
          <w:rFonts w:hint="eastAsia"/>
          <w:lang w:val="en-US" w:eastAsia="zh-CN"/>
        </w:rPr>
        <w:t>（四）</w:t>
      </w:r>
      <w:r>
        <w:rPr>
          <w:rFonts w:hint="eastAsia" w:cs="黑体"/>
          <w:b w:val="0"/>
          <w:bCs w:val="0"/>
          <w:kern w:val="0"/>
          <w:sz w:val="32"/>
          <w:szCs w:val="32"/>
          <w:lang w:val="en-US" w:eastAsia="zh-CN" w:bidi="ar"/>
        </w:rPr>
        <w:t>石墨的主要技术指标与检测方法</w:t>
      </w:r>
      <w:bookmarkEnd w:id="29"/>
    </w:p>
    <w:p w14:paraId="471FAFE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0" w:name="_Toc1177"/>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化学成分指标</w:t>
      </w:r>
      <w:bookmarkEnd w:id="30"/>
    </w:p>
    <w:p w14:paraId="0255AE5D">
      <w:pPr>
        <w:ind w:left="0" w:leftChars="0" w:firstLine="640" w:firstLineChars="200"/>
        <w:rPr>
          <w:rFonts w:hint="default"/>
          <w:lang w:val="en-US" w:eastAsia="zh-CN"/>
        </w:rPr>
      </w:pPr>
      <w:r>
        <w:rPr>
          <w:rFonts w:hint="default"/>
          <w:lang w:val="en-US" w:eastAsia="zh-CN"/>
        </w:rPr>
        <w:t>石墨产品的化学成分是衡量其品质的核心指标，主要包括固定碳含量、灰分、挥发分、水分等参数。固定碳含量（Fixed Carbon）是石墨产品中以石墨形态存在的碳元素含量，是评价石墨纯度的最重要指标，固定碳含量越高，石墨品质越好。高纯石墨的固定碳含量通常要求达到99.9%以上，天然鳞片石墨精矿的固定碳含量一般在80%至98%之间。灰分（Ash）是指石墨在高温灼烧后残留的无机物质，主要成分为硅、铝、铁、钙、镁等的氧化物，灰分含量是影响石墨纯度的重要因素。挥发分（Volatile Matter）是石墨在加热过程中挥发的有机物质含量，水分（Moisture）则是石墨中以物理结合形式存在的水分含量。</w:t>
      </w:r>
    </w:p>
    <w:p w14:paraId="1ECDA09D">
      <w:pPr>
        <w:ind w:left="0" w:leftChars="0" w:firstLine="640" w:firstLineChars="200"/>
        <w:rPr>
          <w:rFonts w:hint="default"/>
          <w:lang w:val="en-US" w:eastAsia="zh-CN"/>
        </w:rPr>
      </w:pPr>
      <w:r>
        <w:rPr>
          <w:rFonts w:hint="default"/>
          <w:lang w:val="en-US" w:eastAsia="zh-CN"/>
        </w:rPr>
        <w:t>石墨产品的杂质元素分析是确定其化学成分的重要内容，尤其是对电池级石墨材料，需要严格控制铁、铜、锌、镍、铬等过渡金属元素以及硫、氯等非金属杂质的含量，因为这些杂质可能影响电池的电化学性能和安全性。石墨产品的化学成分检测主要依据国家标准《石墨化学分析方法》（GB/T 3521-2008）或相关行业标准、企业标准进行，主要检测方法包括重量法测定固定碳和灰分、容量法测定硫含量、原子吸收光谱法测定金属杂质含量等。对于高纯石墨产品，需要采用更精密的检测方法（如电感耦合等离子体质谱法ICP-MS）分析痕量杂质含量。</w:t>
      </w:r>
    </w:p>
    <w:p w14:paraId="7B16CDA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1" w:name="_Toc23488"/>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物理性能指标</w:t>
      </w:r>
      <w:bookmarkEnd w:id="31"/>
    </w:p>
    <w:p w14:paraId="7C1ACC67">
      <w:pPr>
        <w:ind w:left="0" w:leftChars="0" w:firstLine="640" w:firstLineChars="200"/>
        <w:rPr>
          <w:rFonts w:hint="default"/>
          <w:lang w:val="en-US" w:eastAsia="zh-CN"/>
        </w:rPr>
      </w:pPr>
      <w:r>
        <w:rPr>
          <w:rFonts w:hint="default"/>
          <w:lang w:val="en-US" w:eastAsia="zh-CN"/>
        </w:rPr>
        <w:t>石墨产品的物理性能指标主要包括粒度分布、振实密度、比表面积、莫氏硬度、摩擦系数、热膨胀系数、导热系数、导电性等。粒度分布（Particle Size Distribution）是指石墨颗粒的大小组成情况，通常用筛分分析或激光粒度分析仪测定，以不同粒径区间所占百分比表示。粒度分布是影响石墨加工工艺和产品应用性能的重要参数，例如用于球形石墨生产的原料需要控制适当的粒度范围，比表面积（Specific Surface Area）是单位质量石墨的表面积总和，与石墨的孔隙结构和表面活性密切相关，是评价电池材料性能的重要指标。</w:t>
      </w:r>
    </w:p>
    <w:p w14:paraId="43763D1D">
      <w:pPr>
        <w:ind w:left="0" w:leftChars="0" w:firstLine="640" w:firstLineChars="200"/>
        <w:rPr>
          <w:rFonts w:hint="default"/>
          <w:lang w:val="en-US" w:eastAsia="zh-CN"/>
        </w:rPr>
      </w:pPr>
      <w:r>
        <w:rPr>
          <w:rFonts w:hint="default"/>
          <w:lang w:val="en-US" w:eastAsia="zh-CN"/>
        </w:rPr>
        <w:t>振实密度（Tap Density）是指石墨在规定条件下振实后的堆积密度，反映了石墨颗粒的堆积效率和填充性能，对电池负极材料的压实密度和能量密度有直接影响。莫氏硬度为1至2级，具有良好的润滑性。热膨胀系数低，尺寸稳定性好。导热系数高，散热性能优异。导电性能良好，电导率可达10^4至10^5 S/m。石墨产品的物理性能检测需要依据相应的国家标准或行业标准进行，如《石墨细度测定方法》（GB/T 3520-2008）、《石墨筛分试验方法》（JB/T 4220-2011）等。</w:t>
      </w:r>
    </w:p>
    <w:p w14:paraId="191756D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2" w:name="_Toc9003"/>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电化学性能指标</w:t>
      </w:r>
      <w:bookmarkEnd w:id="32"/>
    </w:p>
    <w:p w14:paraId="3757A58B">
      <w:pPr>
        <w:ind w:left="0" w:leftChars="0" w:firstLine="640" w:firstLineChars="200"/>
        <w:rPr>
          <w:rFonts w:hint="default"/>
          <w:lang w:val="en-US" w:eastAsia="zh-CN"/>
        </w:rPr>
      </w:pPr>
      <w:r>
        <w:rPr>
          <w:rFonts w:hint="default"/>
          <w:lang w:val="en-US" w:eastAsia="zh-CN"/>
        </w:rPr>
        <w:t>对于用于锂离子电池负极材料的石墨产品，电化学性能指标是评价其应用价值的关键参数，主要包括首次充放电效率、首次放电容量、循环寿命、倍率性能、膨胀率等。首次库仑效率（Initial Coulombic Efficiency，ICE）是指锂离子电池首次充放电过程中，放电容量与充电容量的比值，反映了负极材料首次循环中的不可逆容量损失程度。天然石墨的首次库仑效率通常在88%至93%之间，人造石墨的首次库仑效率可达93%至95%，首次库仑效率越高，电池的能量利用效率越高。</w:t>
      </w:r>
    </w:p>
    <w:p w14:paraId="687DD953">
      <w:pPr>
        <w:ind w:left="0" w:leftChars="0" w:firstLine="640" w:firstLineChars="200"/>
        <w:rPr>
          <w:rFonts w:hint="default"/>
          <w:lang w:val="en-US" w:eastAsia="zh-CN"/>
        </w:rPr>
      </w:pPr>
      <w:r>
        <w:rPr>
          <w:rFonts w:hint="default"/>
          <w:lang w:val="en-US" w:eastAsia="zh-CN"/>
        </w:rPr>
        <w:t>首次放电容量（Initial Discharge Capacity）是指负极材料在首次放电过程中能够释放的容量，单位通常为mAh/g，天然石墨的首次放电容量一般在340至360 mAh/g之间，人造石墨通常在340至350 mAh/g之间。循环寿命（Cycling Life）是指电池在特定条件下能够保持一定容量水平的充放电循环次数，是评价负极材料长期可靠性的重要指标。倍率性能（Rate Performance）反映了负极材料在高电流密度下的充放电能力，对于快充型电池尤为重要。膨胀率（Expansion Rate）是指负极材料在充放电过程中的体积膨胀程度，膨胀过大会影响电池结构稳定性和使用寿命，天然石墨的膨胀率通常高于人造石墨。</w:t>
      </w:r>
    </w:p>
    <w:p w14:paraId="79CD1F61">
      <w:pPr>
        <w:pStyle w:val="3"/>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jc w:val="both"/>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33" w:name="_Toc120"/>
      <w:r>
        <w:rPr>
          <w:rFonts w:hint="eastAsia" w:cs="Segoe UI"/>
          <w:b/>
          <w:bCs/>
          <w:i w:val="0"/>
          <w:iCs w:val="0"/>
          <w:caps w:val="0"/>
          <w:spacing w:val="0"/>
          <w:kern w:val="2"/>
          <w:sz w:val="32"/>
          <w:szCs w:val="32"/>
          <w:shd w:val="clear" w:fill="FFFFFF"/>
          <w:lang w:val="en-US" w:eastAsia="zh-CN" w:bidi="ar-SA"/>
        </w:rPr>
        <w:t>三</w:t>
      </w:r>
      <w:r>
        <w:rPr>
          <w:rFonts w:hint="eastAsia" w:ascii="Segoe UI" w:hAnsi="Segoe UI" w:eastAsia="Segoe UI" w:cs="Segoe UI"/>
          <w:b/>
          <w:bCs/>
          <w:i w:val="0"/>
          <w:iCs w:val="0"/>
          <w:caps w:val="0"/>
          <w:spacing w:val="0"/>
          <w:kern w:val="2"/>
          <w:sz w:val="32"/>
          <w:szCs w:val="32"/>
          <w:shd w:val="clear" w:fill="FFFFFF"/>
          <w:lang w:val="en-US" w:eastAsia="zh-CN" w:bidi="ar-SA"/>
        </w:rPr>
        <w:t>、天然鳞片石墨主要应用方向</w:t>
      </w:r>
      <w:bookmarkEnd w:id="33"/>
    </w:p>
    <w:p w14:paraId="0B059369">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34" w:name="_Toc16216"/>
      <w:r>
        <w:rPr>
          <w:rFonts w:hint="eastAsia"/>
          <w:lang w:val="en-US" w:eastAsia="zh-CN"/>
        </w:rPr>
        <w:t>（一）</w:t>
      </w:r>
      <w:r>
        <w:rPr>
          <w:rFonts w:hint="eastAsia" w:cs="黑体"/>
          <w:b w:val="0"/>
          <w:bCs w:val="0"/>
          <w:kern w:val="0"/>
          <w:sz w:val="32"/>
          <w:szCs w:val="32"/>
          <w:lang w:val="en-US" w:eastAsia="zh-CN" w:bidi="ar"/>
        </w:rPr>
        <w:t>新能源汽车与动力电池领域</w:t>
      </w:r>
      <w:bookmarkEnd w:id="34"/>
    </w:p>
    <w:p w14:paraId="657C66C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5" w:name="_Toc27153"/>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锂离子电池负极材料</w:t>
      </w:r>
      <w:bookmarkEnd w:id="35"/>
    </w:p>
    <w:p w14:paraId="5E8F250B">
      <w:pPr>
        <w:rPr>
          <w:rFonts w:hint="default"/>
          <w:lang w:val="en-US" w:eastAsia="zh-CN"/>
        </w:rPr>
      </w:pPr>
      <w:r>
        <w:rPr>
          <w:rFonts w:hint="default"/>
          <w:lang w:val="en-US" w:eastAsia="zh-CN"/>
        </w:rPr>
        <w:t>锂离子电池负极材料是天然鳞片石墨最主要的应用领域，消耗了全球天然石墨产量的约30%至40%，且这一比例随着新能源汽车产业的发展还在持续上升。锂离子电池的工作原理基于锂离子在正极和负极之间的嵌入脱出过程：充电时，锂离子从正极脱出，经电解液迁移到负极并嵌入石墨层间；放电时，锂离子从负极脱出，返回正极。天然鳞片石墨凭借其独特的层状晶体结构，为锂离子的嵌入和脱出提供了理想的通道和存储空间，是目前技术最成熟、成本最低、产业化程度最高的锂离子电池负极材料。</w:t>
      </w:r>
    </w:p>
    <w:p w14:paraId="79625171">
      <w:pPr>
        <w:rPr>
          <w:rFonts w:hint="default"/>
          <w:lang w:val="en-US" w:eastAsia="zh-CN"/>
        </w:rPr>
      </w:pPr>
      <w:r>
        <w:rPr>
          <w:rFonts w:hint="default"/>
          <w:lang w:val="en-US" w:eastAsia="zh-CN"/>
        </w:rPr>
        <w:t>在负极材料领域，石墨需要经过深加工才能满足电池生产的要求。天然鳞片石墨首先要经过提纯处理，将固定碳含量提升至99.9%以上以满足电池级纯度要求；随后经过球形化处理，制成球形石墨颗粒，改善颗粒形貌和堆积密度；球形石墨还需经过包覆处理，在其表面包覆一层碳或其他材料，减少石墨与电解液的直接接触，降低首次循环的不可逆容量损失，提高材料的循环稳定性和安全性。经过这一系列深加工处理的天然石墨负极材料，其电化学性能已可与高端人造石墨负极材料相媲美，而在成本方面具有明显优势。</w:t>
      </w:r>
    </w:p>
    <w:p w14:paraId="4A81B78C">
      <w:pPr>
        <w:rPr>
          <w:rFonts w:hint="default"/>
          <w:color w:val="FF0000"/>
          <w:lang w:val="en-US" w:eastAsia="zh-CN"/>
        </w:rPr>
      </w:pPr>
      <w:r>
        <w:rPr>
          <w:rFonts w:hint="default"/>
          <w:lang w:val="en-US" w:eastAsia="zh-CN"/>
        </w:rPr>
        <w:t>从全球锂离子电池负极材料市场格局看，中国企业占据绝对主导地位。贝特瑞新材料集团股份有限公司是全球最大的负极材料生产企业，2025年负极材料销量达到约60万吨，同比增长约37%，连续16年位居全球第一。根据贝特瑞2025年年度报告，公司全年实现营业收入169.83亿元，同比增长19.29%；归属于上市公司股东的净利润8.75亿元。公司已投产负极材料产能达到78.25万吨/年（年末），正在推进惠州8万吨负极材料一体化项目等新产能建设。贝特瑞生产的负极材料涵盖天然石墨负极和人造石墨负极两大系列，2025年人造石墨销量同比增长46.23%，创下历史新高，广泛应用于新能源汽车动力电池和消费电子类电池领域。杉杉股份、璞泰来、紫宸科技、中科电气等企业也是国内领先的负极材料生产企业，2025年中国负极材料出货量达到约292万吨，同比增长约38%，上述企业的合计市场份额占据全球负极材料市场的绝大部分产能。</w:t>
      </w:r>
    </w:p>
    <w:p w14:paraId="7A7938B2">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6" w:name="_Toc12488"/>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新能源汽车产业发展对石墨需求的影响</w:t>
      </w:r>
      <w:bookmarkEnd w:id="36"/>
    </w:p>
    <w:p w14:paraId="62B0D44B">
      <w:pPr>
        <w:rPr>
          <w:rFonts w:hint="eastAsia"/>
          <w:lang w:val="en-US" w:eastAsia="zh-CN"/>
        </w:rPr>
      </w:pPr>
      <w:r>
        <w:rPr>
          <w:rFonts w:hint="eastAsia"/>
          <w:lang w:val="en-US" w:eastAsia="zh-CN"/>
        </w:rPr>
        <w:t>全球新能源汽车产业的蓬勃发展是推动天然鳞片石墨需求增长的核心动力。根据中国汽车工业协会统计数据，2025年全球新能源汽车销量达2053万辆，同比增长约26%；中国新能源汽车销量达到1649万辆，同比增长28.2%，占全球市场份额的约66%，新能源汽车国内新车销量占比突破50%。2025年，中国汽车产销分别完成3453.1万辆和3440万辆，连续17年稳居全球第一，连续3年保持3000万辆以上规模。欧美等地区的新能源汽车市场同样保持高速增长态势，2025年欧洲新能源汽车销量约为386万辆，美国销量约为128万辆。各国政府持续加码新能源汽车购置补贴、充电基础设施建设、碳排放标准收紧等政策支持，推动了全球新能源汽车产业的加速发展。</w:t>
      </w:r>
    </w:p>
    <w:p w14:paraId="722F9C2B">
      <w:pPr>
        <w:rPr>
          <w:rFonts w:hint="eastAsia"/>
          <w:lang w:val="en-US" w:eastAsia="zh-CN"/>
        </w:rPr>
      </w:pPr>
      <w:r>
        <w:rPr>
          <w:rFonts w:hint="eastAsia"/>
          <w:lang w:val="en-US" w:eastAsia="zh-CN"/>
        </w:rPr>
        <w:t>从单车石墨消费量看，一辆配备60kWh电池包的新能源汽车大约需要消耗负极材料40至50公斤，折合石墨原料（天然石墨或人造石墨）约50至60公斤。随着电池能量密度的不断提升和快充技术的广泛应用，对负极材料的性能要求也在持续提高，高端负极材料的市场需求增长更为显著。综合考虑新能源汽车产销量增长、单车带电量提升、负极材料技术进步等因素，预计到2030年全球新能源汽车产业对石墨的年需求量将达到200万吨以上，相较于2025年的需求水平增长超过100%。这一巨大的市场需求增长空间，为全球石墨产业带来了前所未有的发展机遇。</w:t>
      </w:r>
    </w:p>
    <w:p w14:paraId="2402E4B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7" w:name="_Toc20784"/>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储能电池市场的崛起</w:t>
      </w:r>
      <w:bookmarkEnd w:id="37"/>
    </w:p>
    <w:p w14:paraId="07CBC26F">
      <w:pPr>
        <w:rPr>
          <w:rFonts w:hint="eastAsia"/>
          <w:lang w:val="en-US" w:eastAsia="zh-CN"/>
        </w:rPr>
      </w:pPr>
      <w:r>
        <w:rPr>
          <w:rFonts w:hint="eastAsia"/>
          <w:lang w:val="en-US" w:eastAsia="zh-CN"/>
        </w:rPr>
        <w:t>除新能源汽车外，储能电池市场的快速发展也为天然鳞片石墨创造了新的需求增长点。随着全球能源转型的深入推进，风电、光伏等可再生能源发电装机容量快速增长，但其固有的间歇性和波动性特征对电力系统调峰调频提出了更高要求。电化学储能作为解决可再生能源消纳问题、保障电网稳定运行的关键技术，近年来获得各国政府的高度重视和大力支持。根据彭博新能源财经（BNEF）发布的全球储能市场展望报告，2024年全球新增储能装机容量约为169GWh，同比增长约76%；预计到2030年全球储能累计装机容量将超过3300GWh，年新增装机容量预计2025年可达247GWh。</w:t>
      </w:r>
    </w:p>
    <w:p w14:paraId="136A0FD5">
      <w:pPr>
        <w:rPr>
          <w:rFonts w:hint="eastAsia"/>
          <w:lang w:val="en-US" w:eastAsia="zh-CN"/>
        </w:rPr>
      </w:pPr>
      <w:r>
        <w:rPr>
          <w:rFonts w:hint="eastAsia"/>
          <w:lang w:val="en-US" w:eastAsia="zh-CN"/>
        </w:rPr>
        <w:t>储能电池对成本更为敏感，这为天然石墨负极材料提供了广阔的应用空间。相比新能源汽车追求的高能量密度和快充性能，储能电池更注重成本效益和长寿命，而天然石墨负极材料在成本方面的优势恰好契合这一需求特点。中国作为全球最大的储能电池生产国和出口国，宁德时代、比亚迪、中创新航、国轩高科等企业生产的储能电芯大量出口海外市场。随着全球储能项目招标价格的持续下降，储能电池企业对原材料成本的控制压力增大，这将进一步推动天然石墨负极材料在储能领域的应用普及。</w:t>
      </w:r>
    </w:p>
    <w:p w14:paraId="65A1DE6B">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38" w:name="_Toc30399"/>
      <w:r>
        <w:rPr>
          <w:rFonts w:hint="eastAsia"/>
          <w:lang w:val="en-US" w:eastAsia="zh-CN"/>
        </w:rPr>
        <w:t>（二）</w:t>
      </w:r>
      <w:r>
        <w:rPr>
          <w:rFonts w:hint="eastAsia" w:cs="黑体"/>
          <w:b w:val="0"/>
          <w:bCs w:val="0"/>
          <w:kern w:val="0"/>
          <w:sz w:val="32"/>
          <w:szCs w:val="32"/>
          <w:lang w:val="en-US" w:eastAsia="zh-CN" w:bidi="ar"/>
        </w:rPr>
        <w:t>消费电子与数码产品领域</w:t>
      </w:r>
      <w:bookmarkEnd w:id="38"/>
    </w:p>
    <w:p w14:paraId="418D77C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9" w:name="_Toc1138"/>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智能手机和平板电脑</w:t>
      </w:r>
      <w:bookmarkEnd w:id="39"/>
    </w:p>
    <w:p w14:paraId="73D917F0">
      <w:pPr>
        <w:rPr>
          <w:rFonts w:hint="default"/>
          <w:lang w:val="en-US" w:eastAsia="zh-CN"/>
        </w:rPr>
      </w:pPr>
      <w:r>
        <w:rPr>
          <w:rFonts w:hint="default"/>
          <w:lang w:val="en-US" w:eastAsia="zh-CN"/>
        </w:rPr>
        <w:t>消费电子行业是天然鳞片石墨的传统应用领域之一。智能手机、平板电脑、笔记本电脑等移动终端设备普遍采用锂离子电池作为储能装置，其中负极材料主要使用石墨类材料。以智能手机为例，一部中高端智能手机的电池容量通常在3000至5000mAh，对应需要消耗负极材料约3至8克。</w:t>
      </w:r>
      <w:r>
        <w:rPr>
          <w:rFonts w:hint="eastAsia"/>
          <w:lang w:val="en-US" w:eastAsia="zh-CN"/>
        </w:rPr>
        <w:t>根据</w:t>
      </w:r>
      <w:r>
        <w:rPr>
          <w:rFonts w:hint="default"/>
          <w:lang w:val="en-US" w:eastAsia="zh-CN"/>
        </w:rPr>
        <w:t>中国信息通信研究院</w:t>
      </w:r>
      <w:r>
        <w:rPr>
          <w:rFonts w:hint="eastAsia"/>
          <w:lang w:val="en-US" w:eastAsia="zh-CN"/>
        </w:rPr>
        <w:t>等数据统计，</w:t>
      </w:r>
      <w:r>
        <w:rPr>
          <w:rFonts w:hint="default"/>
          <w:lang w:val="en-US" w:eastAsia="zh-CN"/>
        </w:rPr>
        <w:t>2025年全球智能手机出货量约为12.5亿部，其中5G智能手机占比超过85%。5G网络的高功耗特性对手机电池续航能力提出了更高要求，推动手机电池容量持续增长，这一趋势对石墨负极材料的需求形成稳定支撑。</w:t>
      </w:r>
    </w:p>
    <w:p w14:paraId="44BBFCB8">
      <w:pPr>
        <w:rPr>
          <w:rFonts w:hint="default"/>
          <w:lang w:val="en-US" w:eastAsia="zh-CN"/>
        </w:rPr>
      </w:pPr>
      <w:r>
        <w:rPr>
          <w:rFonts w:hint="default"/>
          <w:lang w:val="en-US" w:eastAsia="zh-CN"/>
        </w:rPr>
        <w:t>平板电脑和笔记本电脑市场虽然整体规模小于智能手机，但对高端负极材料的需求同样不可忽视。苹果、三星、联想、华为等品牌的旗舰平板电脑和笔记本电脑产品追求更轻薄的设计和更长的续航时间，对负极材料的能量密度、循环寿命等性能指标要求更高，部分高端产品采用掺杂改性的人造石墨或高端天然石墨负极材料。随着混合办公模式的普及，个人计算设备的使用强度和更新换代频率有所提升，为消费电子类电池市场保持稳定增长提供了基础。</w:t>
      </w:r>
    </w:p>
    <w:p w14:paraId="4A6FCD2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40" w:name="_Toc26661"/>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可穿戴设备和新兴消费电子</w:t>
      </w:r>
      <w:bookmarkEnd w:id="40"/>
    </w:p>
    <w:p w14:paraId="33CAFA8B">
      <w:pPr>
        <w:rPr>
          <w:rFonts w:hint="default"/>
          <w:lang w:val="en-US" w:eastAsia="zh-CN"/>
        </w:rPr>
      </w:pPr>
      <w:r>
        <w:rPr>
          <w:rFonts w:hint="default"/>
          <w:lang w:val="en-US" w:eastAsia="zh-CN"/>
        </w:rPr>
        <w:t>可穿戴设备（如智能手表、智能手环、无线耳机等）虽然单台电池容量较小，但凭借快速增长的市场规模，成为石墨负极材料需求的有益补充。以Apple Watch、华为Watch等智能手表为例，其电池容量通常在200至500mAh，需要消耗负极材料不足1克，但全球智能手表年出货量已超过2亿台，市场规模相当可观。TWS（真无线立体声）无线耳机的电池盒和左右耳机各需要一块小型锂离子电池，尽管单体电池容量较小（通常在30至100mAh），但凭借超过3亿部的年出货量，累积的石墨消耗量同样不容忽视。</w:t>
      </w:r>
    </w:p>
    <w:p w14:paraId="4A7D1FE5">
      <w:pPr>
        <w:rPr>
          <w:rFonts w:hint="default"/>
          <w:lang w:val="en-US" w:eastAsia="zh-CN"/>
        </w:rPr>
      </w:pPr>
      <w:r>
        <w:rPr>
          <w:rFonts w:hint="default"/>
          <w:lang w:val="en-US" w:eastAsia="zh-CN"/>
        </w:rPr>
        <w:t>AR/VR头显设备、智能眼镜等新兴消费电子产品代表了未来消费电子的发展方向，这些设备对电池的能量密度、轻量化、体积控制等指标有更高要求，需要采用性能更优的负极材料。随着技术的成熟和成本的下降，AR/VR设备的出货量有望在未来数年内实现快速增长，为石墨负极材料创造新的需求增长点。此外，电子烟、无人机、电动工具、电动自行车等细分领域同样消耗大量锂离子电池，这些领域的市场规模虽然相对较小，但增长潜力可观，共同构成了石墨负极材料在消费电子领域的多元化需求结构。</w:t>
      </w:r>
    </w:p>
    <w:p w14:paraId="73C3C522">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41" w:name="_Toc16089"/>
      <w:r>
        <w:rPr>
          <w:rFonts w:hint="eastAsia"/>
          <w:lang w:val="en-US" w:eastAsia="zh-CN"/>
        </w:rPr>
        <w:t>（三）</w:t>
      </w:r>
      <w:r>
        <w:rPr>
          <w:rFonts w:hint="eastAsia" w:cs="黑体"/>
          <w:b w:val="0"/>
          <w:bCs w:val="0"/>
          <w:kern w:val="0"/>
          <w:sz w:val="32"/>
          <w:szCs w:val="32"/>
          <w:lang w:val="en-US" w:eastAsia="zh-CN" w:bidi="ar"/>
        </w:rPr>
        <w:t>航空航天与国防军事领域</w:t>
      </w:r>
      <w:bookmarkEnd w:id="41"/>
    </w:p>
    <w:p w14:paraId="3C3E1F9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42" w:name="_Toc31947"/>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导弹和火箭技术应用</w:t>
      </w:r>
      <w:bookmarkEnd w:id="42"/>
    </w:p>
    <w:p w14:paraId="7FD44FB5">
      <w:pPr>
        <w:rPr>
          <w:rFonts w:hint="default"/>
          <w:lang w:val="en-US" w:eastAsia="zh-CN"/>
        </w:rPr>
      </w:pPr>
      <w:r>
        <w:rPr>
          <w:rFonts w:hint="default"/>
          <w:lang w:val="en-US" w:eastAsia="zh-CN"/>
        </w:rPr>
        <w:t>天然鳞片石墨及其深加工产品在航空航天和国防军事领域具有不可替代的应用价值。在导弹技术领域，石墨材料主要用于制造导弹的鼻锥（再入飞行器头部）、火箭发动机喷嘴喉衬、导弹弹体热防护部件等关键组件。石墨材料具有优异的高温强度、抗热冲击性能和耐烧蚀特性，能够承受火箭发动机工作时产生的数千摄氏度高温和高速气流冲刷，是液体火箭发动机喷嘴和固体火箭发动机喉衬的理想材料选择。石墨材料的轻质特性也有助于减轻导弹整体重量，提高飞行器射程和机动性能。</w:t>
      </w:r>
    </w:p>
    <w:p w14:paraId="7FC65083">
      <w:pPr>
        <w:rPr>
          <w:rFonts w:hint="default"/>
          <w:lang w:val="en-US" w:eastAsia="zh-CN"/>
        </w:rPr>
      </w:pPr>
      <w:r>
        <w:rPr>
          <w:rFonts w:hint="default"/>
          <w:lang w:val="en-US" w:eastAsia="zh-CN"/>
        </w:rPr>
        <w:t>在洲际弹道导弹、巡航导弹等战略战术导弹系统中，石墨基复合材料被广泛应用于弹体结构件和热防护系统。例如，高温不透性石墨用于制造导弹鼻锥，在再入大气层时能够承受剧烈气动加热产生的高温；石墨-碳纤维复合材料用于制造弹体结构件，实现轻量化和高强度的双重目标。石墨材料在导弹固体火箭发动机中用作喉部内衬材料，需要承受燃烧室内高温高压燃气的冲刷作用。此外，石墨还在导弹惯性制导系统的陀螺仪、惯性测量单元等精密器件中有所应用，利用其低热膨胀系数和良好的尺寸稳定性保证导航精度。</w:t>
      </w:r>
    </w:p>
    <w:p w14:paraId="3855FAA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43" w:name="_Toc26231"/>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卫星和航天器应用</w:t>
      </w:r>
      <w:bookmarkEnd w:id="43"/>
    </w:p>
    <w:p w14:paraId="6DE557A0">
      <w:pPr>
        <w:rPr>
          <w:rFonts w:hint="default"/>
          <w:lang w:val="en-US" w:eastAsia="zh-CN"/>
        </w:rPr>
      </w:pPr>
      <w:r>
        <w:rPr>
          <w:rFonts w:hint="default"/>
          <w:lang w:val="en-US" w:eastAsia="zh-CN"/>
        </w:rPr>
        <w:t>在航天器应用方面，石墨材料主要用于卫星结构件、热控系统和太阳电池阵框架等部位。石墨纤维增强复合材料（CFRP）具有极高的比刚度和比强度，是制造卫星承力结构件（如卫星平台主结构、太阳电池阵展开机构等）的首选材料。相比传统金属材料，CFRP可使卫星结构重量降低30%至50%，显著提高卫星的运载效率和有效载荷比。卫星热控系统中的热管、散热面等部件也大量使用石墨材料，利用其优异的导热性能实现星内热量的高效传递和辐射散热。</w:t>
      </w:r>
    </w:p>
    <w:p w14:paraId="202593C9">
      <w:pPr>
        <w:rPr>
          <w:rFonts w:hint="default"/>
          <w:lang w:val="en-US" w:eastAsia="zh-CN"/>
        </w:rPr>
      </w:pPr>
      <w:r>
        <w:rPr>
          <w:rFonts w:hint="default"/>
          <w:lang w:val="en-US" w:eastAsia="zh-CN"/>
        </w:rPr>
        <w:t>在深空探测任务中，石墨材料的耐高温性能使其适用于探测器进入大气层时的热防护。NASA的好奇号和毅力号火星探测器、美国重返月球阿尔忒弥斯计划中的猎户座飞船等航天器均使用了石墨基热防护材料。中国在嫦娥探月工程、天问火星探测任务中同样应用了石墨基复合材料技术。此外，商业航天领域快速发展，星链（Starlink）等低轨互联网星座计划部署数万颗卫星，这些卫星的批量化生产对轻质高强石墨复合材料的需求量相当可观，推动了石墨材料在航天领域的应用规模持续扩大。</w:t>
      </w:r>
    </w:p>
    <w:p w14:paraId="3C5F14E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44" w:name="_Toc16856"/>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核工业应用</w:t>
      </w:r>
      <w:bookmarkEnd w:id="44"/>
    </w:p>
    <w:p w14:paraId="3DBA9FE6">
      <w:pPr>
        <w:rPr>
          <w:rFonts w:hint="eastAsia"/>
          <w:lang w:val="en-US" w:eastAsia="zh-CN"/>
        </w:rPr>
      </w:pPr>
      <w:r>
        <w:rPr>
          <w:rFonts w:hint="default"/>
          <w:lang w:val="en-US" w:eastAsia="zh-CN"/>
        </w:rPr>
        <w:t>石墨在核工业中具有不可替代的特殊应用，是核反应堆的重要结构材料和减速剂。石墨的原子序数较低，对中子的散射截面大而吸收截面小，是理想的中子减速剂材料，可将核裂变产生的高速中子减速至热中子能量水平，以维持链式裂变反应的持续进行。早期的核反应堆（如1942年芝加哥大学建成的世界上第一座核反应堆）大量使用石墨作为减速剂</w:t>
      </w:r>
      <w:r>
        <w:rPr>
          <w:rFonts w:hint="eastAsia"/>
          <w:lang w:val="en-US" w:eastAsia="zh-CN"/>
        </w:rPr>
        <w:t>。</w:t>
      </w:r>
    </w:p>
    <w:p w14:paraId="136240AC">
      <w:pPr>
        <w:rPr>
          <w:rFonts w:hint="default"/>
          <w:lang w:val="en-US" w:eastAsia="zh-CN"/>
        </w:rPr>
      </w:pPr>
      <w:r>
        <w:rPr>
          <w:rFonts w:hint="default"/>
          <w:lang w:val="en-US" w:eastAsia="zh-CN"/>
        </w:rPr>
        <w:t>石墨在核反应堆中的应用对材料纯度和性能有极为严格的要求。核级石墨需要严格控制硼、镉、锂等中子吸收截面试剂和铀、钍等易裂变物质的含量，因为这些杂质会影响中子经济性和反应堆运行安全。同时，核级石墨需要具有良好的辐照稳定性，能够在长时间高剂量中子辐照环境下保持物理机械性能的稳定。核反应堆中的石墨减速剂在辐照作用下会发生尺寸变化（辐照蠕变）和性能退化（强度降低、导热性能下降），这对石墨材料的配方设计和制造工艺提出了更高要求。此外，石墨还被用于核聚变实验装置（如托卡马克、仿星器等）的第一壁材料和偏滤器部件，是未来清洁能源——核聚变能开发的关键材料之一。</w:t>
      </w:r>
    </w:p>
    <w:p w14:paraId="4F6F4539">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45" w:name="_Toc7610"/>
      <w:r>
        <w:rPr>
          <w:rFonts w:hint="eastAsia"/>
          <w:lang w:val="en-US" w:eastAsia="zh-CN"/>
        </w:rPr>
        <w:t>（四）</w:t>
      </w:r>
      <w:r>
        <w:rPr>
          <w:rFonts w:hint="eastAsia" w:cs="黑体"/>
          <w:b w:val="0"/>
          <w:bCs w:val="0"/>
          <w:kern w:val="0"/>
          <w:sz w:val="32"/>
          <w:szCs w:val="32"/>
          <w:lang w:val="en-US" w:eastAsia="zh-CN" w:bidi="ar"/>
        </w:rPr>
        <w:t>润滑与密封领域</w:t>
      </w:r>
      <w:bookmarkEnd w:id="45"/>
    </w:p>
    <w:p w14:paraId="4162245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46" w:name="_Toc23160"/>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工业润滑剂</w:t>
      </w:r>
      <w:bookmarkEnd w:id="46"/>
    </w:p>
    <w:p w14:paraId="4DB1156A">
      <w:pPr>
        <w:rPr>
          <w:rFonts w:hint="default"/>
          <w:lang w:val="en-US" w:eastAsia="zh-CN"/>
        </w:rPr>
      </w:pPr>
      <w:r>
        <w:rPr>
          <w:rFonts w:hint="default"/>
          <w:lang w:val="en-US" w:eastAsia="zh-CN"/>
        </w:rPr>
        <w:t>石墨是最早被人类利用的固体润滑剂之一，其润滑性能来源于独特的层状晶体结构。在石墨的六方晶系层状结构中，同一层内的碳原子以牢固的共价键连接，而层与层之间仅存在较弱的范德华力。当石墨作为润滑剂使用时，层间结合力较弱的特点使其在外力作用下容易发生相对滑动，从而产生润滑效果。石墨润滑剂可在高温、高压、强辐射、真空等极端工况条件下保持稳定的润滑性能，这是普通油脂类润滑剂难以做到的。因此，石墨广泛应用于钢铁冶金、航天航空、核工业、化工设备、重型机械等领域的高温润滑场合。</w:t>
      </w:r>
    </w:p>
    <w:p w14:paraId="44870744">
      <w:pPr>
        <w:rPr>
          <w:rFonts w:hint="default"/>
          <w:lang w:val="en-US" w:eastAsia="zh-CN"/>
        </w:rPr>
      </w:pPr>
      <w:r>
        <w:rPr>
          <w:rFonts w:hint="default"/>
          <w:lang w:val="en-US" w:eastAsia="zh-CN"/>
        </w:rPr>
        <w:t>石墨润滑剂的主要产品形式包括石墨粉（干粉状石墨润滑剂）、石墨乳（石墨微粒分散于水或油中的悬浮液）、石墨润滑脂（石墨与基础脂的混合物）、石墨涂层（石墨与粘结剂混合形成的固体润滑膜）等。石墨粉可直接撒布于摩擦表面或与油脂混合使用；石墨乳可喷涂于金属表面形成润滑薄膜，用于拉丝、冲压等金属加工工艺的润滑；石墨润滑脂用于轴承、齿轮等机械部件的长期润滑；石墨涂层则用于需要长期保持润滑效果的场合，如高温炉窑的输送链条、核阀门等特殊设备的润滑。</w:t>
      </w:r>
    </w:p>
    <w:p w14:paraId="17A0A3D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47" w:name="_Toc9152"/>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密封材料</w:t>
      </w:r>
      <w:bookmarkEnd w:id="47"/>
    </w:p>
    <w:p w14:paraId="620F5233">
      <w:pPr>
        <w:rPr>
          <w:rFonts w:hint="eastAsia"/>
          <w:lang w:val="en-US" w:eastAsia="zh-CN"/>
        </w:rPr>
      </w:pPr>
      <w:r>
        <w:rPr>
          <w:rFonts w:hint="eastAsia"/>
          <w:lang w:val="en-US" w:eastAsia="zh-CN"/>
        </w:rPr>
        <w:t>膨胀石墨和柔性石墨是性能优异的密封材料，可制成各类密封垫片、填料函、缠绕垫等密封制品广泛应用于工业管道、阀门、泵类、压力容器等设备的密封部位。相比传统的石棉密封材料，柔性石墨密封制品具有以下显著优点：一是使用温度范围更宽，可在-200℃至+3000℃的宽广温度范围内使用；二是化学稳定性更好，耐酸、耐碱、耐有机溶剂腐蚀；三是自润滑性能优异，摩擦系数低，对密封面的磨损小；四是压缩回弹性能好，能够适应法兰密封面的变形；五是使用寿命长，维护更换频率低；六是对人体无毒害，环保安全。这些优点使柔性石墨成为石棉密封材料的理想替代品，在石油化工、制药食品、电力冶金等行业得到广泛应用。</w:t>
      </w:r>
    </w:p>
    <w:p w14:paraId="37882BDC">
      <w:pPr>
        <w:rPr>
          <w:rFonts w:hint="eastAsia"/>
          <w:lang w:val="en-US" w:eastAsia="zh-CN"/>
        </w:rPr>
      </w:pPr>
      <w:r>
        <w:rPr>
          <w:rFonts w:hint="eastAsia"/>
          <w:lang w:val="en-US" w:eastAsia="zh-CN"/>
        </w:rPr>
        <w:t>从全球密封材料市场看，柔性石墨密封制品的市场规模持续增长。中国已成为全球最大的柔性石墨密封材料生产国和出口国，浙江国泰、宁波密封等企业生产的柔性石墨板材、密封垫片等产品出口到全球数十个国家和地区。在技术创新方面，柔性石墨与其他材料的复合应用是行业发展的重要方向，例如将柔性石墨与金属增强骨架复合制成复合垫片，可提高密封强度和承压能力；将柔性石墨与碳纤维复合制成高性能密封填料，可提高耐磨性和使用寿命。这些技术创新推动了石墨密封材料应用领域的不断拓展。</w:t>
      </w:r>
    </w:p>
    <w:p w14:paraId="19F4C0A5">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48" w:name="_Toc14159"/>
      <w:r>
        <w:rPr>
          <w:rFonts w:hint="eastAsia"/>
          <w:lang w:val="en-US" w:eastAsia="zh-CN"/>
        </w:rPr>
        <w:t>（五）</w:t>
      </w:r>
      <w:r>
        <w:rPr>
          <w:rFonts w:hint="eastAsia" w:cs="黑体"/>
          <w:b w:val="0"/>
          <w:bCs w:val="0"/>
          <w:kern w:val="0"/>
          <w:sz w:val="32"/>
          <w:szCs w:val="32"/>
          <w:lang w:val="en-US" w:eastAsia="zh-CN" w:bidi="ar"/>
        </w:rPr>
        <w:t>耐火材料和冶金领域</w:t>
      </w:r>
      <w:bookmarkEnd w:id="48"/>
    </w:p>
    <w:p w14:paraId="0307EE2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49" w:name="_Toc9371"/>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耐火材料应用</w:t>
      </w:r>
      <w:bookmarkEnd w:id="49"/>
    </w:p>
    <w:p w14:paraId="62CD7410">
      <w:pPr>
        <w:rPr>
          <w:rFonts w:hint="default"/>
          <w:lang w:val="en-US" w:eastAsia="zh-CN"/>
        </w:rPr>
      </w:pPr>
      <w:r>
        <w:rPr>
          <w:rFonts w:hint="default"/>
          <w:lang w:val="en-US" w:eastAsia="zh-CN"/>
        </w:rPr>
        <w:t>石墨具有极高的熔点（升华温度约3850℃）和优异的高温强度，是制造高级耐火材料的重要原料。石墨基耐火材料主要产品包括镁碳砖、铝碳砖、石墨坩埚、石墨流槽、连铸保护渣等，广泛应用于钢铁冶金行业的炼钢、连铸等工艺环节。镁碳砖是将石墨粉与镁砂粉用沥青或树脂结合剂混合压制成型后烧结制成的复合耐火材料，主要用于钢铁转炉和电炉的内衬，以其优异的抗渣性和热震稳定性显著延长炉衬使用寿命。铝碳砖主要用于钢包、中间包等钢水盛装和输送设备的内衬，同样利用了石墨的耐高温和抗侵蚀特性。</w:t>
      </w:r>
    </w:p>
    <w:p w14:paraId="639F7A1F">
      <w:pPr>
        <w:rPr>
          <w:rFonts w:hint="default"/>
          <w:lang w:val="en-US" w:eastAsia="zh-CN"/>
        </w:rPr>
      </w:pPr>
      <w:r>
        <w:rPr>
          <w:rFonts w:hint="default"/>
          <w:lang w:val="en-US" w:eastAsia="zh-CN"/>
        </w:rPr>
        <w:t>石墨坩埚是熔炼有色金属（铜、铝、锌、贵金属等）和铸造合金的重要器具，其使用温度可达2000℃以上。石墨坩埚具有导热快、耐高温、耐腐蚀、寿命长等优点，是有色金属冶炼和精密铸造行业的必备工具。连铸用石墨保护渣是在钢水连铸过程中撒布于结晶器钢水表面的保护材料，利用石墨的低热导率特性在钢水表面形成保温层，防止钢水二次氧化和热量散失，同时起到润滑和吸收夹杂物的作用。石墨基耐火材料是钢铁冶金行业的重要耗材，其市场需求与钢铁产量高度相关。</w:t>
      </w:r>
    </w:p>
    <w:p w14:paraId="63615F2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50" w:name="_Toc16958"/>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铸造和粉末冶金</w:t>
      </w:r>
      <w:bookmarkEnd w:id="50"/>
    </w:p>
    <w:p w14:paraId="07C637B1">
      <w:pPr>
        <w:rPr>
          <w:rFonts w:hint="eastAsia"/>
          <w:lang w:val="en-US" w:eastAsia="zh-CN"/>
        </w:rPr>
      </w:pPr>
      <w:r>
        <w:rPr>
          <w:rFonts w:hint="eastAsia"/>
          <w:lang w:val="en-US" w:eastAsia="zh-CN"/>
        </w:rPr>
        <w:t>在铸造行业，石墨用于制造铸模和型芯的表面涂层，可防止铸件粘砂、改善表面质量、提高尺寸精度。石墨涂料喷涂于砂型或金属模的表面，在高温金属液的冲刷下形成一层致密的碳膜隔离层，既能保护模具又能获得光洁的铸件表面。在球墨铸铁生产中，镁是球化剂的主要成分，但镁的沸点较低（1107℃），在铁液中加入镁时容易产生剧烈反应和镁的汽化损失，使用含镁球化剂时配合使用石墨覆盖剂可有效抑制镁的氧化烧损，提高球化处理效果。</w:t>
      </w:r>
    </w:p>
    <w:p w14:paraId="13D189AC">
      <w:pPr>
        <w:rPr>
          <w:rFonts w:hint="eastAsia"/>
          <w:lang w:val="en-US" w:eastAsia="zh-CN"/>
        </w:rPr>
      </w:pPr>
      <w:r>
        <w:rPr>
          <w:rFonts w:hint="eastAsia"/>
          <w:lang w:val="en-US" w:eastAsia="zh-CN"/>
        </w:rPr>
        <w:t>在粉末冶金领域，石墨用作铁基粉末冶金制品的渗碳剂和强化剂。将石墨粉与铁粉混合压制成型后进行高温烧结，石墨中的碳原子会扩散渗入铁基体形成渗碳层，提高制品的硬度和耐磨性。石墨还用于制造润滑剂和脱模剂，减少粉末压制过程中的摩擦阻力，提高模具寿命和制品密度。硬质合金生产中使用石墨作为碳源原料，在碳化钨等硬质相的形成过程中提供所需的碳元素。此外，石墨粉还用于金属热处理工艺中的渗碳处理和淬火介质，是冶金行业不可或缺的辅助材料。</w:t>
      </w:r>
    </w:p>
    <w:p w14:paraId="58896DEC">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51" w:name="_Toc24689"/>
      <w:r>
        <w:rPr>
          <w:rFonts w:hint="eastAsia"/>
          <w:lang w:val="en-US" w:eastAsia="zh-CN"/>
        </w:rPr>
        <w:t>（六）</w:t>
      </w:r>
      <w:r>
        <w:rPr>
          <w:rFonts w:hint="eastAsia" w:cs="黑体"/>
          <w:b w:val="0"/>
          <w:bCs w:val="0"/>
          <w:kern w:val="0"/>
          <w:sz w:val="32"/>
          <w:szCs w:val="32"/>
          <w:lang w:val="en-US" w:eastAsia="zh-CN" w:bidi="ar"/>
        </w:rPr>
        <w:t>其他新兴应用领域</w:t>
      </w:r>
      <w:bookmarkEnd w:id="51"/>
    </w:p>
    <w:p w14:paraId="4FD3477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52" w:name="_Toc26994"/>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氢能产业应用</w:t>
      </w:r>
      <w:bookmarkEnd w:id="52"/>
    </w:p>
    <w:p w14:paraId="0C56D709">
      <w:pPr>
        <w:rPr>
          <w:rFonts w:hint="default"/>
          <w:lang w:val="en-US" w:eastAsia="zh-CN"/>
        </w:rPr>
      </w:pPr>
      <w:r>
        <w:rPr>
          <w:rFonts w:hint="default"/>
          <w:lang w:val="en-US" w:eastAsia="zh-CN"/>
        </w:rPr>
        <w:t>氢能作为清洁能源的重要载体受到全球广泛关注，石墨材料在氢能产业链的多个环节具有应用潜力。在氢气生产环节，电解水制氢技术需要使用电解槽设备，其中质子交换膜电解槽（PEM Electrolyzer）的双极板和气体扩散层等部件可以使用石墨材料制造，利用石墨的导电性和耐腐蚀性满足电解槽的工作要求。在氢气储存环节，碳纤维缠绕复合材料高压储氢瓶是主流的车载储氢技术，虽然其承压结构主要使用碳纤维复合材料，但内胆和端部密封件可能涉及石墨基材料的应用。</w:t>
      </w:r>
    </w:p>
    <w:p w14:paraId="50C3D709">
      <w:pPr>
        <w:rPr>
          <w:rFonts w:hint="default"/>
          <w:lang w:val="en-US" w:eastAsia="zh-CN"/>
        </w:rPr>
      </w:pPr>
      <w:r>
        <w:rPr>
          <w:rFonts w:hint="default"/>
          <w:lang w:val="en-US" w:eastAsia="zh-CN"/>
        </w:rPr>
        <w:t>在氢气应用环节，氢燃料电池汽车是氢能应用的重要方向。石墨双极板是氢燃料电池堆的核心组件之一，负责分配反应气体、收集传导电流、隔离各个单电池的工作环境。石墨双极板具有良好的导电性、耐腐蚀性和气密性，是车用燃料电池的首选双极板材料。相比金属双极板，石墨双极板的成本较低、技术成熟度高，但存在机械强度较低、厚度较大等缺点，目前正通过材料改性和结构优化不断提升性能。全球氢能产业的快速发展将为石墨材料创造新的应用场景和市场空间。</w:t>
      </w:r>
    </w:p>
    <w:p w14:paraId="25D36256">
      <w:pPr>
        <w:pStyle w:val="4"/>
        <w:bidi w:val="0"/>
        <w:ind w:left="0" w:leftChars="0" w:firstLine="0" w:firstLineChars="0"/>
        <w:rPr>
          <w:rFonts w:hint="eastAsia"/>
          <w:lang w:val="en-US" w:eastAsia="zh-CN"/>
        </w:rPr>
      </w:pPr>
      <w:bookmarkStart w:id="53" w:name="_Toc2263"/>
      <w:r>
        <w:rPr>
          <w:rFonts w:hint="eastAsia"/>
          <w:lang w:val="en-US" w:eastAsia="zh-CN"/>
        </w:rPr>
        <w:t>2</w:t>
      </w:r>
      <w:r>
        <w:rPr>
          <w:rFonts w:hint="eastAsia"/>
          <w:kern w:val="2"/>
          <w:sz w:val="32"/>
          <w:szCs w:val="32"/>
          <w:lang w:val="en-US" w:eastAsia="zh-CN"/>
        </w:rPr>
        <w:t>.</w:t>
      </w:r>
      <w:r>
        <w:rPr>
          <w:rFonts w:hint="eastAsia"/>
          <w:lang w:val="en-US" w:eastAsia="zh-CN"/>
        </w:rPr>
        <w:t>先进复合材料</w:t>
      </w:r>
      <w:bookmarkEnd w:id="53"/>
    </w:p>
    <w:p w14:paraId="15DBCAF7">
      <w:pPr>
        <w:rPr>
          <w:rFonts w:hint="default"/>
          <w:lang w:val="en-US" w:eastAsia="zh-CN"/>
        </w:rPr>
      </w:pPr>
      <w:r>
        <w:rPr>
          <w:rFonts w:hint="default"/>
          <w:lang w:val="en-US" w:eastAsia="zh-CN"/>
        </w:rPr>
        <w:t>石墨纤维增强复合材料（CFRP）和石墨烯基复合材料代表了石墨材料在先进复合材料领域的发展方向。石墨纤维（碳纤维）是以有机纤维（聚丙烯腈纤维、沥青纤维等）为原料经预氧化、碳化和石墨化处理制成的无机纤维材料，具有高强度、高模量、低密度、耐高温、耐腐蚀等优异性能，广泛应用于航空航天、风力发电、体育休闲、汽车轻量化等领域。全球碳纤维市场需求持续增长，中国作为全球最大的碳纤维消费国和潜在生产国，碳纤维产业发展势头强劲。</w:t>
      </w:r>
    </w:p>
    <w:p w14:paraId="52CE0A80">
      <w:pPr>
        <w:rPr>
          <w:rFonts w:hint="default"/>
          <w:lang w:val="en-US" w:eastAsia="zh-CN"/>
        </w:rPr>
      </w:pPr>
      <w:r>
        <w:rPr>
          <w:rFonts w:hint="default"/>
          <w:lang w:val="en-US" w:eastAsia="zh-CN"/>
        </w:rPr>
        <w:t>石墨烯作为二维碳纳米材料，与其他材料复合可产生协同增强效应，显著改善复合材料的力学、电学、热学性能。石墨烯增强金属基复合材料可用于制造轻量化高强度结构件；石墨烯增强高分子复合材料在柔性电子、热管理、电磁屏蔽等领域具有应用潜力；石墨烯增强陶瓷基复合材料可提高陶瓷的韧性和导电性能。目前石墨烯复合材料仍处于研发和产业化早期阶段，但随着石墨烯制备技术的进步和成本的下降，其应用前景值得期待。</w:t>
      </w:r>
    </w:p>
    <w:p w14:paraId="00EB4C07">
      <w:pPr>
        <w:pStyle w:val="3"/>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jc w:val="both"/>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54" w:name="_Toc3036"/>
      <w:r>
        <w:rPr>
          <w:rFonts w:hint="eastAsia" w:cs="Segoe UI"/>
          <w:b/>
          <w:bCs/>
          <w:i w:val="0"/>
          <w:iCs w:val="0"/>
          <w:caps w:val="0"/>
          <w:spacing w:val="0"/>
          <w:kern w:val="2"/>
          <w:sz w:val="32"/>
          <w:szCs w:val="32"/>
          <w:shd w:val="clear" w:fill="FFFFFF"/>
          <w:lang w:val="en-US" w:eastAsia="zh-CN" w:bidi="ar-SA"/>
        </w:rPr>
        <w:t>四</w:t>
      </w:r>
      <w:r>
        <w:rPr>
          <w:rFonts w:hint="eastAsia" w:ascii="Segoe UI" w:hAnsi="Segoe UI" w:eastAsia="Segoe UI" w:cs="Segoe UI"/>
          <w:b/>
          <w:bCs/>
          <w:i w:val="0"/>
          <w:iCs w:val="0"/>
          <w:caps w:val="0"/>
          <w:spacing w:val="0"/>
          <w:kern w:val="2"/>
          <w:sz w:val="32"/>
          <w:szCs w:val="32"/>
          <w:shd w:val="clear" w:fill="FFFFFF"/>
          <w:lang w:val="en-US" w:eastAsia="zh-CN" w:bidi="ar-SA"/>
        </w:rPr>
        <w:t>、全球各国（地区）产能情况</w:t>
      </w:r>
      <w:bookmarkEnd w:id="54"/>
    </w:p>
    <w:p w14:paraId="058F5050">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55" w:name="_Toc28129"/>
      <w:r>
        <w:rPr>
          <w:rFonts w:hint="eastAsia"/>
          <w:lang w:val="en-US" w:eastAsia="zh-CN"/>
        </w:rPr>
        <w:t>（一）</w:t>
      </w:r>
      <w:r>
        <w:rPr>
          <w:rFonts w:hint="eastAsia" w:cs="黑体"/>
          <w:b w:val="0"/>
          <w:bCs w:val="0"/>
          <w:kern w:val="0"/>
          <w:sz w:val="32"/>
          <w:szCs w:val="32"/>
          <w:lang w:val="en-US" w:eastAsia="zh-CN" w:bidi="ar"/>
        </w:rPr>
        <w:t>全球石墨资源储量分布</w:t>
      </w:r>
      <w:bookmarkEnd w:id="55"/>
    </w:p>
    <w:p w14:paraId="1EAF822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56" w:name="_Toc6788"/>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全球已探明石墨储量</w:t>
      </w:r>
      <w:bookmarkEnd w:id="56"/>
    </w:p>
    <w:p w14:paraId="0BFF577D">
      <w:pPr>
        <w:ind w:left="0" w:leftChars="0" w:firstLine="640" w:firstLineChars="200"/>
        <w:rPr>
          <w:rFonts w:hint="eastAsia"/>
          <w:lang w:val="en-US" w:eastAsia="zh-CN"/>
        </w:rPr>
      </w:pPr>
      <w:r>
        <w:rPr>
          <w:rFonts w:hint="eastAsia"/>
          <w:lang w:val="en-US" w:eastAsia="zh-CN"/>
        </w:rPr>
        <w:t>根据美国地质调查局（USGS）发布的《矿产品摘要2026》（Mineral Commodity Summaries 2026）数据，全球已探明石墨储量约为3.1亿吨，较前几年有显著上调，反映了全球石墨勘查工作的进展和对石墨战略价值认知的提升。</w:t>
      </w:r>
    </w:p>
    <w:p w14:paraId="04B4D76B">
      <w:pPr>
        <w:ind w:left="0" w:leftChars="0" w:firstLine="640" w:firstLineChars="200"/>
        <w:rPr>
          <w:rFonts w:hint="eastAsia"/>
          <w:lang w:val="en-US" w:eastAsia="zh-CN"/>
        </w:rPr>
      </w:pPr>
      <w:r>
        <w:rPr>
          <w:rFonts w:hint="eastAsia"/>
          <w:lang w:val="en-US" w:eastAsia="zh-CN"/>
        </w:rPr>
        <w:t>从地理分布看，全球石墨储量高度集中于少数几个国家，中国、巴西、莫桑比克三国占据全球石墨储量的绝大部分份额。具体而言，中国石墨储量约1亿吨，占比约32%，位列世界第一位；巴西石墨储量约7400万吨，占全球总储量的约24%，位居世界前列</w:t>
      </w:r>
      <w:bookmarkStart w:id="105" w:name="_GoBack"/>
      <w:bookmarkEnd w:id="105"/>
      <w:r>
        <w:rPr>
          <w:rFonts w:hint="eastAsia"/>
          <w:lang w:val="en-US" w:eastAsia="zh-CN"/>
        </w:rPr>
        <w:t>；莫桑比克石墨储量约2500万吨；马达加斯加石墨储量约2700万吨；坦桑尼亚石墨储量约1800万吨；俄罗斯石墨储量约1400万吨；印度石墨储量约860万吨。</w:t>
      </w:r>
    </w:p>
    <w:p w14:paraId="3E5891F5">
      <w:pPr>
        <w:ind w:left="0" w:leftChars="0" w:firstLine="640" w:firstLineChars="200"/>
        <w:rPr>
          <w:rFonts w:hint="eastAsia"/>
          <w:lang w:val="en-US" w:eastAsia="zh-CN"/>
        </w:rPr>
      </w:pPr>
      <w:r>
        <w:rPr>
          <w:rFonts w:hint="eastAsia"/>
          <w:lang w:val="en-US" w:eastAsia="zh-CN"/>
        </w:rPr>
        <w:t>除上述三国外，部分国家存在尚未系统勘查的石墨矿床潜在资源，全球石墨资源的开发潜力远大于当前探明储量数字所反映的水平。</w:t>
      </w:r>
    </w:p>
    <w:p w14:paraId="23B82A7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57" w:name="_Toc8371"/>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区域分布特征与成因</w:t>
      </w:r>
      <w:bookmarkEnd w:id="57"/>
    </w:p>
    <w:p w14:paraId="43A50FA6">
      <w:pPr>
        <w:rPr>
          <w:rFonts w:hint="default"/>
          <w:lang w:val="en-US" w:eastAsia="zh-CN"/>
        </w:rPr>
      </w:pPr>
      <w:r>
        <w:rPr>
          <w:rFonts w:hint="default"/>
          <w:lang w:val="en-US" w:eastAsia="zh-CN"/>
        </w:rPr>
        <w:t>全球石墨储量的区域分布呈现出显著的不均衡特征，这一特征与石墨矿床的成矿地质条件密切相关。石墨矿床的形成需要满足特定的地质条件：需要存在富含碳质的沉积岩系作为成矿物质来源；需要经历足以使碳质发生石墨化的高温高压变质作用或岩浆热事件；需要有利的构造条件控制矿体的定位和保存。这些成矿条件的组合在空间上并不均匀分布，因此决定了全球石墨资源的区域集中性。</w:t>
      </w:r>
    </w:p>
    <w:p w14:paraId="4EAFC3A7">
      <w:pPr>
        <w:rPr>
          <w:rFonts w:hint="default"/>
          <w:lang w:val="en-US" w:eastAsia="zh-CN"/>
        </w:rPr>
      </w:pPr>
      <w:r>
        <w:rPr>
          <w:rFonts w:hint="default"/>
          <w:lang w:val="en-US" w:eastAsia="zh-CN"/>
        </w:rPr>
        <w:t>从成矿时代看，全球石墨矿床主要形成于前寒武纪至古生代早期的古老变质岩系中。这一时期形成的变质岩系在各大洲均有分布，但保存条件和勘查程度参差不齐。亚洲东部（尤其是中国东部和东北部、朝鲜、越南、印度等地）是全球最重要的石墨成矿区带，发育了多个大型至特大型石墨矿床。非洲东部（莫桑比克、马达加斯加、坦桑尼亚、肯尼亚等国）和巴西东部也是重要的石墨成矿远景区。这些地区的石墨矿床多形成于泛非造山带、东非造山带等地质历史时期的大陆碰撞造山带中，经受了强烈的变质作用和花岗质岩浆活动，为石墨的形成提供了有利条件。</w:t>
      </w:r>
    </w:p>
    <w:p w14:paraId="7FD0868C">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58" w:name="_Toc7508"/>
      <w:r>
        <w:rPr>
          <w:rFonts w:hint="eastAsia"/>
          <w:lang w:val="en-US" w:eastAsia="zh-CN"/>
        </w:rPr>
        <w:t>（二）</w:t>
      </w:r>
      <w:r>
        <w:rPr>
          <w:rFonts w:hint="eastAsia" w:cs="黑体"/>
          <w:b w:val="0"/>
          <w:bCs w:val="0"/>
          <w:kern w:val="0"/>
          <w:sz w:val="32"/>
          <w:szCs w:val="32"/>
          <w:lang w:val="en-US" w:eastAsia="zh-CN" w:bidi="ar"/>
        </w:rPr>
        <w:t>主要生产国家产能</w:t>
      </w:r>
      <w:bookmarkEnd w:id="58"/>
    </w:p>
    <w:p w14:paraId="109705B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59" w:name="_Toc8087"/>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中国石墨产能与产量</w:t>
      </w:r>
      <w:bookmarkEnd w:id="59"/>
    </w:p>
    <w:p w14:paraId="3F33AF6D">
      <w:pPr>
        <w:rPr>
          <w:rFonts w:hint="default"/>
          <w:lang w:val="en-US" w:eastAsia="zh-CN"/>
        </w:rPr>
      </w:pPr>
      <w:r>
        <w:rPr>
          <w:rFonts w:hint="default"/>
          <w:lang w:val="en-US" w:eastAsia="zh-CN"/>
        </w:rPr>
        <w:t>中国是全球最大的天然石墨生产国，2025年天然石墨产量约140万吨，约占全球总产量的78%以上，这一比例在近年来虽有轻微下降趋势（主要因其他国家产量增加），但中国在全球石墨供应中的主导地位依然稳固。从矿床分布看，中国石墨矿床主要分布于黑龙江、山东、内蒙古、河南、四川、山西等省份，形成了多个各具特色的石墨产业聚集区。黑龙江省萝北县是中国最重要的鳞片石墨生产基地，被誉为“中国石墨之城”，其石墨矿以矿体规模大、鳞片质量好、品位稳定著称。山东省平度市、莱西市同样是重要的石墨产地，以生产中高端鳞片石墨产品为主。</w:t>
      </w:r>
    </w:p>
    <w:p w14:paraId="3D1F2076">
      <w:pPr>
        <w:rPr>
          <w:rFonts w:hint="default"/>
          <w:lang w:val="en-US" w:eastAsia="zh-CN"/>
        </w:rPr>
      </w:pPr>
      <w:r>
        <w:rPr>
          <w:rFonts w:hint="default"/>
          <w:lang w:val="en-US" w:eastAsia="zh-CN"/>
        </w:rPr>
        <w:t>中国石墨产业已形成了较为完整的产业链体系，涵盖矿石开采、选矿加工、深加工制品生产等各个环节。从企业结构看，中国石墨行业集中度相对较低，存在大量中小型石墨矿和加工企业，市场竞争较为激烈。近年来，在政策引导和市场竞争的双重作用下，行业整合趋势明显，贝特瑞、翔丰华等大型负极材料企业通过垂直整合逐步建立了自己的石墨原料供应体系，提高了原料供应的稳定性和成本控制能力。在产品结构方面，中国石墨产品从早期以出口鳞片石墨精矿为主，逐渐向球形石墨、高纯石墨、负极材料等高附加值产品转型，产业结构调整取得积极进展。</w:t>
      </w:r>
    </w:p>
    <w:p w14:paraId="2A5D629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60" w:name="_Toc32586"/>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巴西石墨产能</w:t>
      </w:r>
      <w:bookmarkEnd w:id="60"/>
    </w:p>
    <w:p w14:paraId="4AF83818">
      <w:pPr>
        <w:ind w:left="0" w:leftChars="0" w:firstLine="640" w:firstLineChars="200"/>
        <w:rPr>
          <w:rFonts w:hint="default"/>
          <w:lang w:val="en-US" w:eastAsia="zh-CN"/>
        </w:rPr>
      </w:pPr>
      <w:r>
        <w:rPr>
          <w:rFonts w:hint="default"/>
          <w:lang w:val="en-US" w:eastAsia="zh-CN"/>
        </w:rPr>
        <w:t>巴西是全球第二大天然石墨生产国，主要生产企业为巴西石墨公司（National Graphite）和格拉菲塔公司（Grafita Tech）等。巴西石墨矿主要分布于米纳斯吉拉斯州和巴伊亚州，以生产大鳞片石墨为主，产品质量享誉国际市场。巴西国家石墨公司运营的矿-选-加工一体化项目是拉丁美洲最大的石墨项目之一，年产石墨精矿能力达到数万吨。格拉菲塔公司专注于高纯石墨和特种石墨产品的生产，其产品主要出口至欧洲和亚洲市场。</w:t>
      </w:r>
    </w:p>
    <w:p w14:paraId="37FE3C73">
      <w:pPr>
        <w:ind w:left="0" w:leftChars="0" w:firstLine="640" w:firstLineChars="200"/>
        <w:rPr>
          <w:rFonts w:hint="default"/>
          <w:lang w:val="en-US" w:eastAsia="zh-CN"/>
        </w:rPr>
      </w:pPr>
      <w:r>
        <w:rPr>
          <w:rFonts w:hint="default"/>
          <w:lang w:val="en-US" w:eastAsia="zh-CN"/>
        </w:rPr>
        <w:t>巴西政府在推动石墨产业发展方面态度积极，将石墨列为国家优先发展的关键矿产之一。巴西拥有良好的矿业投资环境，主要矿业法规完善，基础设施条件较好，为石墨项目的开发和运营提供了有利条件。从市场定位看，巴西石墨产业注重发挥其资源品质优势——巴西产鳞片石墨品位较高、杂质含量低、鳞片结晶度好，在高端石墨制品市场具有竞争优势。近年来，巴西石墨企业积极拓展深加工产品业务，新建或扩建球形石墨、高纯石墨生产线，力图提升产业附加值，减少对初级石墨原料出口的依赖。</w:t>
      </w:r>
    </w:p>
    <w:p w14:paraId="34E159D2">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61" w:name="_Toc32750"/>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莫桑比克石墨产能</w:t>
      </w:r>
      <w:bookmarkEnd w:id="61"/>
    </w:p>
    <w:p w14:paraId="548DB60E">
      <w:pPr>
        <w:rPr>
          <w:rFonts w:hint="default"/>
          <w:lang w:val="en-US" w:eastAsia="zh-CN"/>
        </w:rPr>
      </w:pPr>
      <w:r>
        <w:rPr>
          <w:rFonts w:hint="default"/>
          <w:lang w:val="en-US" w:eastAsia="zh-CN"/>
        </w:rPr>
        <w:t>莫桑比克是近年来全球石墨产业的新兴力量，其石墨产业快速发展始于2010年代后期，随着Balama石墨矿、Montepuez石墨矿等多个大型项目的投产，莫桑比克迅速崛起为全球主要石墨生产国之一。Balama石墨矿由澳大利亚矿业公司Syrah Resources开发运营，是全球最大的石墨矿之一，设计年产能达到35万吨石墨精矿。Balama矿位于赞比西亚省，矿石品位高、资源规模大，生产的鳞片石墨产品以中大型鳞片为主，质量优良。Montepuez石墨矿由另一家澳大利亚公司Battery Minerals运营，同样具有较大的产能规模。</w:t>
      </w:r>
    </w:p>
    <w:p w14:paraId="21BAD2B7">
      <w:pPr>
        <w:rPr>
          <w:rFonts w:hint="default"/>
          <w:lang w:val="en-US" w:eastAsia="zh-CN"/>
        </w:rPr>
      </w:pPr>
      <w:r>
        <w:rPr>
          <w:rFonts w:hint="default"/>
          <w:lang w:val="en-US" w:eastAsia="zh-CN"/>
        </w:rPr>
        <w:t>Syrah Resources公司2024年度报告中披露，Balama石墨矿2024年产量约为3.5万吨。Balama矿的石墨产品以鳞片石墨精矿为主，销往全球负极材料、铸造、润滑剂等市场。2024年，Balama矿曾一度暂停生产，后于2025年6月重启运营。根据2025年最新数据，莫桑比克2025年石墨产量约6万吨。公司同时在推进下游球形石墨加工项目的建设，力图将Balama打造成垂直整合的石墨供应基地。莫桑比克政府将矿业发展作为经济多元化战略的重要组成部分，为石墨项目提供了税收优惠和基础设施支持。</w:t>
      </w:r>
    </w:p>
    <w:p w14:paraId="1025AAC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62" w:name="_Toc25911"/>
      <w:r>
        <w:rPr>
          <w:rFonts w:hint="eastAsia" w:ascii="Times New Roman" w:hAnsi="Times New Roman" w:eastAsia="方正仿宋_GBK"/>
          <w:kern w:val="2"/>
          <w:sz w:val="32"/>
          <w:szCs w:val="32"/>
          <w:lang w:val="en-US" w:eastAsia="zh-CN"/>
        </w:rPr>
        <w:t>4</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马达加斯加石墨产能</w:t>
      </w:r>
      <w:bookmarkEnd w:id="62"/>
    </w:p>
    <w:p w14:paraId="618AC23E">
      <w:pPr>
        <w:rPr>
          <w:rFonts w:hint="default"/>
          <w:lang w:val="en-US" w:eastAsia="zh-CN"/>
        </w:rPr>
      </w:pPr>
      <w:r>
        <w:rPr>
          <w:rFonts w:hint="default"/>
          <w:lang w:val="en-US" w:eastAsia="zh-CN"/>
        </w:rPr>
        <w:t>马达加斯加同样拥有丰富的石墨资源，主要矿区位于该国东部沿海地区，由澳大利亚矿业公司竞争矿产（Strike Resources）和达赫姆矿业（Dathomir Mining）等企业开发运营。马达加斯加石墨矿以品位高、杂质少著称，生产的鳞片石墨产品在国际市场享有良好声誉。竞争矿产公司开发的Masoala半岛石墨项目是该国最重要的在产石墨项目之一，年产石墨精矿能力达到数万吨。除澳大利亚企业外，中国、日本等国家的企业也通过投资并购等方式参与了马达加斯加石墨资源的开发。</w:t>
      </w:r>
    </w:p>
    <w:p w14:paraId="5957E39D">
      <w:pPr>
        <w:rPr>
          <w:rFonts w:hint="default"/>
          <w:lang w:val="en-US" w:eastAsia="zh-CN"/>
        </w:rPr>
      </w:pPr>
      <w:r>
        <w:rPr>
          <w:rFonts w:hint="default"/>
          <w:lang w:val="en-US" w:eastAsia="zh-CN"/>
        </w:rPr>
        <w:t>马达加斯加石墨产业面临的挑战主要包括：基础设施相对落后，增加了产品运输成本；政治稳定性存在一定不确定性；疟疾等热带疾病对矿区运营构成健康风险。近年来，在国际石墨市场需求增长和价格回升的推动下，马达加斯加的石墨产业获得了一定的发展动力，但受制于上述挑战，其产能扩张速度低于预期。马达加斯加政府正在积极改善投资环境，加强道路、电力等基础设施建设，为石墨产业发展创造更好条件。同时，该国也在寻求吸引更多下游加工项目的投资，提高石墨资源的本地加工增值程度。</w:t>
      </w:r>
    </w:p>
    <w:p w14:paraId="6FD48D8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63" w:name="_Toc27762"/>
      <w:r>
        <w:rPr>
          <w:rFonts w:hint="eastAsia" w:ascii="Times New Roman" w:hAnsi="Times New Roman" w:eastAsia="方正仿宋_GBK"/>
          <w:kern w:val="2"/>
          <w:sz w:val="32"/>
          <w:szCs w:val="32"/>
          <w:lang w:val="en-US" w:eastAsia="zh-CN"/>
        </w:rPr>
        <w:t>5</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其他生产国家情况</w:t>
      </w:r>
      <w:bookmarkEnd w:id="63"/>
    </w:p>
    <w:p w14:paraId="6FF66F64">
      <w:pPr>
        <w:ind w:left="0" w:leftChars="0" w:firstLine="640" w:firstLineChars="200"/>
        <w:rPr>
          <w:rFonts w:hint="default"/>
          <w:lang w:val="en-US" w:eastAsia="zh-CN"/>
        </w:rPr>
      </w:pPr>
      <w:r>
        <w:rPr>
          <w:rFonts w:hint="default"/>
          <w:lang w:val="en-US" w:eastAsia="zh-CN"/>
        </w:rPr>
        <w:t>除上述主要生产国外，全球还有多个国家从事石墨开采和加工活动。印度拥有一定的石墨资源储量和生产能力，主要矿区位于奥里萨邦和安得拉邦，由印度石墨工业公司（Graphite India）、Tamil Nadu Minerals等企业经营，但印度石墨产业以满足国内需求为主，出口规模有限。乌克兰曾是重要的石墨生产国，但由于地缘政治冲突影响，其石墨产业受到严重冲击，产量大幅下降。</w:t>
      </w:r>
    </w:p>
    <w:p w14:paraId="4E38F57D">
      <w:pPr>
        <w:ind w:left="0" w:leftChars="0" w:firstLine="640" w:firstLineChars="200"/>
        <w:rPr>
          <w:rFonts w:hint="default"/>
          <w:lang w:val="en-US" w:eastAsia="zh-CN"/>
        </w:rPr>
      </w:pPr>
      <w:r>
        <w:rPr>
          <w:rFonts w:hint="default"/>
          <w:lang w:val="en-US" w:eastAsia="zh-CN"/>
        </w:rPr>
        <w:t>加拿大近年来在石墨勘查开发方面取得积极进展，多个新项目进入开发或试产阶段。Northern Graphite公司正在推进Lac des Iles等石墨项目的开发建设，目标是建成北美地区最大的石墨生产基地之一，以满足北美市场对石墨供应的需求。澳大利亚除莫桑比克项目外，本土也有石墨资源的开发活动，但由于澳大利亚石墨矿品位相对较低，开发成本较高，商业化进程相对缓慢。</w:t>
      </w:r>
    </w:p>
    <w:p w14:paraId="63365C0E">
      <w:pPr>
        <w:ind w:left="0" w:leftChars="0" w:firstLine="640" w:firstLineChars="200"/>
        <w:rPr>
          <w:rFonts w:hint="default"/>
          <w:lang w:val="en-US" w:eastAsia="zh-CN"/>
        </w:rPr>
      </w:pPr>
      <w:r>
        <w:rPr>
          <w:rFonts w:hint="default"/>
          <w:lang w:val="en-US" w:eastAsia="zh-CN"/>
        </w:rPr>
        <w:t>从全球石墨产能的整体格局看，中国占据绝对主导地位，莫桑比克、巴西、马达加斯加三国构成第二梯队，其他国家产量规模相对有限。未来，随着全球石墨需求的持续增长和各资源国开发力度的加大，这一格局可能发生变化，但中国凭借资源禀赋、产业基础和成本优势，仍将在全球石墨供应中保持核心地位。</w:t>
      </w:r>
    </w:p>
    <w:p w14:paraId="100DE621">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eastAsia" w:cs="黑体"/>
          <w:b w:val="0"/>
          <w:bCs w:val="0"/>
          <w:kern w:val="0"/>
          <w:sz w:val="32"/>
          <w:szCs w:val="32"/>
          <w:lang w:val="en-US" w:eastAsia="zh-CN" w:bidi="ar"/>
        </w:rPr>
      </w:pPr>
      <w:bookmarkStart w:id="64" w:name="_Toc11120"/>
      <w:r>
        <w:rPr>
          <w:rFonts w:hint="eastAsia"/>
          <w:lang w:val="en-US" w:eastAsia="zh-CN"/>
        </w:rPr>
        <w:t>（三）</w:t>
      </w:r>
      <w:r>
        <w:rPr>
          <w:rFonts w:hint="eastAsia" w:cs="黑体"/>
          <w:b w:val="0"/>
          <w:bCs w:val="0"/>
          <w:kern w:val="0"/>
          <w:sz w:val="32"/>
          <w:szCs w:val="32"/>
          <w:lang w:val="en-US" w:eastAsia="zh-CN" w:bidi="ar"/>
        </w:rPr>
        <w:t>主要消费国家与地区</w:t>
      </w:r>
      <w:bookmarkEnd w:id="64"/>
    </w:p>
    <w:p w14:paraId="3E6B6B9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65" w:name="_Toc17049"/>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亚洲市场</w:t>
      </w:r>
      <w:bookmarkEnd w:id="65"/>
    </w:p>
    <w:p w14:paraId="7DDE28AD">
      <w:pPr>
        <w:ind w:left="0" w:leftChars="0" w:firstLine="640" w:firstLineChars="200"/>
        <w:rPr>
          <w:rFonts w:hint="default"/>
          <w:lang w:val="en-US" w:eastAsia="zh-CN"/>
        </w:rPr>
      </w:pPr>
      <w:r>
        <w:rPr>
          <w:rFonts w:hint="default"/>
          <w:lang w:val="en-US" w:eastAsia="zh-CN"/>
        </w:rPr>
        <w:t>亚洲是全球最大的石墨消费市场，主要消费国家和地区包括中国、日本、韩国、印度等。中国既是全球最大的石墨生产国，也是最大的石墨消费国，国内石墨消费量约占全球总消费量的50%-55%。中国石墨消费以负极材料、耐火材料、铸造等应用领域为主，其中新能源汽车产业的高速发展带动负极材料领域对石墨的需求快速增长，2024年中国负极材料产量约180万吨，占全球产量的比例超过98%。中国国内石墨消费量增长速度快于产量增长，部分石墨品种已出现供需偏紧的态势。</w:t>
      </w:r>
    </w:p>
    <w:p w14:paraId="7A08B7AF">
      <w:pPr>
        <w:ind w:left="0" w:leftChars="0" w:firstLine="640" w:firstLineChars="200"/>
        <w:rPr>
          <w:rFonts w:hint="default"/>
          <w:lang w:val="en-US" w:eastAsia="zh-CN"/>
        </w:rPr>
      </w:pPr>
      <w:r>
        <w:rPr>
          <w:rFonts w:hint="default"/>
          <w:lang w:val="en-US" w:eastAsia="zh-CN"/>
        </w:rPr>
        <w:t>日本和韩国是全球重要的石墨进口国和消费国，也是全球主要的电池生产国。日本的石墨消费以高端应用为主，包括核工业用高纯石墨、半导体产业用石墨器件、精密铸造用石墨模具等。日本企业对石墨产品质量要求严格，愿意为高品质石墨支付溢价。日本的负极材料产业以人造石墨为主，但对天然石墨也有一定需求。韩国拥有三星SDI、LG新能源、SK On等全球领先的电池企业，是全球最大的锂离子电池出口国之一。韩国电池产业对石墨负极材料的需求量巨大，除从中国进口外，还在积极布局自有石墨供应体系。</w:t>
      </w:r>
    </w:p>
    <w:p w14:paraId="3287B6E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66" w:name="_Toc18978"/>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欧洲市场</w:t>
      </w:r>
      <w:bookmarkEnd w:id="66"/>
    </w:p>
    <w:p w14:paraId="71CCCEB2">
      <w:pPr>
        <w:ind w:left="0" w:leftChars="0" w:firstLine="640" w:firstLineChars="200"/>
        <w:rPr>
          <w:rFonts w:hint="default"/>
          <w:lang w:val="en-US" w:eastAsia="zh-CN"/>
        </w:rPr>
      </w:pPr>
      <w:r>
        <w:rPr>
          <w:rFonts w:hint="default"/>
          <w:lang w:val="en-US" w:eastAsia="zh-CN"/>
        </w:rPr>
        <w:t>欧洲的石墨消费以耐火材料、铸造、润滑剂、密封材料等传统应用领域为主。近年来，随着欧洲新能源汽车产业和电池制造业的发展，负极材料领域的石墨需求增长明显。欧洲本土石墨产量有限，主要依赖进口，来源地包括中国、巴西、莫桑比克、马达加斯加等国家和地区。欧洲电池企业（如ACC等）在欧洲本地化建厂的推进，将带动欧洲石墨需求的进一步增长，但欧洲电池产业目前仍处于产能爬坡阶段，对石墨的实际消费量与产能规划目标之间尚存在差距。</w:t>
      </w:r>
    </w:p>
    <w:p w14:paraId="732F85BB">
      <w:pPr>
        <w:ind w:left="0" w:leftChars="0" w:firstLine="640" w:firstLineChars="200"/>
        <w:rPr>
          <w:rFonts w:hint="default"/>
          <w:color w:val="FF0000"/>
          <w:lang w:val="en-US" w:eastAsia="zh-CN"/>
        </w:rPr>
      </w:pPr>
      <w:r>
        <w:rPr>
          <w:rFonts w:hint="default"/>
          <w:lang w:val="en-US" w:eastAsia="zh-CN"/>
        </w:rPr>
        <w:t>欧盟《关键原材料法案》的出台，对欧洲石墨供应链的建设和保障提出了明确要求。法案要求到2030年，欧盟关键原材料的内部供应占年消费量的比例应达到一定水平，这促使欧洲加快了本土石墨资源的开发和多元化供应渠道的建设。瑞典、芬兰等北欧国家发现的高纯度石墨矿床，为欧洲实现部分石墨自供提供了可能。但考虑到矿产开发周期长、投资规模大、环境保护要求高等因素，欧洲本土石墨供应的快速增长仍需时日。</w:t>
      </w:r>
    </w:p>
    <w:p w14:paraId="10D67F0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67" w:name="_Toc12327"/>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北美市场</w:t>
      </w:r>
      <w:bookmarkEnd w:id="67"/>
    </w:p>
    <w:p w14:paraId="5FE5FDA1">
      <w:pPr>
        <w:ind w:left="0" w:leftChars="0" w:firstLine="640" w:firstLineChars="200"/>
        <w:rPr>
          <w:rFonts w:hint="default"/>
          <w:lang w:val="en-US" w:eastAsia="zh-CN"/>
        </w:rPr>
      </w:pPr>
      <w:r>
        <w:rPr>
          <w:rFonts w:hint="default"/>
          <w:lang w:val="en-US" w:eastAsia="zh-CN"/>
        </w:rPr>
        <w:t>北美（尤其是美国）是全球重要的石墨消费市场，但本土石墨产量十分有限，严重依赖进口。美国地质调查局将天然石墨列为关键矿产，对国外的依赖程度评估为</w:t>
      </w:r>
      <w:r>
        <w:rPr>
          <w:rFonts w:hint="eastAsia"/>
          <w:lang w:val="en-US" w:eastAsia="zh-CN"/>
        </w:rPr>
        <w:t>“</w:t>
      </w:r>
      <w:r>
        <w:rPr>
          <w:rFonts w:hint="default"/>
          <w:lang w:val="en-US" w:eastAsia="zh-CN"/>
        </w:rPr>
        <w:t>高</w:t>
      </w:r>
      <w:r>
        <w:rPr>
          <w:rFonts w:hint="eastAsia"/>
          <w:lang w:val="en-US" w:eastAsia="zh-CN"/>
        </w:rPr>
        <w:t>”</w:t>
      </w:r>
      <w:r>
        <w:rPr>
          <w:rFonts w:hint="default"/>
          <w:lang w:val="en-US" w:eastAsia="zh-CN"/>
        </w:rPr>
        <w:t>。2025年美国关键矿产清单草案已将天然石墨列入其中。美国石墨消费主要集中在石墨电极、锂离子电池负极材料、耐火材料、铸造等应用领域，其中石墨电极用于钢铁行业的电弧炉炼钢，负极材料用于快速发展的新能源汽车和储能电池产业。</w:t>
      </w:r>
    </w:p>
    <w:p w14:paraId="426D0718">
      <w:pPr>
        <w:ind w:left="0" w:leftChars="0" w:firstLine="640" w:firstLineChars="200"/>
        <w:rPr>
          <w:rFonts w:hint="default"/>
          <w:lang w:val="en-US" w:eastAsia="zh-CN"/>
        </w:rPr>
      </w:pPr>
      <w:r>
        <w:rPr>
          <w:rFonts w:hint="default"/>
          <w:lang w:val="en-US" w:eastAsia="zh-CN"/>
        </w:rPr>
        <w:t>为降低石墨供应风险，美国政府采取了一系列措施：加大对本土石墨矿床的勘查力度和支持Battery Minerals、U.S. Critical Materials等本土石墨企业的开发项目；推动与盟友国家的石墨贸易合作，减少对单一来源的依赖；支持石墨回收和替代材料的研发，降低对天然石墨的刚性需求。美国能源部拨款支持在国内建设电池材料加工厂，包括天然石墨和人造石墨的加工设施。Graphite One公司在美国阿拉斯加推进的先进石墨项目，是美国实现石墨本土化供应的重要尝试，该项目涵盖从石墨矿开采到负极材料生产的完整产业链。</w:t>
      </w:r>
    </w:p>
    <w:p w14:paraId="701D0DCC">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68" w:name="_Toc7464"/>
      <w:r>
        <w:rPr>
          <w:rFonts w:hint="eastAsia"/>
          <w:lang w:val="en-US" w:eastAsia="zh-CN"/>
        </w:rPr>
        <w:t>（四）</w:t>
      </w:r>
      <w:r>
        <w:rPr>
          <w:rFonts w:hint="eastAsia" w:cs="黑体"/>
          <w:b w:val="0"/>
          <w:bCs w:val="0"/>
          <w:kern w:val="0"/>
          <w:sz w:val="32"/>
          <w:szCs w:val="32"/>
          <w:lang w:val="en-US" w:eastAsia="zh-CN" w:bidi="ar"/>
        </w:rPr>
        <w:t>全球石墨供需格局分析</w:t>
      </w:r>
      <w:bookmarkEnd w:id="68"/>
    </w:p>
    <w:p w14:paraId="63E9B45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69" w:name="_Toc31273"/>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供需平衡现状</w:t>
      </w:r>
      <w:bookmarkEnd w:id="69"/>
    </w:p>
    <w:p w14:paraId="6DF93714">
      <w:pPr>
        <w:rPr>
          <w:rFonts w:hint="default"/>
          <w:lang w:val="en-US" w:eastAsia="zh-CN"/>
        </w:rPr>
      </w:pPr>
      <w:r>
        <w:rPr>
          <w:rFonts w:hint="default"/>
          <w:lang w:val="en-US" w:eastAsia="zh-CN"/>
        </w:rPr>
        <w:t>从全球视角看，天然石墨目前处于供需基本平衡但结构分化的状态。在总量层面，2025年全球天然石墨产量约180万吨，2022年全球天然石墨消费量约147万吨，预计2025年达到约180万吨，供需关系相对宽松。但从产品结构看，高端大鳞片石墨（尤其是纯度99%以上的大规格鳞片石墨）供应偏紧，而低品位细鳞片石墨存在一定的产能过剩。这种结构性分化与石墨应用领域的特点密切相关：负极材料等高端应用对石墨原料的品位和规格要求较高，而传统应用领域对原料品质的要求相对宽松。</w:t>
      </w:r>
    </w:p>
    <w:p w14:paraId="64D9FE60">
      <w:pPr>
        <w:rPr>
          <w:rFonts w:hint="default"/>
          <w:lang w:val="en-US" w:eastAsia="zh-CN"/>
        </w:rPr>
      </w:pPr>
      <w:r>
        <w:rPr>
          <w:rFonts w:hint="default"/>
          <w:lang w:val="en-US" w:eastAsia="zh-CN"/>
        </w:rPr>
        <w:t>从区域分布看，石墨的供应与需求在地理上存在错配。全球石墨生产高度集中于亚洲（尤其是中国）和非洲东部地区，而消费市场分布相对分散，主要消费地区包括亚洲的中国、日本、韩国，欧洲和美洲等。这种供需错配格局使石墨国际贸易成为全球石墨流通的重要形式，也使石墨供应链的安全性受到各国政府的高度关注。近年来，受地缘政治因素和贸易政策调整影响，石墨国际贸易格局正在发生微妙变化，多元化供应和区域化布局成为各国政策调整的重要方向。</w:t>
      </w:r>
    </w:p>
    <w:p w14:paraId="75CD473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70" w:name="_Toc13193"/>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价格走势与影响因素</w:t>
      </w:r>
      <w:bookmarkEnd w:id="70"/>
    </w:p>
    <w:p w14:paraId="204209C0">
      <w:pPr>
        <w:rPr>
          <w:rFonts w:hint="default"/>
          <w:lang w:val="en-US" w:eastAsia="zh-CN"/>
        </w:rPr>
      </w:pPr>
      <w:r>
        <w:rPr>
          <w:rFonts w:hint="default"/>
          <w:lang w:val="en-US" w:eastAsia="zh-CN"/>
        </w:rPr>
        <w:t>全球石墨市场价格受多种因素影响，呈现周期性波动特征。从长期趋势看，受益于新能源汽车产业的快速发展，石墨需求持续增长，中长期价格走势以上行为主。从短期波动看，石墨价格受供需关系、库存水平、市场预期、汇率变动等因素影响较大，呈现一定的周期性特征。2022年至2023年期间，在下游需求旺盛和上游矿端紧张的共同推动下，石墨市场价格达到阶段性高点。此后，随着新增产能的逐步释放和市场需求增速的阶段性放缓，石墨价格有所回落。</w:t>
      </w:r>
    </w:p>
    <w:p w14:paraId="083E2D51">
      <w:pPr>
        <w:rPr>
          <w:rFonts w:hint="default"/>
          <w:lang w:val="en-US" w:eastAsia="zh-CN"/>
        </w:rPr>
      </w:pPr>
      <w:r>
        <w:rPr>
          <w:rFonts w:hint="default"/>
          <w:lang w:val="en-US" w:eastAsia="zh-CN"/>
        </w:rPr>
        <w:t>影响石墨价格的主要因素包括：一是下游需求变化，尤其是新能源汽车产销量的波动直接影响负极材料市场，进而影响石墨需求；二是上游供应情况，包括主要生产国的产量变化、新项目投产进度、天气和地质灾害对矿山运营的影响等；三是政策因素，包括中国出口管制政策、各国关键矿产政策、环保政策等；四是替代品的影响，人造石墨、其他负极材料（如硅碳负极）的技术进步和成本变化可能对天然石墨需求产生替代效应；五是市场预期和投机行为，期货市场和贸易商的预期判断可能放大价格波动幅度。</w:t>
      </w:r>
    </w:p>
    <w:p w14:paraId="5AD2577C">
      <w:pPr>
        <w:pStyle w:val="3"/>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jc w:val="both"/>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71" w:name="_Toc8433"/>
      <w:r>
        <w:rPr>
          <w:rFonts w:hint="eastAsia" w:cs="Segoe UI"/>
          <w:b/>
          <w:bCs/>
          <w:i w:val="0"/>
          <w:iCs w:val="0"/>
          <w:caps w:val="0"/>
          <w:spacing w:val="0"/>
          <w:kern w:val="2"/>
          <w:sz w:val="32"/>
          <w:szCs w:val="32"/>
          <w:shd w:val="clear" w:fill="FFFFFF"/>
          <w:lang w:val="en-US" w:eastAsia="zh-CN" w:bidi="ar-SA"/>
        </w:rPr>
        <w:t>五</w:t>
      </w:r>
      <w:r>
        <w:rPr>
          <w:rFonts w:hint="eastAsia" w:ascii="Segoe UI" w:hAnsi="Segoe UI" w:eastAsia="Segoe UI" w:cs="Segoe UI"/>
          <w:b/>
          <w:bCs/>
          <w:i w:val="0"/>
          <w:iCs w:val="0"/>
          <w:caps w:val="0"/>
          <w:spacing w:val="0"/>
          <w:kern w:val="2"/>
          <w:sz w:val="32"/>
          <w:szCs w:val="32"/>
          <w:shd w:val="clear" w:fill="FFFFFF"/>
          <w:lang w:val="en-US" w:eastAsia="zh-CN" w:bidi="ar-SA"/>
        </w:rPr>
        <w:t>、国内外主要生产企业及进出口情况</w:t>
      </w:r>
      <w:bookmarkEnd w:id="71"/>
    </w:p>
    <w:p w14:paraId="7057F46C">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72" w:name="_Toc11284"/>
      <w:r>
        <w:rPr>
          <w:rFonts w:hint="eastAsia"/>
          <w:lang w:val="en-US" w:eastAsia="zh-CN"/>
        </w:rPr>
        <w:t>（一）</w:t>
      </w:r>
      <w:r>
        <w:rPr>
          <w:rFonts w:hint="eastAsia" w:cs="黑体"/>
          <w:b w:val="0"/>
          <w:bCs w:val="0"/>
          <w:kern w:val="0"/>
          <w:sz w:val="32"/>
          <w:szCs w:val="32"/>
          <w:lang w:val="en-US" w:eastAsia="zh-CN" w:bidi="ar"/>
        </w:rPr>
        <w:t>中国主要石墨生产企业</w:t>
      </w:r>
      <w:bookmarkEnd w:id="72"/>
    </w:p>
    <w:p w14:paraId="152AD6E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73" w:name="_Toc28875"/>
      <w:r>
        <w:rPr>
          <w:rFonts w:hint="eastAsia"/>
          <w:lang w:val="en-US" w:eastAsia="zh-CN"/>
        </w:rPr>
        <w:t>1</w:t>
      </w:r>
      <w:r>
        <w:rPr>
          <w:rFonts w:hint="eastAsia"/>
          <w:kern w:val="2"/>
          <w:sz w:val="32"/>
          <w:szCs w:val="32"/>
          <w:lang w:val="en-US" w:eastAsia="zh-CN"/>
        </w:rPr>
        <w:t>.</w:t>
      </w:r>
      <w:r>
        <w:rPr>
          <w:rFonts w:hint="eastAsia"/>
          <w:lang w:val="en-US" w:eastAsia="zh-CN"/>
        </w:rPr>
        <w:t>贝特瑞新材料集团股份有限公司</w:t>
      </w:r>
      <w:bookmarkEnd w:id="73"/>
    </w:p>
    <w:p w14:paraId="1CEFEE81">
      <w:pPr>
        <w:ind w:left="0" w:leftChars="0" w:firstLine="640" w:firstLineChars="200"/>
        <w:rPr>
          <w:rFonts w:hint="eastAsia" w:cs="黑体"/>
          <w:b w:val="0"/>
          <w:bCs w:val="0"/>
          <w:kern w:val="0"/>
          <w:sz w:val="32"/>
          <w:szCs w:val="32"/>
          <w:lang w:val="en-US" w:eastAsia="zh-CN" w:bidi="ar"/>
        </w:rPr>
      </w:pPr>
      <w:r>
        <w:rPr>
          <w:rFonts w:hint="default" w:cs="黑体"/>
          <w:b w:val="0"/>
          <w:bCs w:val="0"/>
          <w:kern w:val="0"/>
          <w:sz w:val="32"/>
          <w:szCs w:val="32"/>
          <w:lang w:val="en-US" w:eastAsia="zh-CN" w:bidi="ar"/>
        </w:rPr>
        <w:t>贝特瑞新材料集团股份有限公司是全球最大的锂离子电池负极材料生产企业，2025年负极材料销量达到约60万吨，同比增长约37%，连续16年位居全球第一。公司主营业务涵盖锂离子电池负极材料、正极材料、功能材料的研发、生产和销售，产品广泛应用于新能源汽车、消费电子、储能电站等领域。贝特瑞2025年实现营业收入169.83亿元，同比增长19.29%；利润总额13.58亿元，同比增长18.78%；归属于上市公司股东的净利润8.75亿元。负极材料业务实现营业收入约115亿元，销量超过26万吨（上半年数据），同比增长32.83%。公司已投产负极材料产能达到78.25万吨/年（年末），正在推进惠州8万吨负极材料一体化项目等新产能建设</w:t>
      </w:r>
      <w:r>
        <w:rPr>
          <w:rFonts w:hint="eastAsia" w:cs="黑体"/>
          <w:b w:val="0"/>
          <w:bCs w:val="0"/>
          <w:kern w:val="0"/>
          <w:sz w:val="32"/>
          <w:szCs w:val="32"/>
          <w:lang w:val="en-US" w:eastAsia="zh-CN" w:bidi="ar"/>
        </w:rPr>
        <w:t>。</w:t>
      </w:r>
    </w:p>
    <w:p w14:paraId="1D7512B1">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贝特瑞在天然石墨和人造石墨两大产品系列均具有强大的竞争力。在天然石墨领域，贝特瑞依托自有石墨矿资源和多年积累的加工技术，生产的高端天然石墨负极材料产品性能优异，在容量发挥、循环寿命等方面达到国际先进水平。在人造石墨领域，贝特瑞2025年人造石墨销量同比增长46.23%，创下历史新高。在前沿技术领域，贝特瑞率先实现了硅基负极材料的规模化量产，2025年硅基负极出货量同比增长超65%，位居行业第一，并主导制定了全球首项硅基负极材料国际标准。公司客户群体覆盖了以松下、三星SDI、LG新能源、宁德时代、比亚迪等为代表的全球主流锂电池生产企业。</w:t>
      </w:r>
    </w:p>
    <w:p w14:paraId="2CECA6C2">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在国际化布局方面，贝特瑞在印尼投资建设的年产16万吨负极材料项目（一期）于2024年8月投产，2025年上半年顺利进入满产状态；印尼项目（二期）预计2025年内投产。摩洛哥年产5万吨正极材料和年产6万吨负极材料项目正在稳步推进。在技术研发方面，贝特瑞2025年研发投入约8.40亿元，公司开发了行业内首款匹配全固态电池的锂碳复合负极材料，已通过多家头部电池厂商的技术验证。</w:t>
      </w:r>
    </w:p>
    <w:p w14:paraId="4944846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74" w:name="_Toc4019"/>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上海璞泰来新能源科技股份有限公司</w:t>
      </w:r>
      <w:bookmarkEnd w:id="74"/>
    </w:p>
    <w:p w14:paraId="27A654A9">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上海璞泰来新能源科技股份有限公司是全球领先的新能源电池材料和工艺解决方案提供商，主营业务包括负极材料、涂覆隔膜、锂电设备等三大板块。璞泰来的负极材料业务由旗下子公司紫宸科技具体运营，产品涵盖人造石墨负极材料、天然石墨负极材料、硅基负极材料等全系列品种。璞泰来坚持高端化、差异化的产品定位，其负极材料产品以优异的循环性能、倍率性能和加工性能著称，广泛应用于高端新能源汽车和消费电子电池领域。根据璞泰来2025年年报，公司全年实现营收157.11亿元，同比增长16.83%；实现归母净利润23.59亿元，同比增长98.14%；扣非后归母净利润22.19亿元，同比增长108.74%。负极材料全年出货量14.30万吨，营业收入约35亿元。</w:t>
      </w:r>
    </w:p>
    <w:p w14:paraId="7A2D442A">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在天然石墨业务方面，璞泰来通过深度加工技术提升天然石墨负极材料的性能表现，开发了多款高倍率、快充型天然石墨负极产品，满足了下游客户对快充技术的应用需求。璞泰来还在天然石墨原料的采购策略上进行了优化布局，通过参股或战略合作的方式加强与优质石墨矿山的合作，确保原料品质和供应稳定。在涂覆隔膜领域，璞泰来保持行业领先，2025年公司涂覆加工量达109.42亿㎡，同比增长56.3%，约占全球新能源电池涂覆隔膜市场35.3%的份额。</w:t>
      </w:r>
    </w:p>
    <w:p w14:paraId="296E3A5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75" w:name="_Toc19843"/>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宁波杉杉股份有限公司</w:t>
      </w:r>
      <w:bookmarkEnd w:id="75"/>
    </w:p>
    <w:p w14:paraId="7FA7589C">
      <w:pPr>
        <w:rPr>
          <w:rFonts w:hint="eastAsia"/>
          <w:lang w:val="en-US" w:eastAsia="zh-CN"/>
        </w:rPr>
      </w:pPr>
      <w:r>
        <w:rPr>
          <w:rFonts w:hint="default"/>
          <w:lang w:val="en-US" w:eastAsia="zh-CN"/>
        </w:rPr>
        <w:t>宁波杉杉股份有限公司是中国最早的锂电池材料企业之一，负极材料业务是其核心业务板块。杉杉股份的负极材料产品包括人造石墨、天然石墨、中间相碳微球等多种类型，年产能和销量位居行业前列。公司在人造石墨领域具有技术优势，产品性能稳定，一致性好，在高端市场占有重要份额，2025年人造石墨负极出货量全球第一，市占率达21%。杉杉股份2025年业绩预告显示，公司预计实现归属于上市公司股东的净利润4.0亿元至6.0亿元，与上年同期相比将实现扭亏为盈；预计2025年度实现营收约192.5亿元，同比增长约3%。公司核心业务负极材料和偏光片业务预计合计实现净利润9.0亿元至11.0亿元。2025年上半年负极材料营收43.26亿元，出货量约27万吨</w:t>
      </w:r>
      <w:r>
        <w:rPr>
          <w:rFonts w:hint="eastAsia"/>
          <w:lang w:val="en-US" w:eastAsia="zh-CN"/>
        </w:rPr>
        <w:t>。</w:t>
      </w:r>
    </w:p>
    <w:p w14:paraId="77AA568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76" w:name="_Toc24422"/>
      <w:r>
        <w:rPr>
          <w:rFonts w:hint="eastAsia" w:ascii="Times New Roman" w:hAnsi="Times New Roman" w:eastAsia="方正仿宋_GBK"/>
          <w:kern w:val="2"/>
          <w:sz w:val="32"/>
          <w:szCs w:val="32"/>
          <w:lang w:val="en-US" w:eastAsia="zh-CN"/>
        </w:rPr>
        <w:t>4</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深圳市翔丰华科技股份有限公司</w:t>
      </w:r>
      <w:bookmarkEnd w:id="76"/>
    </w:p>
    <w:p w14:paraId="550AFA44">
      <w:pPr>
        <w:rPr>
          <w:rFonts w:hint="default"/>
          <w:lang w:val="en-US" w:eastAsia="zh-CN"/>
        </w:rPr>
      </w:pPr>
      <w:r>
        <w:rPr>
          <w:rFonts w:hint="default"/>
          <w:lang w:val="en-US" w:eastAsia="zh-CN"/>
        </w:rPr>
        <w:t>深圳市翔丰华科技股份有限公司是专业从事锂离子电池负极材料研发、生产和销售的国家高新技术企业，产品涵盖天然石墨负极材料和人造石墨负极材料两大系列。翔丰华在天然石墨负极材料领域具有较强的技术实力和市场份额，其天然石墨产品以高容量、高压实、高循环寿命著称，在高端新能源汽车电池市场得到广泛应用。</w:t>
      </w:r>
    </w:p>
    <w:p w14:paraId="0B609F18">
      <w:pPr>
        <w:rPr>
          <w:rFonts w:hint="default"/>
          <w:lang w:val="en-US" w:eastAsia="zh-CN"/>
        </w:rPr>
      </w:pPr>
      <w:r>
        <w:rPr>
          <w:rFonts w:hint="default"/>
          <w:lang w:val="en-US" w:eastAsia="zh-CN"/>
        </w:rPr>
        <w:t>翔丰华的主要客户群体包括比亚迪、LG新能源、三星SDI、亿纬锂能等国内外知名锂电池生产企业。公司在广东深圳、福建永安、四川遂宁建立了现代化的生产基地，具备年产数万吨负极材料的生产能力。在天然石墨原料供应方面，翔丰华通过与国内主要石墨矿山的长期合作，保障了原料的稳定供应和质量可控。公司持续推进技术创新和工艺改进，在天然石墨球形化、包覆改性等关键工艺环节取得多项技术突破，产品竞争力不断提升。</w:t>
      </w:r>
    </w:p>
    <w:p w14:paraId="0759AA9D">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77" w:name="_Toc14071"/>
      <w:r>
        <w:rPr>
          <w:rFonts w:hint="eastAsia"/>
          <w:lang w:val="en-US" w:eastAsia="zh-CN"/>
        </w:rPr>
        <w:t>（二）</w:t>
      </w:r>
      <w:r>
        <w:rPr>
          <w:rFonts w:hint="eastAsia" w:cs="黑体"/>
          <w:b w:val="0"/>
          <w:bCs w:val="0"/>
          <w:kern w:val="0"/>
          <w:sz w:val="32"/>
          <w:szCs w:val="32"/>
          <w:lang w:val="en-US" w:eastAsia="zh-CN" w:bidi="ar"/>
        </w:rPr>
        <w:t>国外主要石墨生产企业</w:t>
      </w:r>
      <w:bookmarkEnd w:id="77"/>
    </w:p>
    <w:p w14:paraId="7CA7F13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78" w:name="_Toc31494"/>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澳大利亚Syrah Resources有限公司</w:t>
      </w:r>
      <w:bookmarkEnd w:id="78"/>
    </w:p>
    <w:p w14:paraId="0C477D7E">
      <w:pPr>
        <w:rPr>
          <w:rFonts w:hint="default"/>
          <w:lang w:val="en-US" w:eastAsia="zh-CN"/>
        </w:rPr>
      </w:pPr>
      <w:r>
        <w:rPr>
          <w:rFonts w:hint="default"/>
          <w:lang w:val="en-US" w:eastAsia="zh-CN"/>
        </w:rPr>
        <w:t>Syrah Resources是澳大利亚证券交易所上市的矿业公司，专注于天然石墨资源的开发和运营。公司运营的Balama石墨矿位于莫桑比克Cabo Delgado省，是全球最大的在产石墨矿之一。Balama矿资源禀赋优异，矿石储量规模大、品位高、鳞片质量好，设计年产能达到35万吨石墨精矿。2024年，Balama矿实际产量约为3.5万吨，是全球第二大在产石墨矿山，生产的石墨精矿主要销往全球负极材料、铸造、润滑剂等市场。</w:t>
      </w:r>
    </w:p>
    <w:p w14:paraId="6D62A3D6">
      <w:pPr>
        <w:rPr>
          <w:rFonts w:hint="default"/>
          <w:lang w:val="en-US" w:eastAsia="zh-CN"/>
        </w:rPr>
      </w:pPr>
      <w:r>
        <w:rPr>
          <w:rFonts w:hint="default"/>
          <w:lang w:val="en-US" w:eastAsia="zh-CN"/>
        </w:rPr>
        <w:t>Syrah Resources的发展战略正在从单一的矿石开采向垂直整合转型。公司在美国路易斯安那州投资建设了球形石墨加工设施，采用Balama矿生产的石墨精矿为原料，加工生产电池级球形石墨产品，主要供应北美电动汽车电池市场。这一战略布局旨在抓住美国《通胀削减法案》等政策带来的电池材料本土化需求机遇，减少对亚洲石墨加工产能的依赖。Syrah Resources还与多家电池企业和汽车制造商建立了供应合作关系，为其垂直整合战略提供了市场保障。</w:t>
      </w:r>
    </w:p>
    <w:p w14:paraId="4D4B132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79" w:name="_Toc14146"/>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美国Graphite One公司</w:t>
      </w:r>
      <w:bookmarkEnd w:id="79"/>
    </w:p>
    <w:p w14:paraId="159A0EE6">
      <w:pPr>
        <w:rPr>
          <w:rFonts w:hint="eastAsia"/>
          <w:lang w:val="en-US" w:eastAsia="zh-CN"/>
        </w:rPr>
      </w:pPr>
      <w:r>
        <w:rPr>
          <w:rFonts w:hint="eastAsia"/>
          <w:lang w:val="en-US" w:eastAsia="zh-CN"/>
        </w:rPr>
        <w:t>Graphite One公司是一家专注于北美石墨资源开发的矿业公司，正在推进位于美国阿拉斯加州的先进石墨项目（Advanced Graphite Project）。该项目涵盖从石墨矿开采到负极材料生产的完整产业链，计划分阶段建设：首先是矿端开发，建设石墨矿和选矿设施，年产石墨精矿约17.5万吨；其次是下游加工，建设球形石墨、高纯石墨和负极材料生产线。项目完成后，Graphite One将成为美国本土最大的石墨材料供应商之一，服务于美国新能源汽车和储能电池产业。</w:t>
      </w:r>
    </w:p>
    <w:p w14:paraId="50B8A6E2">
      <w:pPr>
        <w:rPr>
          <w:rFonts w:hint="eastAsia"/>
          <w:lang w:val="en-US" w:eastAsia="zh-CN"/>
        </w:rPr>
      </w:pPr>
      <w:r>
        <w:rPr>
          <w:rFonts w:hint="eastAsia"/>
          <w:lang w:val="en-US" w:eastAsia="zh-CN"/>
        </w:rPr>
        <w:t>Graphite One项目的资源基础为Graphite Creek矿床，位于阿拉斯加州育空-育空高原地区，矿石资源量和品位均较为可观。公司已完成了项目可行性研究，并获得了美国能源部提供的部分资金支持。Graphite One的定位是成为美国关键矿产安全战略的重要参与者，通过本土化石墨供应减少美国对进口的依赖。公司预计在未来数年内完成项目开发，届时将为北美市场提供可靠的石墨材料来源。</w:t>
      </w:r>
    </w:p>
    <w:p w14:paraId="0C7E6BC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80" w:name="_Toc28486"/>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加拿大Northern Graphite公司</w:t>
      </w:r>
      <w:bookmarkEnd w:id="80"/>
    </w:p>
    <w:p w14:paraId="66323322">
      <w:pPr>
        <w:rPr>
          <w:rFonts w:hint="eastAsia"/>
          <w:lang w:val="en-US" w:eastAsia="zh-CN"/>
        </w:rPr>
      </w:pPr>
      <w:r>
        <w:rPr>
          <w:rFonts w:hint="eastAsia"/>
          <w:lang w:val="en-US" w:eastAsia="zh-CN"/>
        </w:rPr>
        <w:t>Northern Graphite公司是加拿大领先的石墨矿业公司，正在开发位于魁北克省的Lac des Iles石墨矿和位于安大略省的Bissett Creek项目。Lac des Iles矿是加拿大在产的主要石墨矿之一，年产石墨精矿约1.5万吨，生产的石墨产品品质优良，主要应用于工业润滑剂、粉末冶金和电池材料市场。公司正在推进Lac des Iles矿的产能扩张项目，计划将年产能提升至数万吨规模。</w:t>
      </w:r>
    </w:p>
    <w:p w14:paraId="5D7836B9">
      <w:pPr>
        <w:rPr>
          <w:rFonts w:hint="eastAsia"/>
          <w:lang w:val="en-US" w:eastAsia="zh-CN"/>
        </w:rPr>
      </w:pPr>
      <w:r>
        <w:rPr>
          <w:rFonts w:hint="eastAsia"/>
          <w:lang w:val="en-US" w:eastAsia="zh-CN"/>
        </w:rPr>
        <w:t>Northern Graphite的战略目标是将公司打造成北美首屈一指的综合性石墨材料供应商。公司不仅从事原矿开采和选矿加工，还计划向球形石墨、负极材料等下游产品延伸。安大略省Bissett Creek项目是公司中长期发展规划的重要组成部分，该项目资源规模大，地理位置靠近重要的交通基础设施，具有较好的开发潜力。Northern Graphite还收购了位于纳米比亚的Okorusu石墨项目，增加了公司的资源组合多样性。</w:t>
      </w:r>
    </w:p>
    <w:p w14:paraId="2E043DF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81" w:name="_Toc12104"/>
      <w:r>
        <w:rPr>
          <w:rFonts w:hint="eastAsia" w:ascii="Times New Roman" w:hAnsi="Times New Roman" w:eastAsia="方正仿宋_GBK"/>
          <w:kern w:val="2"/>
          <w:sz w:val="32"/>
          <w:szCs w:val="32"/>
          <w:lang w:val="en-US" w:eastAsia="zh-CN"/>
        </w:rPr>
        <w:t>4</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韩国大鲜集团（Daewon）</w:t>
      </w:r>
      <w:bookmarkEnd w:id="81"/>
    </w:p>
    <w:p w14:paraId="015F31D7">
      <w:pPr>
        <w:rPr>
          <w:rFonts w:hint="eastAsia"/>
          <w:lang w:val="en-US" w:eastAsia="zh-CN"/>
        </w:rPr>
      </w:pPr>
      <w:r>
        <w:rPr>
          <w:rFonts w:hint="eastAsia"/>
          <w:lang w:val="en-US" w:eastAsia="zh-CN"/>
        </w:rPr>
        <w:t>韩国大鲜集团（DaewonKS Co., Ltd.）是韩国主要的石墨贸易和加工企业，在韩国石墨市场占有重要地位。大鲜集团从事石墨及相关产品的进口、加工和销售业务，主要供应韩国国内钢铁冶金、耐火材料、铸造等传统行业的需求，同时在电池材料领域也有所布局。韩国作为全球重要的电池生产国，对石墨负极材料的需求量较大，但本土石墨产量有限，主要依赖从中国和澳大利亚等国家进口。</w:t>
      </w:r>
    </w:p>
    <w:p w14:paraId="62C4AB0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82" w:name="_Toc27781"/>
      <w:r>
        <w:rPr>
          <w:rFonts w:hint="eastAsia" w:ascii="Times New Roman" w:hAnsi="Times New Roman" w:eastAsia="方正仿宋_GBK"/>
          <w:kern w:val="2"/>
          <w:sz w:val="32"/>
          <w:szCs w:val="32"/>
          <w:lang w:val="en-US" w:eastAsia="zh-CN"/>
        </w:rPr>
        <w:t>5</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日本三菱材料株式会社</w:t>
      </w:r>
      <w:bookmarkEnd w:id="82"/>
    </w:p>
    <w:p w14:paraId="3C3D15E8">
      <w:pPr>
        <w:rPr>
          <w:rFonts w:hint="eastAsia"/>
          <w:lang w:val="en-US" w:eastAsia="zh-CN"/>
        </w:rPr>
      </w:pPr>
      <w:r>
        <w:rPr>
          <w:rFonts w:hint="eastAsia"/>
          <w:lang w:val="en-US" w:eastAsia="zh-CN"/>
        </w:rPr>
        <w:t>日本三菱材料株式会社（Mitsubishi Materials Corporation）是日本主要的综合性材料企业之一，业务涵盖水泥、金属、电子材料等多个领域。公司在石墨业务方面拥有较长的历史，主要从事石墨电极、特种石墨制品的生产和销售，产品应用于钢铁冶金、半导体制造、电子产业等领域。三菱材料在日本国内石墨市场占有重要份额，同时也是日本重要的石墨进口商之一。</w:t>
      </w:r>
    </w:p>
    <w:p w14:paraId="0B154571">
      <w:pPr>
        <w:rPr>
          <w:rFonts w:hint="eastAsia"/>
          <w:lang w:val="en-US" w:eastAsia="zh-CN"/>
        </w:rPr>
      </w:pPr>
      <w:r>
        <w:rPr>
          <w:rFonts w:hint="eastAsia"/>
          <w:lang w:val="en-US" w:eastAsia="zh-CN"/>
        </w:rPr>
        <w:t>三菱材料的石墨产品质量可靠，技术水平先进，在高端市场具有竞争优势。公司注重技术研发和质量管理，在高纯石墨、等静压石墨、热解石墨等特种石墨产品方面积累了丰富的经验。面向新能源汽车和储能电池市场的快速增长，三菱材料正在加大对电池材料业务的投入，包括负极材料用石墨产品的开发和生产。三菱材料还在全球范围内开展石墨资源的投资布局，通过参股海外矿山的方式保障原料供应。</w:t>
      </w:r>
    </w:p>
    <w:p w14:paraId="0A35E5FD">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eastAsia" w:cs="黑体"/>
          <w:b w:val="0"/>
          <w:bCs w:val="0"/>
          <w:kern w:val="0"/>
          <w:sz w:val="32"/>
          <w:szCs w:val="32"/>
          <w:lang w:val="en-US" w:eastAsia="zh-CN" w:bidi="ar"/>
        </w:rPr>
      </w:pPr>
      <w:bookmarkStart w:id="83" w:name="_Toc23729"/>
      <w:r>
        <w:rPr>
          <w:rFonts w:hint="eastAsia"/>
          <w:lang w:val="en-US" w:eastAsia="zh-CN"/>
        </w:rPr>
        <w:t>（三）</w:t>
      </w:r>
      <w:r>
        <w:rPr>
          <w:rFonts w:hint="eastAsia" w:cs="黑体"/>
          <w:b w:val="0"/>
          <w:bCs w:val="0"/>
          <w:kern w:val="0"/>
          <w:sz w:val="32"/>
          <w:szCs w:val="32"/>
          <w:lang w:val="en-US" w:eastAsia="zh-CN" w:bidi="ar"/>
        </w:rPr>
        <w:t>中国石墨进出口贸易分析</w:t>
      </w:r>
      <w:bookmarkEnd w:id="83"/>
    </w:p>
    <w:p w14:paraId="67BDBE7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84" w:name="_Toc30068"/>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出口规模与结构</w:t>
      </w:r>
      <w:bookmarkEnd w:id="84"/>
    </w:p>
    <w:p w14:paraId="45977F74">
      <w:pPr>
        <w:rPr>
          <w:rFonts w:hint="eastAsia"/>
          <w:lang w:val="en-US" w:eastAsia="zh-CN"/>
        </w:rPr>
      </w:pPr>
      <w:r>
        <w:rPr>
          <w:rFonts w:hint="eastAsia"/>
          <w:lang w:val="en-US" w:eastAsia="zh-CN"/>
        </w:rPr>
        <w:t>中国是全球最大的天然石墨出口国，出口量占全球石墨贸易量的主导份额。根据中国海关总署统计数据，2024年中国天然石墨出口量为19.04万吨，同比下降14.18%。从产品结构看，2024年中国鳞片天然石墨（海关商品编码2546.2000）出口6.40万吨，同比大幅下降28.33%；球化天然石墨出口4.20万吨，同比下降24.68%；其他天然石墨（包括土状石墨等）出口8.44万吨，同比下降约5%。2025年以来，受出口管制政策进一步明确以及国际贸易环境变化影响，石墨出口结构持续调整。根据海关数据，2025年1-9月中国天然石墨出口总量约15.24万吨，较2024年同期增长约10.45%。其中鳞片天然石墨出口量7.37万吨，同比增长67.06%；球化天然石墨出口量3.74万吨，同比增长28.68%。</w:t>
      </w:r>
    </w:p>
    <w:p w14:paraId="7602DAE6">
      <w:pPr>
        <w:rPr>
          <w:rFonts w:hint="eastAsia"/>
          <w:lang w:val="en-US" w:eastAsia="zh-CN"/>
        </w:rPr>
      </w:pPr>
      <w:r>
        <w:rPr>
          <w:rFonts w:hint="eastAsia"/>
          <w:lang w:val="en-US" w:eastAsia="zh-CN"/>
        </w:rPr>
        <w:t>出口目的地结构方面，2025年1-9月中国天然石墨出口排名前三的国家和地区分别为：日本4.77万吨（占出口总量的31.3%）、印度尼西亚3.73万吨（占24.5%）、韩国2.59万吨（占17.0%）。值得注意的是，印度尼西亚出口量同比大幅增长1955.3%，这主要是由于中国企业在印尼建设的球形石墨加工设施开始投产，需要从中国进口鳞片石墨原料。</w:t>
      </w:r>
    </w:p>
    <w:p w14:paraId="0867D64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85" w:name="_Toc3211"/>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出口目的地分布</w:t>
      </w:r>
      <w:bookmarkEnd w:id="85"/>
    </w:p>
    <w:p w14:paraId="35D1163F">
      <w:pPr>
        <w:rPr>
          <w:rFonts w:hint="default"/>
          <w:lang w:val="en-US" w:eastAsia="zh-CN"/>
        </w:rPr>
      </w:pPr>
      <w:r>
        <w:rPr>
          <w:rFonts w:hint="default"/>
          <w:lang w:val="en-US" w:eastAsia="zh-CN"/>
        </w:rPr>
        <w:t>从出口目的地看，2024年中国天然石墨出口市场高度集中于少数几个国家和地区。排名前三的出口目的地分别是：日本8.35万吨，占出口总量的43.8%；韩国3.29万吨，占17.3%；美国1.61万吨，占8.5%。这三大市场合计占比接近70%，反映出全球石墨消费需求的高度集中性（日本、韩国是主要的电池生产国，美国石墨消费以工业用途为主）。2025年1-9月数据显示，出口目的地结构有所变化：日本仍为最大出口目的地，但占比下降至31.3%；印度尼西亚跃升为第二大出口目的地，占比达24.5%（主要受中国企业在当地建设球形石墨加工设施影响）；韩国位列第三，占比17.0%。</w:t>
      </w:r>
    </w:p>
    <w:p w14:paraId="017D0591">
      <w:pPr>
        <w:rPr>
          <w:rFonts w:hint="default"/>
          <w:lang w:val="en-US" w:eastAsia="zh-CN"/>
        </w:rPr>
      </w:pPr>
      <w:r>
        <w:rPr>
          <w:rFonts w:hint="default"/>
          <w:lang w:val="en-US" w:eastAsia="zh-CN"/>
        </w:rPr>
        <w:t>日本作为全球石墨的传统主要进口国，其石墨消费以核工业、半导体、精密铸造等高端应用为主，对石墨品质要求较高。韩国石墨进口主要用于满足其庞大的电池产业需求，三星SDI、LG新能源、SK On等电池企业对石墨负极材料的需求量巨大。美国石墨进口以工业用途为主，包括石墨电极、铸造、润滑剂等传统应用领域，近年来随着美国新能源汽车产业的发展，电池级石墨的进口需求也呈增长态势。欧盟地区合计占中国石墨出口的约10%至15%，是第三大出口目的地。</w:t>
      </w:r>
    </w:p>
    <w:p w14:paraId="0F463152">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86" w:name="_Toc2967"/>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主要发货省份</w:t>
      </w:r>
      <w:bookmarkEnd w:id="86"/>
    </w:p>
    <w:p w14:paraId="47344814">
      <w:pPr>
        <w:rPr>
          <w:rFonts w:hint="default"/>
          <w:lang w:val="en-US" w:eastAsia="zh-CN"/>
        </w:rPr>
      </w:pPr>
      <w:r>
        <w:rPr>
          <w:rFonts w:hint="default"/>
          <w:lang w:val="en-US" w:eastAsia="zh-CN"/>
        </w:rPr>
        <w:t>从国内发货省份分布看，2024年中国天然石墨出口主要集中在广东省、山东省和湖南省等石墨主产省份。广东省出口量约7.35万吨，位居各省份首位，主要原因是广东沿海的区位优势和便捷的出口通道，同时广东省及周边地区也分布着较多的石墨加工企业。山东省出口量约6.44万吨，排名第二，山东省拥有丰富的石墨矿藏和成熟的石墨产业集群，平度、莱西等地的石墨产品通过青岛等港口出口。湖南省出口量约2.98万吨，排名第三，湖南是国内重要的石墨产地之一，石墨产品经由长沙、岳阳等口岸出口。说明：海关总署统计月报未单独列出天然石墨分省数据，本节数据来源于第三方平台对海关统计的汇总。</w:t>
      </w:r>
    </w:p>
    <w:p w14:paraId="0B888EC9">
      <w:pPr>
        <w:rPr>
          <w:rFonts w:hint="default"/>
          <w:lang w:val="en-US" w:eastAsia="zh-CN"/>
        </w:rPr>
      </w:pPr>
      <w:r>
        <w:rPr>
          <w:rFonts w:hint="default"/>
          <w:lang w:val="en-US" w:eastAsia="zh-CN"/>
        </w:rPr>
        <w:t>其他重要的石墨出口省份还包括黑龙江、福建、浙江等，这些省份拥有一定的石墨资源和加工产能，通过就近港口出口海外市场。从变化趋势看，主要出口省份的出口量变化与全国整体趋势一致，2024年均出现不同程度的下降，反映了出口管制政策对全国石墨出口的普遍影响。</w:t>
      </w:r>
    </w:p>
    <w:p w14:paraId="177FE8B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87" w:name="_Toc18476"/>
      <w:r>
        <w:rPr>
          <w:rFonts w:hint="eastAsia" w:ascii="Times New Roman" w:hAnsi="Times New Roman" w:eastAsia="方正仿宋_GBK"/>
          <w:kern w:val="2"/>
          <w:sz w:val="32"/>
          <w:szCs w:val="32"/>
          <w:lang w:val="en-US" w:eastAsia="zh-CN"/>
        </w:rPr>
        <w:t>4</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进口情况</w:t>
      </w:r>
      <w:bookmarkEnd w:id="87"/>
    </w:p>
    <w:p w14:paraId="0CB47256">
      <w:pPr>
        <w:rPr>
          <w:rFonts w:hint="default"/>
          <w:lang w:val="en-US" w:eastAsia="zh-CN"/>
        </w:rPr>
      </w:pPr>
      <w:r>
        <w:rPr>
          <w:rFonts w:hint="default"/>
          <w:lang w:val="en-US" w:eastAsia="zh-CN"/>
        </w:rPr>
        <w:t>中国虽然是全球最大的石墨生产国，但同时也进口一定数量的石墨产品，主要是用于满足特定高端应用需求或作为贸易周转。2024年中国天然石墨进口量约为5万吨，进口来源主要包括坦桑尼亚、马达加斯加、莫桑比克等非洲国家以及巴西等南美国家。从产品结构看，中国进口的石墨以高品位大鳞片石墨为主，用于生产高端深加工产品，满足国内核工业、半导体等高端领域的需求。</w:t>
      </w:r>
    </w:p>
    <w:p w14:paraId="002B058A">
      <w:pPr>
        <w:rPr>
          <w:rFonts w:hint="default"/>
          <w:lang w:val="en-US" w:eastAsia="zh-CN"/>
        </w:rPr>
      </w:pPr>
      <w:r>
        <w:rPr>
          <w:rFonts w:hint="default"/>
          <w:lang w:val="en-US" w:eastAsia="zh-CN"/>
        </w:rPr>
        <w:t>进口石墨与国产石墨形成一定的互补关系。中国国产石墨以中小鳞片和中低品位为主，在生产某些高端产品时需要掺配使用进口高品位原料。同时，部分国外矿山生产的石墨产品经由中国加工后再出口，形成国际贸易中的加工贸易形态。随着中国石墨深加工技术的进步和产业升级的推进，进口石墨主要用于满足国内高端需求，出口石墨产品结构也在向高附加值方向发展。</w:t>
      </w:r>
    </w:p>
    <w:p w14:paraId="09F0E02A">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88" w:name="_Toc4398"/>
      <w:r>
        <w:rPr>
          <w:rFonts w:hint="eastAsia"/>
          <w:lang w:val="en-US" w:eastAsia="zh-CN"/>
        </w:rPr>
        <w:t>（四）</w:t>
      </w:r>
      <w:r>
        <w:rPr>
          <w:rFonts w:hint="eastAsia" w:cs="黑体"/>
          <w:b w:val="0"/>
          <w:bCs w:val="0"/>
          <w:kern w:val="0"/>
          <w:sz w:val="32"/>
          <w:szCs w:val="32"/>
          <w:lang w:val="en-US" w:eastAsia="zh-CN" w:bidi="ar"/>
        </w:rPr>
        <w:t>主要国家石墨贸易流向</w:t>
      </w:r>
      <w:bookmarkEnd w:id="88"/>
    </w:p>
    <w:p w14:paraId="0664305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89" w:name="_Toc30230"/>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中日韩石墨贸易</w:t>
      </w:r>
      <w:bookmarkEnd w:id="89"/>
    </w:p>
    <w:p w14:paraId="10C33203">
      <w:pPr>
        <w:rPr>
          <w:rFonts w:hint="default"/>
          <w:lang w:val="en-US" w:eastAsia="zh-CN"/>
        </w:rPr>
      </w:pPr>
      <w:r>
        <w:rPr>
          <w:rFonts w:hint="default"/>
          <w:lang w:val="en-US" w:eastAsia="zh-CN"/>
        </w:rPr>
        <w:t>中国、日本、韩国之间形成了紧密的石墨贸易关系，三国间的石墨贸易量占据全球石墨贸易的重要份额。中国是日本和韩国石墨的主要供应来源，两国从中国进口石墨的数量和金额均保持较高水平。日本从中国进口的石墨以高纯石墨、特种石墨制品为主，韩国则以球形石墨、负极材料用石墨原料为主。三国间的石墨贸易受产业分工格局影响较大：日本在高端石墨制品、石墨深加工技术方面具有优势，中国在石墨原料和基础加工产品方面具有优势，韩国则是重要的石墨消费市场和电池材料生产国。</w:t>
      </w:r>
    </w:p>
    <w:p w14:paraId="13C06FD0">
      <w:pPr>
        <w:rPr>
          <w:rFonts w:hint="default"/>
          <w:lang w:val="en-US" w:eastAsia="zh-CN"/>
        </w:rPr>
      </w:pPr>
      <w:r>
        <w:rPr>
          <w:rFonts w:hint="default"/>
          <w:lang w:val="en-US" w:eastAsia="zh-CN"/>
        </w:rPr>
        <w:t>近年来，中日韩石墨贸易面临一些新的变化因素。中国的出口管制政策对三国间石墨贸易产生了一定影响，部分日本和韩国企业反映从中国进口石墨的流程更加严格，获得出口许可的时间周期有所延长。为应对供应不确定性，日韩电池企业开始在全球范围内布局石墨供应渠道，减少对单一来源的依赖。例如，日韩企业在非洲、东南亚等地区投资石墨项目，或与其他石墨生产国建立供应合作关系。中日韩三国政府也就关键矿产供应链合作保持着沟通对话，共同维护地区产业链供应链的稳定。</w:t>
      </w:r>
    </w:p>
    <w:p w14:paraId="051F573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90" w:name="_Toc4874"/>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中国与西方国家石墨贸易</w:t>
      </w:r>
      <w:bookmarkEnd w:id="90"/>
    </w:p>
    <w:p w14:paraId="0479CED1">
      <w:pPr>
        <w:rPr>
          <w:rFonts w:hint="default"/>
          <w:lang w:val="en-US" w:eastAsia="zh-CN"/>
        </w:rPr>
      </w:pPr>
      <w:r>
        <w:rPr>
          <w:rFonts w:hint="default"/>
          <w:lang w:val="en-US" w:eastAsia="zh-CN"/>
        </w:rPr>
        <w:t>中国与欧美等西方国家间的石墨贸易是全球石墨市场的重要组成部分，但近年来受地缘政治因素影响，贸易关系出现了一些调整变化。欧美国家将石墨列为关键矿产，对中国的石墨供应存在一定程度的战略担忧。美国政府近年来出台了多项政策支持本土石墨开发和其他来源的石墨进口，包括与盟友国家建立关键矿产伙伴关系、限制从特定国家进口特定矿物等。2024年，美国对天然石墨征收的进口关税水平相对较低，部分石墨产品享受最惠国待遇税率，但未来关税政策走向存在不确定性。</w:t>
      </w:r>
    </w:p>
    <w:p w14:paraId="6D4322FC">
      <w:pPr>
        <w:rPr>
          <w:rFonts w:hint="default"/>
          <w:lang w:val="en-US" w:eastAsia="zh-CN"/>
        </w:rPr>
      </w:pPr>
      <w:r>
        <w:rPr>
          <w:rFonts w:hint="default"/>
          <w:lang w:val="en-US" w:eastAsia="zh-CN"/>
        </w:rPr>
        <w:t>欧盟的石墨进口主要来自中国、巴西、莫桑比克等国家和地区，其中从中国进口的石墨占欧盟进口总量的一半以上。欧盟《关键原材料法案》的出台，对欧盟石墨供应的多元化和本土化提出了明确要求，可能在未来影响中欧石墨贸易的规模和结构。澳大利亚虽然在地理上属于亚太地区，但其作为西方阵营成员，在关键矿产政策上与美欧保持一定协调。澳大利亚石墨企业Syrah Resources在莫桑比克开发的Balama矿项目和在美国建设的加工设施，部分目的即是服务西方市场的供应需求。</w:t>
      </w:r>
    </w:p>
    <w:p w14:paraId="6750421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91" w:name="_Toc30426"/>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新兴供应国的贸易格局</w:t>
      </w:r>
      <w:bookmarkEnd w:id="91"/>
    </w:p>
    <w:p w14:paraId="56761FA1">
      <w:pPr>
        <w:rPr>
          <w:rFonts w:hint="default"/>
          <w:lang w:val="en-US" w:eastAsia="zh-CN"/>
        </w:rPr>
      </w:pPr>
      <w:r>
        <w:rPr>
          <w:rFonts w:hint="default"/>
          <w:lang w:val="en-US" w:eastAsia="zh-CN"/>
        </w:rPr>
        <w:t>莫桑比克、马达加斯加、巴西等新兴石墨供应国在全球石墨贸易中的份额正在逐步提升。莫桑比克Balama矿投产后，成为全球重要的石墨出口来源地，其产品主要出口至中国、日本、韩国、欧洲等市场。Syrah Resources公司通过其在莫桑比克的Balama项目和美国的加工设施，建立了从非洲矿山到北美市场的垂直整合供应链，成为全球石墨贸易格局变化的一个缩影。巴西石墨主要出口至美国、欧洲和日本等发达市场，以满足高端应用领域的需求。</w:t>
      </w:r>
    </w:p>
    <w:p w14:paraId="0F98BE56">
      <w:pPr>
        <w:rPr>
          <w:rFonts w:hint="default"/>
          <w:lang w:val="en-US" w:eastAsia="zh-CN"/>
        </w:rPr>
      </w:pPr>
      <w:r>
        <w:rPr>
          <w:rFonts w:hint="default"/>
          <w:lang w:val="en-US" w:eastAsia="zh-CN"/>
        </w:rPr>
        <w:t>非洲新兴石墨供应国面临的挑战包括：基础设施落后增加了运输成本和物流风险；政治稳定性存在一定不确定性；环境保护要求日益严格；资金和技术人才相对短缺。这些挑战制约了非洲石墨产能的快速增长速度和项目开发进度。尽管如此，非洲丰富的石墨资源禀赋仍使其成为全球石墨供应格局演变的重要变量。随着时间的推移和条件的改善，非洲在全球石墨供应链中的地位有望进一步提升，形成与中国互补的供应格局。</w:t>
      </w:r>
    </w:p>
    <w:p w14:paraId="1B479790">
      <w:pPr>
        <w:pStyle w:val="3"/>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jc w:val="both"/>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92" w:name="_Toc596"/>
      <w:r>
        <w:rPr>
          <w:rFonts w:hint="eastAsia" w:cs="Segoe UI"/>
          <w:b/>
          <w:bCs/>
          <w:i w:val="0"/>
          <w:iCs w:val="0"/>
          <w:caps w:val="0"/>
          <w:spacing w:val="0"/>
          <w:kern w:val="2"/>
          <w:sz w:val="32"/>
          <w:szCs w:val="32"/>
          <w:shd w:val="clear" w:fill="FFFFFF"/>
          <w:lang w:val="en-US" w:eastAsia="zh-CN" w:bidi="ar-SA"/>
        </w:rPr>
        <w:t>六</w:t>
      </w:r>
      <w:r>
        <w:rPr>
          <w:rFonts w:hint="eastAsia" w:ascii="Segoe UI" w:hAnsi="Segoe UI" w:eastAsia="Segoe UI" w:cs="Segoe UI"/>
          <w:b/>
          <w:bCs/>
          <w:i w:val="0"/>
          <w:iCs w:val="0"/>
          <w:caps w:val="0"/>
          <w:spacing w:val="0"/>
          <w:kern w:val="2"/>
          <w:sz w:val="32"/>
          <w:szCs w:val="32"/>
          <w:shd w:val="clear" w:fill="FFFFFF"/>
          <w:lang w:val="en-US" w:eastAsia="zh-CN" w:bidi="ar-SA"/>
        </w:rPr>
        <w:t>、查获典型案例及主要走私手法</w:t>
      </w:r>
      <w:bookmarkEnd w:id="92"/>
    </w:p>
    <w:p w14:paraId="0B873BCD">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93" w:name="_Toc18011"/>
      <w:r>
        <w:rPr>
          <w:rFonts w:hint="eastAsia"/>
          <w:lang w:val="en-US" w:eastAsia="zh-CN"/>
        </w:rPr>
        <w:t>（一）</w:t>
      </w:r>
      <w:r>
        <w:rPr>
          <w:rFonts w:hint="eastAsia" w:cs="黑体"/>
          <w:b w:val="0"/>
          <w:bCs w:val="0"/>
          <w:kern w:val="0"/>
          <w:sz w:val="32"/>
          <w:szCs w:val="32"/>
          <w:lang w:val="en-US" w:eastAsia="zh-CN" w:bidi="ar"/>
        </w:rPr>
        <w:t>石墨走私概述与危害</w:t>
      </w:r>
      <w:bookmarkEnd w:id="93"/>
    </w:p>
    <w:p w14:paraId="1CB93CF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94" w:name="_Toc25943"/>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走私活动的成因</w:t>
      </w:r>
      <w:bookmarkEnd w:id="94"/>
    </w:p>
    <w:p w14:paraId="7BCE501C">
      <w:pPr>
        <w:rPr>
          <w:rFonts w:hint="default"/>
          <w:lang w:val="en-US" w:eastAsia="zh-CN"/>
        </w:rPr>
      </w:pPr>
      <w:r>
        <w:rPr>
          <w:rFonts w:hint="default"/>
          <w:lang w:val="en-US" w:eastAsia="zh-CN"/>
        </w:rPr>
        <w:t>石墨作为战略性关键矿产和两用物资，其国际贸易受到各国政府的不同程度的管控。在中国出口管制政策框架下，部分石墨产品需要取得出口许可证才能合法出境；在其他国家，进口石墨也需要符合相关的贸易监管要求。然而，受利益驱动，石墨走私活动仍然存在且花样不断翻新。石墨走私的成因主要包括：一是逃避出口管制，部分石墨物项被列入出口管制清单，未经许可出口属于违法行为，一些不法企业或个人试图通过走私规避管制要求；二是偷逃关税，石墨及其制品的进出口涉及关税、增值税等税费，通过低报价格、伪报品名、夹藏瞒报等方式走私可以偷逃应缴税费；三是规避贸易限制，在某些贸易制裁或禁运措施下，石墨被列为受限贸易商品，走私活动试图规避这些限制措施。</w:t>
      </w:r>
    </w:p>
    <w:p w14:paraId="20D1C5AA">
      <w:pPr>
        <w:rPr>
          <w:rFonts w:hint="default"/>
          <w:lang w:val="en-US" w:eastAsia="zh-CN"/>
        </w:rPr>
      </w:pPr>
      <w:r>
        <w:rPr>
          <w:rFonts w:hint="default"/>
          <w:lang w:val="en-US" w:eastAsia="zh-CN"/>
        </w:rPr>
        <w:t>石墨走私的危害是多方面的。从国家层面看，走私活动破坏了国家对石墨等战略性矿产的管理秩序，威胁国家资源安全和出口管制政策的有效性。从经济层面看，走私活动造成国家税收流失，扰乱了正常的市场竞争秩序，损害了合法经营企业的利益。从安全层面看，被管制的石墨物项如果流入不当使用者手中，可能被用于大规模杀伤性武器扩散、军事装备制造等危害国际和平与安全的目的。从行业层面看，走私活动破坏了行业的健康发展环境，降低了行业整体的合规水平和国际信誉。</w:t>
      </w:r>
    </w:p>
    <w:p w14:paraId="026E846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95" w:name="_Toc11229"/>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走私活动的特点</w:t>
      </w:r>
      <w:bookmarkEnd w:id="95"/>
    </w:p>
    <w:p w14:paraId="02FAA989">
      <w:pPr>
        <w:rPr>
          <w:rFonts w:hint="default"/>
          <w:lang w:val="en-US" w:eastAsia="zh-CN"/>
        </w:rPr>
      </w:pPr>
      <w:r>
        <w:rPr>
          <w:rFonts w:hint="default"/>
          <w:lang w:val="en-US" w:eastAsia="zh-CN"/>
        </w:rPr>
        <w:t>当前石墨走私活动呈现出一些新的特点：一是走私手段不断升级翻新，从最初的简单伪报品名、夹藏瞒报，发展到利用复杂的产品形态进行伪装、伪造贸易单证、利用跨境电商等新渠道走私等；二是走私网络化程度提高，一些走私活动形成了跨地区、跨国家的组织网络，分工明确，配合默契，增加了查缉难度；三是走私目标定向化，针对特定管制物项或特定目的地国家的走私活动增多，反映出走私活动背后可能有明确的利益驱动和客户导向；四是走私行为隐蔽化，部分走私活动伪装成正常的贸易行为，表面上具备完整的单证和流程，隐蔽性较强。</w:t>
      </w:r>
    </w:p>
    <w:p w14:paraId="39C8812E">
      <w:pPr>
        <w:rPr>
          <w:rFonts w:hint="default"/>
          <w:lang w:val="en-US" w:eastAsia="zh-CN"/>
        </w:rPr>
      </w:pPr>
      <w:r>
        <w:rPr>
          <w:rFonts w:hint="default"/>
          <w:lang w:val="en-US" w:eastAsia="zh-CN"/>
        </w:rPr>
        <w:t>石墨走私活动的高发期往往与政策调整密切相关。2023年10月中国发布石墨出口管制公告后的一段时间内，不排除有企业或个人试图在政策生效前突击出口或在政策生效后规避管制走私出口的可能。2024年12月出口管制政策正式化后，走私活动的手法可能进一步演变。海关等执法部门持续加强对石墨走私活动的打击力度，完善风险分析和监管手段，同时加强与国际执法机构的合作，共同打击石墨走私犯罪。</w:t>
      </w:r>
    </w:p>
    <w:p w14:paraId="3FA5220D">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96" w:name="_Toc32714"/>
      <w:r>
        <w:rPr>
          <w:rFonts w:hint="eastAsia"/>
          <w:lang w:val="en-US" w:eastAsia="zh-CN"/>
        </w:rPr>
        <w:t>（二）</w:t>
      </w:r>
      <w:r>
        <w:rPr>
          <w:rFonts w:hint="eastAsia" w:cs="黑体"/>
          <w:b w:val="0"/>
          <w:bCs w:val="0"/>
          <w:kern w:val="0"/>
          <w:sz w:val="32"/>
          <w:szCs w:val="32"/>
          <w:lang w:val="en-US" w:eastAsia="zh-CN" w:bidi="ar"/>
        </w:rPr>
        <w:t>典型走私案例分析</w:t>
      </w:r>
      <w:bookmarkEnd w:id="96"/>
    </w:p>
    <w:p w14:paraId="61E6D43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97" w:name="_Toc6076"/>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伪报商品名称走私石墨案例</w:t>
      </w:r>
      <w:bookmarkEnd w:id="97"/>
    </w:p>
    <w:p w14:paraId="4AE7434D">
      <w:pPr>
        <w:rPr>
          <w:rFonts w:hint="default"/>
          <w:lang w:val="en-US" w:eastAsia="zh-CN"/>
        </w:rPr>
      </w:pPr>
      <w:r>
        <w:rPr>
          <w:rFonts w:hint="default"/>
          <w:lang w:val="en-US" w:eastAsia="zh-CN"/>
        </w:rPr>
        <w:t>伪报商品名称是石墨走私的常见手法之一。不法分子将实际为石墨或石墨制品的货物伪报为其他商品名称报关，企图蒙混过关。例如，将天然鳞片石墨伪报为“人造石墨”、“石墨粉（工业用）”、“碳素材料”等品名，或将球形石墨伪报为“石墨电极废碎料”、“碳黑”等低价值商品名称，偷逃关税或逃避出口管制。此类案件中，不法分子往往在报关单证上做文章，使用模糊、笼统的商品描述或偷换商品名称，与货物的实际品名和性质不符。</w:t>
      </w:r>
    </w:p>
    <w:p w14:paraId="2E7BED65">
      <w:pPr>
        <w:rPr>
          <w:rFonts w:hint="default"/>
          <w:lang w:val="en-US" w:eastAsia="zh-CN"/>
        </w:rPr>
      </w:pPr>
      <w:r>
        <w:rPr>
          <w:rFonts w:hint="default"/>
          <w:lang w:val="en-US" w:eastAsia="zh-CN"/>
        </w:rPr>
        <w:t>海关在对进口货物实施查验时，如果发现货物实际状态与报关申报不符，将依法进行处理。查验过程中发现的伪报石墨案件，根据案件情节轻重，可能涉及行政处罚（罚款、没收货物等）或刑事追究（构成走私罪）。案例显示，部分不法企业曾因将天然石墨伪报为“人造石墨”出口而被海关查获，最终受到行政处罚并被追缴相应税款。此类案件的发生提醒进出口企业必须如实申报货物信息，任何伪报、瞒报行为都将面临法律风险。</w:t>
      </w:r>
    </w:p>
    <w:p w14:paraId="08772410">
      <w:pPr>
        <w:numPr>
          <w:ilvl w:val="0"/>
          <w:numId w:val="0"/>
        </w:numPr>
        <w:ind w:firstLine="640" w:firstLineChars="200"/>
        <w:rPr>
          <w:rFonts w:hint="default"/>
          <w:lang w:val="en-US" w:eastAsia="zh-CN"/>
        </w:rPr>
      </w:pPr>
      <w:r>
        <w:rPr>
          <w:rFonts w:hint="default" w:ascii="Wingdings" w:hAnsi="Wingdings" w:eastAsia="方正仿宋_GBK" w:cstheme="minorBidi"/>
          <w:kern w:val="2"/>
          <w:sz w:val="32"/>
          <w:szCs w:val="32"/>
          <w:lang w:val="en-US" w:eastAsia="zh-CN" w:bidi="ar-SA"/>
        </w:rPr>
        <w:t></w:t>
      </w:r>
      <w:r>
        <w:rPr>
          <w:rFonts w:hint="default"/>
          <w:lang w:val="en-US" w:eastAsia="zh-CN"/>
        </w:rPr>
        <w:t>典型案例1：黄岛海关查获青岛莱特森五金有限公司伪报品名走私天然鳞片石墨案</w:t>
      </w:r>
    </w:p>
    <w:p w14:paraId="569903A0">
      <w:pPr>
        <w:rPr>
          <w:rFonts w:hint="default"/>
          <w:lang w:val="en-US" w:eastAsia="zh-CN"/>
        </w:rPr>
      </w:pPr>
      <w:r>
        <w:rPr>
          <w:rFonts w:hint="default"/>
          <w:lang w:val="en-US" w:eastAsia="zh-CN"/>
        </w:rPr>
        <w:t>查获时间：2023年12月1日</w:t>
      </w:r>
    </w:p>
    <w:p w14:paraId="0D04CFC5">
      <w:pPr>
        <w:rPr>
          <w:rFonts w:hint="default"/>
          <w:lang w:val="en-US" w:eastAsia="zh-CN"/>
        </w:rPr>
      </w:pPr>
      <w:r>
        <w:rPr>
          <w:rFonts w:hint="default"/>
          <w:lang w:val="en-US" w:eastAsia="zh-CN"/>
        </w:rPr>
        <w:t>查获地点：黄岛海关</w:t>
      </w:r>
    </w:p>
    <w:p w14:paraId="7EEADCC6">
      <w:pPr>
        <w:rPr>
          <w:rFonts w:hint="default"/>
          <w:lang w:val="en-US" w:eastAsia="zh-CN"/>
        </w:rPr>
      </w:pPr>
      <w:r>
        <w:rPr>
          <w:rFonts w:hint="default"/>
          <w:lang w:val="en-US" w:eastAsia="zh-CN"/>
        </w:rPr>
        <w:t>核心事实：当事人申报出口“粉末天然石墨”，伪报税号2504109900（无监管），实际为天然鳞片石墨，应归入管制税号25041010，需两用物项出口许可证，涉案数量3200千克。</w:t>
      </w:r>
    </w:p>
    <w:p w14:paraId="42672034">
      <w:pPr>
        <w:rPr>
          <w:rFonts w:hint="default"/>
          <w:lang w:val="en-US" w:eastAsia="zh-CN"/>
        </w:rPr>
      </w:pPr>
      <w:r>
        <w:rPr>
          <w:rFonts w:hint="default"/>
          <w:lang w:val="en-US" w:eastAsia="zh-CN"/>
        </w:rPr>
        <w:t>处置结果：补办许可证后，处罚款0.3万元。</w:t>
      </w:r>
    </w:p>
    <w:p w14:paraId="61186827">
      <w:pPr>
        <w:numPr>
          <w:ilvl w:val="0"/>
          <w:numId w:val="0"/>
        </w:numPr>
        <w:ind w:firstLine="640" w:firstLineChars="200"/>
        <w:rPr>
          <w:rFonts w:hint="default"/>
          <w:lang w:val="en-US" w:eastAsia="zh-CN"/>
        </w:rPr>
      </w:pPr>
      <w:r>
        <w:rPr>
          <w:rFonts w:hint="default" w:ascii="Wingdings" w:hAnsi="Wingdings" w:eastAsia="方正仿宋_GBK" w:cstheme="minorBidi"/>
          <w:kern w:val="2"/>
          <w:sz w:val="32"/>
          <w:szCs w:val="32"/>
          <w:lang w:val="en-US" w:eastAsia="zh-CN" w:bidi="ar-SA"/>
        </w:rPr>
        <w:t></w:t>
      </w:r>
      <w:r>
        <w:rPr>
          <w:rFonts w:hint="default"/>
          <w:lang w:val="en-US" w:eastAsia="zh-CN"/>
        </w:rPr>
        <w:t>典型案例2：石家庄海关查获灵寿县鑫图矿产品有限公司伪报品名出口管制石墨案</w:t>
      </w:r>
    </w:p>
    <w:p w14:paraId="16642863">
      <w:pPr>
        <w:rPr>
          <w:rFonts w:hint="default"/>
          <w:lang w:val="en-US" w:eastAsia="zh-CN"/>
        </w:rPr>
      </w:pPr>
      <w:r>
        <w:rPr>
          <w:rFonts w:hint="default"/>
          <w:lang w:val="en-US" w:eastAsia="zh-CN"/>
        </w:rPr>
        <w:t>查获时间：2024年3月26日</w:t>
      </w:r>
    </w:p>
    <w:p w14:paraId="6D0FF515">
      <w:pPr>
        <w:rPr>
          <w:rFonts w:hint="default"/>
          <w:lang w:val="en-US" w:eastAsia="zh-CN"/>
        </w:rPr>
      </w:pPr>
      <w:r>
        <w:rPr>
          <w:rFonts w:hint="default"/>
          <w:lang w:val="en-US" w:eastAsia="zh-CN"/>
        </w:rPr>
        <w:t>查获地点：口岸海关</w:t>
      </w:r>
    </w:p>
    <w:p w14:paraId="2A5297AB">
      <w:pPr>
        <w:rPr>
          <w:rFonts w:hint="default"/>
          <w:lang w:val="en-US" w:eastAsia="zh-CN"/>
        </w:rPr>
      </w:pPr>
      <w:r>
        <w:rPr>
          <w:rFonts w:hint="default"/>
          <w:lang w:val="en-US" w:eastAsia="zh-CN"/>
        </w:rPr>
        <w:t>核心事实：当事人申报出口“粉末状天然石墨”，伪报税号2504109900（无监管），经查验其中2150千克为天然鳞片石墨，属于管制物项，应归入税号25041010，未取得出口许可证。</w:t>
      </w:r>
    </w:p>
    <w:p w14:paraId="5588423E">
      <w:pPr>
        <w:rPr>
          <w:rFonts w:hint="default"/>
          <w:lang w:val="en-US" w:eastAsia="zh-CN"/>
        </w:rPr>
      </w:pPr>
      <w:r>
        <w:rPr>
          <w:rFonts w:hint="default"/>
          <w:lang w:val="en-US" w:eastAsia="zh-CN"/>
        </w:rPr>
        <w:t>处置结果：处罚款3万元。</w:t>
      </w:r>
    </w:p>
    <w:p w14:paraId="4D6D682B">
      <w:pPr>
        <w:rPr>
          <w:rFonts w:hint="default"/>
          <w:lang w:val="en-US" w:eastAsia="zh-CN"/>
        </w:rPr>
      </w:pPr>
      <w:r>
        <w:rPr>
          <w:rFonts w:hint="eastAsia"/>
          <w:lang w:val="en-US" w:eastAsia="zh-CN"/>
        </w:rPr>
        <w:t>综上，</w:t>
      </w:r>
      <w:r>
        <w:rPr>
          <w:rFonts w:hint="default"/>
          <w:lang w:val="en-US" w:eastAsia="zh-CN"/>
        </w:rPr>
        <w:t>两起案件均为典型的伪报商品名称、伪报税则号列走私行为。当事人利用天然鳞片石墨与普通粉末石墨外观、品名相近的特点，故意将需许可的管制货物伪报为无监管条件商品，逃避两用物项出口管制。此类违规具有隐蔽性强、专业性高、排查难度大的特点，是当前石墨出口监管中的重点风险类型。海关通过归类复核、化验鉴定、单证核查等方式精准识别伪报行为，依法予以处罚，有效维护出口管制秩序。</w:t>
      </w:r>
    </w:p>
    <w:p w14:paraId="637FF8B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98" w:name="_Toc13864"/>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夹藏瞒报走私石墨案例</w:t>
      </w:r>
      <w:bookmarkEnd w:id="98"/>
    </w:p>
    <w:p w14:paraId="102C640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夹藏瞒报是另一种常见的走私手法，即将石墨或石墨制品藏匿于其他货物之中，企图逃避海关监管。例如，在申报为“机械设备零件”、“家具”、“塑料制品”等货物的集装箱中夹藏石墨产品，或在货物的包装夹层、内衬、底部等不易被发现的部位藏匿石墨。此类走私手法试图利用海关查验资源有限和正常贸易量大的条件，侥幸过关。</w:t>
      </w:r>
    </w:p>
    <w:p w14:paraId="07DD234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lang w:val="en-US" w:eastAsia="zh-CN"/>
        </w:rPr>
      </w:pPr>
      <w:r>
        <w:rPr>
          <w:rFonts w:hint="default" w:ascii="Times New Roman" w:hAnsi="Times New Roman" w:eastAsia="方正仿宋_GBK"/>
          <w:kern w:val="2"/>
          <w:sz w:val="32"/>
          <w:szCs w:val="32"/>
          <w:lang w:val="en-US" w:eastAsia="zh-CN"/>
        </w:rPr>
        <w:t>夹藏瞒报走私石墨的案件在海关监管中时有查获。海关通过风险分析、智能审图、货物抽检等手段，能够有效识别此类走私行为。例如，海关在对某企业申报进口的“金属零件”进行查验时，在货物包装底部发现了藏匿的石墨粉；在一批申报为“工艺品”的货物中查获了夹带的石墨电极。夹藏瞒报行为一旦被查获，货物将被依</w:t>
      </w:r>
      <w:r>
        <w:rPr>
          <w:rFonts w:hint="default"/>
          <w:lang w:val="en-US" w:eastAsia="zh-CN"/>
        </w:rPr>
        <w:t>法扣押和没收，涉事企业还可能面临行政处罚甚至刑事追究。</w:t>
      </w:r>
    </w:p>
    <w:p w14:paraId="2ABAFED6">
      <w:pPr>
        <w:numPr>
          <w:ilvl w:val="0"/>
          <w:numId w:val="0"/>
        </w:numPr>
        <w:ind w:firstLine="640" w:firstLineChars="200"/>
        <w:rPr>
          <w:rFonts w:hint="default"/>
          <w:lang w:val="en-US" w:eastAsia="zh-CN"/>
        </w:rPr>
      </w:pPr>
      <w:r>
        <w:rPr>
          <w:rFonts w:hint="default" w:ascii="Wingdings" w:hAnsi="Wingdings" w:eastAsia="方正仿宋_GBK" w:cstheme="minorBidi"/>
          <w:kern w:val="2"/>
          <w:sz w:val="32"/>
          <w:szCs w:val="32"/>
          <w:lang w:val="en-US" w:eastAsia="zh-CN" w:bidi="ar-SA"/>
        </w:rPr>
        <w:t></w:t>
      </w:r>
      <w:r>
        <w:rPr>
          <w:rFonts w:hint="eastAsia"/>
          <w:lang w:val="en-US" w:eastAsia="zh-CN"/>
        </w:rPr>
        <w:t>典型</w:t>
      </w:r>
      <w:r>
        <w:rPr>
          <w:rFonts w:hint="default"/>
          <w:lang w:val="en-US" w:eastAsia="zh-CN"/>
        </w:rPr>
        <w:t>案例1：宁波北仑海关夹藏未申报天然鳞片石墨坩埚案</w:t>
      </w:r>
    </w:p>
    <w:p w14:paraId="135B867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查获时间：2024年11月</w:t>
      </w:r>
    </w:p>
    <w:p w14:paraId="3B7117E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查获地点：宁波北仑海关</w:t>
      </w:r>
    </w:p>
    <w:p w14:paraId="7738782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查获内容：对申报品名为“不锈钢型材、焊条”的出口货物查验时，发现夹藏2个未申报坩埚，经鉴定含28%天然鳞片石墨，属于天然鳞片石墨制品，共计500千克。</w:t>
      </w:r>
    </w:p>
    <w:p w14:paraId="19CB578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违法事实：货物属于出口管制两用物项，当事人未取得《两用物项和技术出口许可证》。</w:t>
      </w:r>
    </w:p>
    <w:p w14:paraId="5EF01D4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lang w:val="en-US" w:eastAsia="zh-CN"/>
        </w:rPr>
      </w:pPr>
      <w:r>
        <w:rPr>
          <w:rFonts w:hint="default" w:ascii="Times New Roman" w:hAnsi="Times New Roman" w:eastAsia="方正仿宋_GBK"/>
          <w:kern w:val="2"/>
          <w:sz w:val="32"/>
          <w:szCs w:val="32"/>
          <w:lang w:val="en-US" w:eastAsia="zh-CN"/>
        </w:rPr>
        <w:t>处置情况：涉案货物</w:t>
      </w:r>
      <w:r>
        <w:rPr>
          <w:rFonts w:hint="default"/>
          <w:lang w:val="en-US" w:eastAsia="zh-CN"/>
        </w:rPr>
        <w:t>已移交相关部门进一步处理。</w:t>
      </w:r>
    </w:p>
    <w:p w14:paraId="683E5921">
      <w:pPr>
        <w:numPr>
          <w:ilvl w:val="0"/>
          <w:numId w:val="0"/>
        </w:numPr>
        <w:ind w:left="640" w:leftChars="200" w:firstLine="217" w:firstLineChars="68"/>
        <w:rPr>
          <w:rFonts w:hint="default"/>
          <w:lang w:val="en-US" w:eastAsia="zh-CN"/>
        </w:rPr>
      </w:pPr>
      <w:r>
        <w:rPr>
          <w:rFonts w:hint="default" w:ascii="Wingdings" w:hAnsi="Wingdings" w:eastAsia="方正仿宋_GBK" w:cstheme="minorBidi"/>
          <w:kern w:val="2"/>
          <w:sz w:val="32"/>
          <w:szCs w:val="32"/>
          <w:lang w:val="en-US" w:eastAsia="zh-CN" w:bidi="ar-SA"/>
        </w:rPr>
        <w:t></w:t>
      </w:r>
      <w:r>
        <w:rPr>
          <w:rFonts w:hint="eastAsia"/>
          <w:lang w:val="en-US" w:eastAsia="zh-CN"/>
        </w:rPr>
        <w:t>典型</w:t>
      </w:r>
      <w:r>
        <w:rPr>
          <w:rFonts w:hint="default"/>
          <w:lang w:val="en-US" w:eastAsia="zh-CN"/>
        </w:rPr>
        <w:t>案例2：深圳宝安机场海关伪报夹藏管制人造石墨制品案</w:t>
      </w:r>
    </w:p>
    <w:p w14:paraId="2323B61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lang w:val="en-US" w:eastAsia="zh-CN"/>
        </w:rPr>
        <w:t>查</w:t>
      </w:r>
      <w:r>
        <w:rPr>
          <w:rFonts w:hint="default" w:ascii="Times New Roman" w:hAnsi="Times New Roman" w:eastAsia="方正仿宋_GBK"/>
          <w:kern w:val="2"/>
          <w:sz w:val="32"/>
          <w:szCs w:val="32"/>
          <w:lang w:val="en-US" w:eastAsia="zh-CN"/>
        </w:rPr>
        <w:t>获时间：2025年1月</w:t>
      </w:r>
    </w:p>
    <w:p w14:paraId="3F3E592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查获地点：深圳宝安机场海关</w:t>
      </w:r>
    </w:p>
    <w:p w14:paraId="2A2A3FE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lang w:val="en-US" w:eastAsia="zh-CN"/>
        </w:rPr>
      </w:pPr>
      <w:r>
        <w:rPr>
          <w:rFonts w:hint="default" w:ascii="Times New Roman" w:hAnsi="Times New Roman" w:eastAsia="方正仿宋_GBK"/>
          <w:kern w:val="2"/>
          <w:sz w:val="32"/>
          <w:szCs w:val="32"/>
          <w:lang w:val="en-US" w:eastAsia="zh-CN"/>
        </w:rPr>
        <w:t>查获内容：对申报品名为“熔炼坩埚”的出口货物查验，经取样送检，确认货物为纯</w:t>
      </w:r>
      <w:r>
        <w:rPr>
          <w:rFonts w:hint="default"/>
          <w:lang w:val="en-US" w:eastAsia="zh-CN"/>
        </w:rPr>
        <w:t>度99.91%、抗折强度42.1兆帕、密度1.76克/立方厘米的人造石墨制品，共计301个、重115千克，符合高纯度、高强度、高密度管制标准。</w:t>
      </w:r>
    </w:p>
    <w:p w14:paraId="1524738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违法事实：当事人未如实申报成分、规格及管制属性，且无法提供出口许可证。</w:t>
      </w:r>
    </w:p>
    <w:p w14:paraId="592B054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处置情况：货物依法查扣，涉案行为违反两用物项出口管制规定。</w:t>
      </w:r>
    </w:p>
    <w:p w14:paraId="70FABA9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eastAsia" w:ascii="Times New Roman" w:hAnsi="Times New Roman" w:eastAsia="方正仿宋_GBK"/>
          <w:kern w:val="2"/>
          <w:sz w:val="32"/>
          <w:szCs w:val="32"/>
          <w:lang w:val="en-US" w:eastAsia="zh-CN"/>
        </w:rPr>
        <w:t>综上，</w:t>
      </w:r>
      <w:r>
        <w:rPr>
          <w:rFonts w:hint="default" w:ascii="Times New Roman" w:hAnsi="Times New Roman" w:eastAsia="方正仿宋_GBK"/>
          <w:kern w:val="2"/>
          <w:sz w:val="32"/>
          <w:szCs w:val="32"/>
          <w:lang w:val="en-US" w:eastAsia="zh-CN"/>
        </w:rPr>
        <w:t>上述两起案件均属于物理隐蔽型夹藏瞒报，是当前石墨走私的典型模式。当事人通过混装入普通货物、伪报商品名称、隐瞒成分与技术指标等方式，将需许可的管制石墨制品伪装成无需监管的普通货物出口。此类手法多发生在海运、空运口岸，呈现小额多批次、包装隐蔽、单证虚假等特征，风险点分散、排查难度较高，直接冲击两用物项出口管制制度的执行效果，也对口岸精准监管与风险防控提出更高要求</w:t>
      </w:r>
      <w:r>
        <w:rPr>
          <w:rFonts w:hint="eastAsia" w:ascii="Times New Roman" w:hAnsi="Times New Roman" w:eastAsia="方正仿宋_GBK"/>
          <w:kern w:val="2"/>
          <w:sz w:val="32"/>
          <w:szCs w:val="32"/>
          <w:lang w:val="en-US" w:eastAsia="zh-CN"/>
        </w:rPr>
        <w:t>。</w:t>
      </w:r>
    </w:p>
    <w:p w14:paraId="619BA99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99" w:name="_Toc971"/>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低报价格走私石墨案例</w:t>
      </w:r>
      <w:bookmarkEnd w:id="99"/>
    </w:p>
    <w:p w14:paraId="1C72EFB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低报价格是进出口贸易中常见的走私手法之一，通过不如实申报货物成交价格来偷逃应缴关税和其他税费。在石墨及其制品的贸易中，部分企业利用石墨产品规格繁多、价格差异大的特点，故意低报成交价格以少缴税款。例如，将实际成交价格为每吨数千美元的高纯石墨申报为每吨数百美元的普通石墨价格，或将球形石墨的价格低报为人造石墨的价格水平。</w:t>
      </w:r>
    </w:p>
    <w:p w14:paraId="74C9089D">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海关价格审核部门通过收集和比对国际市场行情、商品价格信息、企业贸易数据等资料，能够发现和识别异常的价格申报。对于低报价格涉嫌走私的案件，海关会依法要求企业提供真实的交易凭证、发票、合同等资料进行核实，必要时启动海关估价的法定程序。确认为低报价格偷逃税款的，将依法追缴税款并处以相应罚款；情节严重构成犯罪的，移送司法机关追究刑事责任。</w:t>
      </w:r>
    </w:p>
    <w:p w14:paraId="72A452EB">
      <w:pPr>
        <w:numPr>
          <w:ilvl w:val="0"/>
          <w:numId w:val="0"/>
        </w:numPr>
        <w:ind w:left="640" w:leftChars="200" w:firstLine="217" w:firstLineChars="68"/>
        <w:rPr>
          <w:rFonts w:hint="default" w:cs="黑体"/>
          <w:b w:val="0"/>
          <w:bCs w:val="0"/>
          <w:kern w:val="0"/>
          <w:sz w:val="32"/>
          <w:szCs w:val="32"/>
          <w:lang w:val="en-US" w:eastAsia="zh-CN" w:bidi="ar"/>
        </w:rPr>
      </w:pPr>
      <w:r>
        <w:rPr>
          <w:rFonts w:hint="default" w:ascii="Wingdings" w:hAnsi="Wingdings" w:eastAsia="方正仿宋_GBK" w:cs="黑体"/>
          <w:b w:val="0"/>
          <w:bCs w:val="0"/>
          <w:kern w:val="0"/>
          <w:sz w:val="32"/>
          <w:szCs w:val="32"/>
          <w:lang w:val="en-US" w:eastAsia="zh-CN" w:bidi="ar"/>
        </w:rPr>
        <w:t></w:t>
      </w:r>
      <w:r>
        <w:rPr>
          <w:rFonts w:hint="eastAsia" w:cs="黑体"/>
          <w:b w:val="0"/>
          <w:bCs w:val="0"/>
          <w:kern w:val="0"/>
          <w:sz w:val="32"/>
          <w:szCs w:val="32"/>
          <w:lang w:val="en-US" w:eastAsia="zh-CN" w:bidi="ar"/>
        </w:rPr>
        <w:t>典型</w:t>
      </w:r>
      <w:r>
        <w:rPr>
          <w:rFonts w:hint="default" w:cs="黑体"/>
          <w:b w:val="0"/>
          <w:bCs w:val="0"/>
          <w:kern w:val="0"/>
          <w:sz w:val="32"/>
          <w:szCs w:val="32"/>
          <w:lang w:val="en-US" w:eastAsia="zh-CN" w:bidi="ar"/>
        </w:rPr>
        <w:t>案例1：濮耐股份伪报品名+低报价格走私天然鳞片石墨出口案</w:t>
      </w:r>
    </w:p>
    <w:p w14:paraId="6F42F243">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查获时间：2025年5月立案，2026年4月移送起诉</w:t>
      </w:r>
    </w:p>
    <w:p w14:paraId="5DAC680A">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涉案主体：濮耐股份、营口万华物流及公司管理人员</w:t>
      </w:r>
    </w:p>
    <w:p w14:paraId="59CF018A">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违法事实：2023年11月至2025年3月，在天然鳞片石墨被纳入出口管制后，为逃避许可监管并降低申报成本，将管制商品伪报品名、伪报税则号列，以“其他粉末状天然石墨”名义申报出口，累计走私1243.55吨至美国子公司，涉案金额598.47万元。</w:t>
      </w:r>
    </w:p>
    <w:p w14:paraId="10F805DB">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处置结果：4名责任人已被执行逮捕，检察机关以走私国家禁止进出口的货物罪提起公诉，面临刑事处罚。</w:t>
      </w:r>
    </w:p>
    <w:p w14:paraId="7BA34E44">
      <w:pPr>
        <w:numPr>
          <w:ilvl w:val="0"/>
          <w:numId w:val="0"/>
        </w:numPr>
        <w:ind w:left="640" w:leftChars="200" w:firstLine="217" w:firstLineChars="68"/>
        <w:rPr>
          <w:rFonts w:hint="default" w:cs="黑体"/>
          <w:b w:val="0"/>
          <w:bCs w:val="0"/>
          <w:kern w:val="0"/>
          <w:sz w:val="32"/>
          <w:szCs w:val="32"/>
          <w:lang w:val="en-US" w:eastAsia="zh-CN" w:bidi="ar"/>
        </w:rPr>
      </w:pPr>
      <w:r>
        <w:rPr>
          <w:rFonts w:hint="default" w:ascii="Wingdings" w:hAnsi="Wingdings" w:eastAsia="方正仿宋_GBK" w:cs="黑体"/>
          <w:b w:val="0"/>
          <w:bCs w:val="0"/>
          <w:kern w:val="0"/>
          <w:sz w:val="32"/>
          <w:szCs w:val="32"/>
          <w:lang w:val="en-US" w:eastAsia="zh-CN" w:bidi="ar"/>
        </w:rPr>
        <w:t></w:t>
      </w:r>
      <w:r>
        <w:rPr>
          <w:rFonts w:hint="eastAsia" w:cs="黑体"/>
          <w:b w:val="0"/>
          <w:bCs w:val="0"/>
          <w:kern w:val="0"/>
          <w:sz w:val="32"/>
          <w:szCs w:val="32"/>
          <w:lang w:val="en-US" w:eastAsia="zh-CN" w:bidi="ar"/>
        </w:rPr>
        <w:t>典型</w:t>
      </w:r>
      <w:r>
        <w:rPr>
          <w:rFonts w:hint="default" w:cs="黑体"/>
          <w:b w:val="0"/>
          <w:bCs w:val="0"/>
          <w:kern w:val="0"/>
          <w:sz w:val="32"/>
          <w:szCs w:val="32"/>
          <w:lang w:val="en-US" w:eastAsia="zh-CN" w:bidi="ar"/>
        </w:rPr>
        <w:t>案例2：香港华怡公司低报价格走私石墨出口案</w:t>
      </w:r>
    </w:p>
    <w:p w14:paraId="40181C37">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查获时间：2009年3月—2012年10月案发，经一审、二审终审</w:t>
      </w:r>
      <w:r>
        <w:rPr>
          <w:rFonts w:hint="eastAsia" w:cs="黑体"/>
          <w:b w:val="0"/>
          <w:bCs w:val="0"/>
          <w:kern w:val="0"/>
          <w:sz w:val="32"/>
          <w:szCs w:val="32"/>
          <w:lang w:val="en-US" w:eastAsia="zh-CN" w:bidi="ar"/>
        </w:rPr>
        <w:t>。</w:t>
      </w:r>
    </w:p>
    <w:p w14:paraId="4B8893A1">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涉案主体：香港华怡公司、王牧等犯罪团伙</w:t>
      </w:r>
    </w:p>
    <w:p w14:paraId="23DFF043">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违法事实：借用他人资质出口，长期低报成交价格，伪造合同、发票等单证，以远低于对日实际售价申报，逃避20%出口关税。累计虚假申报出口石墨球26947.8吨、石墨砂1000吨，偷逃税款321.85万元。</w:t>
      </w:r>
    </w:p>
    <w:p w14:paraId="12B038CD">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处置结果：单位被判罚金1000万元，主犯王牧被判处有期徒刑六年，构成走私普通货物罪。</w:t>
      </w:r>
    </w:p>
    <w:p w14:paraId="0BFF27FF">
      <w:pPr>
        <w:ind w:left="0" w:leftChars="0" w:firstLine="640" w:firstLineChars="200"/>
        <w:rPr>
          <w:rFonts w:hint="default" w:cs="黑体"/>
          <w:b w:val="0"/>
          <w:bCs w:val="0"/>
          <w:kern w:val="0"/>
          <w:sz w:val="32"/>
          <w:szCs w:val="32"/>
          <w:lang w:val="en-US" w:eastAsia="zh-CN" w:bidi="ar"/>
        </w:rPr>
      </w:pPr>
      <w:r>
        <w:rPr>
          <w:rFonts w:hint="eastAsia" w:cs="黑体"/>
          <w:b w:val="0"/>
          <w:bCs w:val="0"/>
          <w:kern w:val="0"/>
          <w:sz w:val="32"/>
          <w:szCs w:val="32"/>
          <w:lang w:val="en-US" w:eastAsia="zh-CN" w:bidi="ar"/>
        </w:rPr>
        <w:t>综上，</w:t>
      </w:r>
      <w:r>
        <w:rPr>
          <w:rFonts w:hint="default" w:cs="黑体"/>
          <w:b w:val="0"/>
          <w:bCs w:val="0"/>
          <w:kern w:val="0"/>
          <w:sz w:val="32"/>
          <w:szCs w:val="32"/>
          <w:lang w:val="en-US" w:eastAsia="zh-CN" w:bidi="ar"/>
        </w:rPr>
        <w:t>上述两起案件是石墨出口环节低报价格叠加伪报品名违规的典型代表。前者在出口管制实施后，通过伪报税号逃避监管并变相压低申报价值；后者以长期、专业化操作低报价格，偷逃大额出口关税，均体现出团伙化、链条化、长期化特征。此类行为不仅造成国家税款流失，更直接冲击出口管制制度与通关秩序。海关通过价格核查、归类鉴定、缉私侦查等全链条监管，对低报价格走私行为依法从严打击，对构成犯罪的坚决追究刑事责任，有效维护国家贸易安全与管制秩序。</w:t>
      </w:r>
    </w:p>
    <w:p w14:paraId="096874B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100" w:name="_Toc19742"/>
      <w:r>
        <w:rPr>
          <w:rFonts w:hint="eastAsia" w:ascii="Times New Roman" w:hAnsi="Times New Roman" w:eastAsia="方正仿宋_GBK"/>
          <w:kern w:val="2"/>
          <w:sz w:val="32"/>
          <w:szCs w:val="32"/>
          <w:lang w:val="en-US" w:eastAsia="zh-CN"/>
        </w:rPr>
        <w:t>4</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伪报原产地走私石墨案例</w:t>
      </w:r>
      <w:bookmarkEnd w:id="100"/>
    </w:p>
    <w:p w14:paraId="59370437">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部分石墨贸易涉及原产地标记和贸易优惠待遇，不法分子可能通过伪报原产地来骗取关税优惠或规避贸易限制。例如，将实际产自中国的石墨伪报为产自其他享有贸易优惠待遇的国家或地区，以享受较低或零关税待遇；或将受管制石墨货物的原产地伪装成非管制来源。此类行为违反原产地管理法规，损害了正常贸易秩序和国家税收利益。</w:t>
      </w:r>
    </w:p>
    <w:p w14:paraId="4074C10A">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海关通过原产地证书审核、原产地调查、货物溯源核查等手段，能够有效识别伪报原产地的违法行为。原产地证书联网核查系统的建立，使得海关能够快速核实证书真伪和货物对应关系。发现伪报原产地行为的，将依法追缴相应税款或取消关税优惠待遇，并对涉事企业进行处罚。近年来，海关持续加强了对进出口货物原产地的监管力度，原产地申报的合规性要求日益严格。</w:t>
      </w:r>
    </w:p>
    <w:p w14:paraId="60295675">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目前天然鳞片石墨直接伪报原产地的公开案例相对有限，但结合关键矿产监管经验与国际贸易形势，该方式已成为规避出口管制、应对海外贸易壁垒的高发隐蔽手段，操作模式固化、风险特征突出。</w:t>
      </w:r>
    </w:p>
    <w:p w14:paraId="076CBE52">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主流违规模式分为两类</w:t>
      </w:r>
      <w:r>
        <w:rPr>
          <w:rFonts w:hint="eastAsia" w:cs="黑体"/>
          <w:b w:val="0"/>
          <w:bCs w:val="0"/>
          <w:kern w:val="0"/>
          <w:sz w:val="32"/>
          <w:szCs w:val="32"/>
          <w:lang w:val="en-US" w:eastAsia="zh-CN" w:bidi="ar"/>
        </w:rPr>
        <w:t>，</w:t>
      </w:r>
      <w:r>
        <w:rPr>
          <w:rFonts w:hint="default" w:cs="黑体"/>
          <w:b w:val="0"/>
          <w:bCs w:val="0"/>
          <w:kern w:val="0"/>
          <w:sz w:val="32"/>
          <w:szCs w:val="32"/>
          <w:lang w:val="en-US" w:eastAsia="zh-CN" w:bidi="ar"/>
        </w:rPr>
        <w:t>一是第三国中转洗货洗单，将国产管制石墨经越南、马来西亚、泰国等地区简单拼装、中转，通过篡改物流单据、虚构加工记录，伪报为中转国原产，同时规避国内出口许可与境外双反、贸易限制措施；二是直接伪造单证，通过变造原产地证书、矿源材料、生产台账，将中国受控石墨标注为非管制产地，选取低风险口岸申报出口，逃避通关合规审查。</w:t>
      </w:r>
    </w:p>
    <w:p w14:paraId="4919C61B">
      <w:pPr>
        <w:ind w:left="0" w:leftChars="0" w:firstLine="640" w:firstLineChars="200"/>
        <w:rPr>
          <w:rFonts w:hint="default" w:cs="黑体"/>
          <w:b w:val="0"/>
          <w:bCs w:val="0"/>
          <w:kern w:val="0"/>
          <w:sz w:val="32"/>
          <w:szCs w:val="32"/>
          <w:lang w:val="en-US" w:eastAsia="zh-CN" w:bidi="ar"/>
        </w:rPr>
      </w:pPr>
      <w:r>
        <w:rPr>
          <w:rFonts w:hint="default" w:cs="黑体"/>
          <w:b w:val="0"/>
          <w:bCs w:val="0"/>
          <w:kern w:val="0"/>
          <w:sz w:val="32"/>
          <w:szCs w:val="32"/>
          <w:lang w:val="en-US" w:eastAsia="zh-CN" w:bidi="ar"/>
        </w:rPr>
        <w:t>综上，原产地伪报属于复合型违法违规行为，同时违反原产地管理规则与关键矿产出口管制制度。该手段隐蔽性强、跨境链条复杂，不仅造成国内税收流失与管制失效，还易引发境外海关追溯调查、贸易制裁等跨境合规风险，是当前石墨及战略性矿产进出口监管的重点防控方向。</w:t>
      </w:r>
    </w:p>
    <w:bookmarkEnd w:id="6"/>
    <w:p w14:paraId="5D5232C2">
      <w:pPr>
        <w:pStyle w:val="4"/>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jc w:val="left"/>
        <w:textAlignment w:val="auto"/>
        <w:outlineLvl w:val="1"/>
        <w:rPr>
          <w:rFonts w:hint="default" w:cs="黑体"/>
          <w:b w:val="0"/>
          <w:bCs w:val="0"/>
          <w:kern w:val="0"/>
          <w:sz w:val="32"/>
          <w:szCs w:val="32"/>
          <w:lang w:val="en-US" w:eastAsia="zh-CN" w:bidi="ar"/>
        </w:rPr>
      </w:pPr>
      <w:bookmarkStart w:id="101" w:name="_Toc5025"/>
      <w:r>
        <w:rPr>
          <w:rFonts w:hint="eastAsia"/>
          <w:lang w:val="en-US" w:eastAsia="zh-CN"/>
        </w:rPr>
        <w:t>（三）</w:t>
      </w:r>
      <w:r>
        <w:rPr>
          <w:rFonts w:hint="eastAsia" w:cs="黑体"/>
          <w:b w:val="0"/>
          <w:bCs w:val="0"/>
          <w:kern w:val="0"/>
          <w:sz w:val="32"/>
          <w:szCs w:val="32"/>
          <w:lang w:val="en-US" w:eastAsia="zh-CN" w:bidi="ar"/>
        </w:rPr>
        <w:t>走私手法的演变趋势</w:t>
      </w:r>
      <w:bookmarkEnd w:id="101"/>
    </w:p>
    <w:p w14:paraId="6996C72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default" w:ascii="Times New Roman" w:hAnsi="Times New Roman" w:eastAsia="方正仿宋_GBK"/>
          <w:kern w:val="2"/>
          <w:sz w:val="32"/>
          <w:szCs w:val="32"/>
          <w:lang w:val="en-US" w:eastAsia="zh-CN"/>
        </w:rPr>
      </w:pPr>
      <w:bookmarkStart w:id="102" w:name="_Toc27927"/>
      <w:r>
        <w:rPr>
          <w:rFonts w:hint="eastAsia" w:ascii="Times New Roman" w:hAnsi="Times New Roman" w:eastAsia="方正仿宋_GBK"/>
          <w:kern w:val="2"/>
          <w:sz w:val="32"/>
          <w:szCs w:val="32"/>
          <w:lang w:val="en-US" w:eastAsia="zh-CN"/>
        </w:rPr>
        <w:t>1</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利用新贸易形态走私</w:t>
      </w:r>
      <w:bookmarkEnd w:id="102"/>
    </w:p>
    <w:p w14:paraId="2F2E75E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随着跨境电商、市场采购、外贸综合服务平台等新贸易形态的快速发展，石墨走私活动也出现了新的载体和渠道。部分不法分子利用跨境电商零售进口商品批次多、批量小、通关速度快的特点，将石墨产品化整为零伪报为个人物品或小额零售商品进口，以逃避正常贸易监管。市场采购贸易中，部分商品以“多品种、多批次、小批量”的方式快速通关，增加了海关精准监管的难度。</w:t>
      </w:r>
    </w:p>
    <w:p w14:paraId="3793027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r>
        <w:rPr>
          <w:rFonts w:hint="default" w:ascii="Times New Roman" w:hAnsi="Times New Roman" w:eastAsia="方正仿宋_GBK"/>
          <w:kern w:val="2"/>
          <w:sz w:val="32"/>
          <w:szCs w:val="32"/>
          <w:lang w:val="en-US" w:eastAsia="zh-CN"/>
        </w:rPr>
        <w:t>外贸综合服务平台在为中小企业提供通关、物流、结汇等便利化服务的同时，也可能被不法分子利用作为走私渠道。海关等部门已注意到这些风险点，不断完善对新兴贸易业态的监管制度，加强数据分析和风险防控，防止石墨等管制物品通过新渠道非法进出境。进出口企业应选择合规的贸易渠道和通关方式，自觉抵制走私违法行为，维护良好的进出口贸易秩序。</w:t>
      </w:r>
    </w:p>
    <w:p w14:paraId="4A32143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103" w:name="_Toc23650"/>
      <w:r>
        <w:rPr>
          <w:rFonts w:hint="eastAsia" w:ascii="Times New Roman" w:hAnsi="Times New Roman" w:eastAsia="方正仿宋_GBK"/>
          <w:kern w:val="2"/>
          <w:sz w:val="32"/>
          <w:szCs w:val="32"/>
          <w:lang w:val="en-US" w:eastAsia="zh-CN"/>
        </w:rPr>
        <w:t>2</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利用加工贸易渠道走私</w:t>
      </w:r>
      <w:bookmarkEnd w:id="103"/>
    </w:p>
    <w:p w14:paraId="51EED0A3">
      <w:pPr>
        <w:rPr>
          <w:rFonts w:hint="default"/>
          <w:lang w:val="en-US" w:eastAsia="zh-CN"/>
        </w:rPr>
      </w:pPr>
      <w:r>
        <w:rPr>
          <w:rFonts w:hint="default"/>
          <w:lang w:val="en-US" w:eastAsia="zh-CN"/>
        </w:rPr>
        <w:t>加工贸易渠道是石墨走私的又一可能途径。部分企业利用加工贸易保税政策，将本应内销的保税石墨或石墨加工产品擅自倒卖、转让或挪作他用，逃避海关监管。例如，加工贸易企业将进口保税石墨原料加工成制成品后，未按规定复运出境而擅自内销；或将在国内采购的石墨原料混入保税料件中进行深加工后出口骗取退税。此类行为损害了国家税收利益，扰乱了加工贸易管理秩序。</w:t>
      </w:r>
    </w:p>
    <w:p w14:paraId="06D8841B">
      <w:pPr>
        <w:rPr>
          <w:rFonts w:hint="default"/>
          <w:lang w:val="en-US" w:eastAsia="zh-CN"/>
        </w:rPr>
      </w:pPr>
      <w:r>
        <w:rPr>
          <w:rFonts w:hint="default"/>
          <w:lang w:val="en-US" w:eastAsia="zh-CN"/>
        </w:rPr>
        <w:t>海关对加工贸易实施严密监管，通过核销、核查、稽查等手段确保保税料件的全程受控。近年来，海关持续加强对加工贸易企业的信用管理，对高风险企业实施重点监管，同时推进加工贸易监管信息化系统建设，提高监管效能。企业从事加工贸易业务应严格遵守相关规定，建立健全内部管理制度，确保保税料件的使用、流转和处置合法合规。</w:t>
      </w:r>
    </w:p>
    <w:p w14:paraId="0F75DFE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104" w:name="_Toc21354"/>
      <w:r>
        <w:rPr>
          <w:rFonts w:hint="eastAsia" w:ascii="Times New Roman" w:hAnsi="Times New Roman" w:eastAsia="方正仿宋_GBK"/>
          <w:kern w:val="2"/>
          <w:sz w:val="32"/>
          <w:szCs w:val="32"/>
          <w:lang w:val="en-US" w:eastAsia="zh-CN"/>
        </w:rPr>
        <w:t>3</w:t>
      </w:r>
      <w:r>
        <w:rPr>
          <w:rFonts w:hint="eastAsia"/>
          <w:kern w:val="2"/>
          <w:sz w:val="32"/>
          <w:szCs w:val="32"/>
          <w:lang w:val="en-US" w:eastAsia="zh-CN"/>
        </w:rPr>
        <w:t>.</w:t>
      </w:r>
      <w:r>
        <w:rPr>
          <w:rFonts w:hint="eastAsia" w:ascii="Times New Roman" w:hAnsi="Times New Roman" w:eastAsia="方正仿宋_GBK"/>
          <w:kern w:val="2"/>
          <w:sz w:val="32"/>
          <w:szCs w:val="32"/>
          <w:lang w:val="en-US" w:eastAsia="zh-CN"/>
        </w:rPr>
        <w:t>利用特殊监管区域走私</w:t>
      </w:r>
      <w:bookmarkEnd w:id="104"/>
    </w:p>
    <w:p w14:paraId="75ABDAB1">
      <w:pPr>
        <w:rPr>
          <w:rFonts w:hint="default"/>
          <w:lang w:val="en-US" w:eastAsia="zh-CN"/>
        </w:rPr>
      </w:pPr>
      <w:r>
        <w:rPr>
          <w:rFonts w:hint="default"/>
          <w:lang w:val="en-US" w:eastAsia="zh-CN"/>
        </w:rPr>
        <w:t>综合保税区、保税物流中心、边境经济合作区等海关特殊监管区域，本是促进贸易便利化的政策工具，但也被走私分子觊觎利用。部分不法分子试图通过特殊监管区域进行石墨的“洗货”、“洗单”活动，将非法来源的石墨货物伪装成从特殊监管区域出口的货物，以改变货物形态、隐匿真实来源、规避出口管制。也有企业在特殊监管区域内擅自处置保税石墨，或将保税石墨与国产石墨混配后出口骗取退税。</w:t>
      </w:r>
    </w:p>
    <w:p w14:paraId="60C7B1BD">
      <w:pPr>
        <w:rPr>
          <w:rFonts w:hint="default"/>
          <w:lang w:val="en-US" w:eastAsia="zh-CN"/>
        </w:rPr>
      </w:pPr>
      <w:r>
        <w:rPr>
          <w:rFonts w:hint="default"/>
          <w:lang w:val="en-US" w:eastAsia="zh-CN"/>
        </w:rPr>
        <w:t>海关对特殊监管区域的监管制度日趋完善，建立了涵盖物流监控、账册管理、核销核查等环节的全流程监管体系。特殊监管区域企业应严格遵守相关管理规定，货物进出区须如实申报，接受海关监管。任何试图利用特殊监管区域进行走私违法活动的，都将受到法律的严厉制裁。</w:t>
      </w:r>
    </w:p>
    <w:p w14:paraId="19DC5A0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kern w:val="2"/>
          <w:sz w:val="32"/>
          <w:szCs w:val="32"/>
          <w:lang w:val="en-US"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2300CDB6-DE15-4818-AD31-DA8CC7254C04}"/>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fontKey="{657C7779-713B-412A-B9CA-D0A05190893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embedRegular r:id="rId3" w:fontKey="{66BF6637-4F68-452A-BF90-DA46B69434B3}"/>
  </w:font>
  <w:font w:name="Segoe UI">
    <w:panose1 w:val="020B0502040204020203"/>
    <w:charset w:val="00"/>
    <w:family w:val="auto"/>
    <w:pitch w:val="default"/>
    <w:sig w:usb0="E4002EFF" w:usb1="C000E47F" w:usb2="00000009" w:usb3="00000000" w:csb0="200001FF" w:csb1="00000000"/>
    <w:embedRegular r:id="rId4" w:fontKey="{59BDEE91-0E05-46F6-8A77-4AD07E7263C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小标宋简体">
    <w:panose1 w:val="02000000000000000000"/>
    <w:charset w:val="86"/>
    <w:family w:val="script"/>
    <w:pitch w:val="default"/>
    <w:sig w:usb0="00000001" w:usb1="08000000" w:usb2="00000000" w:usb3="00000000" w:csb0="00040000" w:csb1="00000000"/>
    <w:embedRegular r:id="rId5" w:fontKey="{85BA6E5F-0044-4961-9285-65461585EDE0}"/>
  </w:font>
  <w:font w:name="方正仿宋简体">
    <w:altName w:val="微软雅黑"/>
    <w:panose1 w:val="02000000000000000000"/>
    <w:charset w:val="86"/>
    <w:family w:val="auto"/>
    <w:pitch w:val="default"/>
    <w:sig w:usb0="00000000" w:usb1="00000000" w:usb2="00000012" w:usb3="00000000" w:csb0="00040001" w:csb1="00000000"/>
    <w:embedRegular r:id="rId6" w:fontKey="{0F722761-A11A-40C5-A327-9735212D50AA}"/>
  </w:font>
  <w:font w:name="微软雅黑">
    <w:panose1 w:val="020B0503020204020204"/>
    <w:charset w:val="86"/>
    <w:family w:val="auto"/>
    <w:pitch w:val="default"/>
    <w:sig w:usb0="80000287" w:usb1="2ACF3C50" w:usb2="00000016" w:usb3="00000000" w:csb0="0004001F" w:csb1="00000000"/>
  </w:font>
  <w:font w:name="WPSEMBED1">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DF603">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3F1D7A">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E3F1D7A">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FF3020"/>
    <w:rsid w:val="002B344F"/>
    <w:rsid w:val="002E6413"/>
    <w:rsid w:val="007C430D"/>
    <w:rsid w:val="00895B05"/>
    <w:rsid w:val="00D70859"/>
    <w:rsid w:val="00EB1C0E"/>
    <w:rsid w:val="00FC10C9"/>
    <w:rsid w:val="01A324E9"/>
    <w:rsid w:val="01BF64E7"/>
    <w:rsid w:val="0272190A"/>
    <w:rsid w:val="03906A9D"/>
    <w:rsid w:val="03E71DFC"/>
    <w:rsid w:val="04F82786"/>
    <w:rsid w:val="057C19CF"/>
    <w:rsid w:val="05E42CB6"/>
    <w:rsid w:val="05EE467B"/>
    <w:rsid w:val="07500A1D"/>
    <w:rsid w:val="076E4620"/>
    <w:rsid w:val="07890C8B"/>
    <w:rsid w:val="07A04AEA"/>
    <w:rsid w:val="07C531B9"/>
    <w:rsid w:val="084651B0"/>
    <w:rsid w:val="087D5842"/>
    <w:rsid w:val="08D37B58"/>
    <w:rsid w:val="0A57394A"/>
    <w:rsid w:val="0A7D7D7B"/>
    <w:rsid w:val="0A9F1805"/>
    <w:rsid w:val="0AD41965"/>
    <w:rsid w:val="0B375954"/>
    <w:rsid w:val="0B3A2FF8"/>
    <w:rsid w:val="0B464611"/>
    <w:rsid w:val="0B696551"/>
    <w:rsid w:val="0B6A7B1D"/>
    <w:rsid w:val="0BE27226"/>
    <w:rsid w:val="0C945850"/>
    <w:rsid w:val="0CAE6912"/>
    <w:rsid w:val="0D2C5A88"/>
    <w:rsid w:val="0DAF4BBD"/>
    <w:rsid w:val="0DB47477"/>
    <w:rsid w:val="0DD24882"/>
    <w:rsid w:val="0DD914ED"/>
    <w:rsid w:val="0DDA54E4"/>
    <w:rsid w:val="0E081ADE"/>
    <w:rsid w:val="0E37058A"/>
    <w:rsid w:val="0E71409B"/>
    <w:rsid w:val="0E741495"/>
    <w:rsid w:val="0EBB2835"/>
    <w:rsid w:val="0F567EC0"/>
    <w:rsid w:val="0F795ADA"/>
    <w:rsid w:val="0FEE5277"/>
    <w:rsid w:val="10277FE5"/>
    <w:rsid w:val="10523A58"/>
    <w:rsid w:val="10A1213E"/>
    <w:rsid w:val="111D48F9"/>
    <w:rsid w:val="11316109"/>
    <w:rsid w:val="1191235E"/>
    <w:rsid w:val="11B60DA2"/>
    <w:rsid w:val="11B76268"/>
    <w:rsid w:val="121C60CC"/>
    <w:rsid w:val="128B4FFF"/>
    <w:rsid w:val="12CE45E3"/>
    <w:rsid w:val="134F427F"/>
    <w:rsid w:val="137E41E2"/>
    <w:rsid w:val="13C14181"/>
    <w:rsid w:val="13C96385"/>
    <w:rsid w:val="13E66D5F"/>
    <w:rsid w:val="141379A2"/>
    <w:rsid w:val="14CB2243"/>
    <w:rsid w:val="14CB29A8"/>
    <w:rsid w:val="153246ED"/>
    <w:rsid w:val="15372A44"/>
    <w:rsid w:val="15C7162A"/>
    <w:rsid w:val="15EB3443"/>
    <w:rsid w:val="15ED4720"/>
    <w:rsid w:val="15F01D0E"/>
    <w:rsid w:val="161A6DC6"/>
    <w:rsid w:val="1666200B"/>
    <w:rsid w:val="16D60C3A"/>
    <w:rsid w:val="179D7CAF"/>
    <w:rsid w:val="17B15508"/>
    <w:rsid w:val="1826063F"/>
    <w:rsid w:val="183D2FD1"/>
    <w:rsid w:val="18A93DC0"/>
    <w:rsid w:val="18D21BDA"/>
    <w:rsid w:val="18ED2570"/>
    <w:rsid w:val="19397563"/>
    <w:rsid w:val="198451AB"/>
    <w:rsid w:val="19DA20A0"/>
    <w:rsid w:val="19F618F8"/>
    <w:rsid w:val="1A07140F"/>
    <w:rsid w:val="1A1B10B7"/>
    <w:rsid w:val="1A512FD2"/>
    <w:rsid w:val="1A7A7986"/>
    <w:rsid w:val="1A8C57B1"/>
    <w:rsid w:val="1B4D19EC"/>
    <w:rsid w:val="1B500800"/>
    <w:rsid w:val="1B6D1746"/>
    <w:rsid w:val="1C204A0A"/>
    <w:rsid w:val="1CB367FB"/>
    <w:rsid w:val="1CD34CFB"/>
    <w:rsid w:val="1D081301"/>
    <w:rsid w:val="1D4D182F"/>
    <w:rsid w:val="1DB66EF6"/>
    <w:rsid w:val="1DD91315"/>
    <w:rsid w:val="1E2210EC"/>
    <w:rsid w:val="1E340C41"/>
    <w:rsid w:val="1E7D4396"/>
    <w:rsid w:val="1E8079E2"/>
    <w:rsid w:val="1EB8717C"/>
    <w:rsid w:val="1EE13D18"/>
    <w:rsid w:val="1FF31D99"/>
    <w:rsid w:val="1FFC753C"/>
    <w:rsid w:val="20364F94"/>
    <w:rsid w:val="204607B7"/>
    <w:rsid w:val="20AE58A9"/>
    <w:rsid w:val="20E96848"/>
    <w:rsid w:val="21147DD4"/>
    <w:rsid w:val="21176DF9"/>
    <w:rsid w:val="219E183D"/>
    <w:rsid w:val="21A1039B"/>
    <w:rsid w:val="21A23927"/>
    <w:rsid w:val="21DA565B"/>
    <w:rsid w:val="221A0F78"/>
    <w:rsid w:val="2299039A"/>
    <w:rsid w:val="232A616E"/>
    <w:rsid w:val="236553F8"/>
    <w:rsid w:val="237815D0"/>
    <w:rsid w:val="239B0E1A"/>
    <w:rsid w:val="23B819CC"/>
    <w:rsid w:val="242D5F16"/>
    <w:rsid w:val="244A7DDA"/>
    <w:rsid w:val="24977834"/>
    <w:rsid w:val="24AE521E"/>
    <w:rsid w:val="24B6415E"/>
    <w:rsid w:val="256805B2"/>
    <w:rsid w:val="25E60F07"/>
    <w:rsid w:val="262004A4"/>
    <w:rsid w:val="26307BB3"/>
    <w:rsid w:val="27225ADA"/>
    <w:rsid w:val="273E668C"/>
    <w:rsid w:val="27421E91"/>
    <w:rsid w:val="27DB2225"/>
    <w:rsid w:val="28285372"/>
    <w:rsid w:val="283261F1"/>
    <w:rsid w:val="284657F9"/>
    <w:rsid w:val="28527B30"/>
    <w:rsid w:val="28934353"/>
    <w:rsid w:val="28B906C0"/>
    <w:rsid w:val="293D7984"/>
    <w:rsid w:val="299D30D3"/>
    <w:rsid w:val="29B73240"/>
    <w:rsid w:val="29D70885"/>
    <w:rsid w:val="2A0B0B5B"/>
    <w:rsid w:val="2A273408"/>
    <w:rsid w:val="2A2D713F"/>
    <w:rsid w:val="2ABE1FBE"/>
    <w:rsid w:val="2AD25A69"/>
    <w:rsid w:val="2B0D4CF3"/>
    <w:rsid w:val="2B353F9A"/>
    <w:rsid w:val="2B663EF2"/>
    <w:rsid w:val="2B904B47"/>
    <w:rsid w:val="2BB807BB"/>
    <w:rsid w:val="2BC76C50"/>
    <w:rsid w:val="2BD16E5F"/>
    <w:rsid w:val="2BF612E4"/>
    <w:rsid w:val="2C3B0368"/>
    <w:rsid w:val="2C865BD1"/>
    <w:rsid w:val="2D1D70E4"/>
    <w:rsid w:val="2DC125F6"/>
    <w:rsid w:val="2DEA64A9"/>
    <w:rsid w:val="2E2465DC"/>
    <w:rsid w:val="2E4432E7"/>
    <w:rsid w:val="2E963218"/>
    <w:rsid w:val="2EBF4000"/>
    <w:rsid w:val="2F1321AD"/>
    <w:rsid w:val="30804E79"/>
    <w:rsid w:val="30AC101F"/>
    <w:rsid w:val="310D63C8"/>
    <w:rsid w:val="31A041CB"/>
    <w:rsid w:val="31B935FE"/>
    <w:rsid w:val="31D52F39"/>
    <w:rsid w:val="31E204BA"/>
    <w:rsid w:val="32DE76C4"/>
    <w:rsid w:val="339A10EE"/>
    <w:rsid w:val="33CB74FA"/>
    <w:rsid w:val="33F97BC3"/>
    <w:rsid w:val="34565511"/>
    <w:rsid w:val="3472212B"/>
    <w:rsid w:val="34865D22"/>
    <w:rsid w:val="34E42621"/>
    <w:rsid w:val="35FE3BB6"/>
    <w:rsid w:val="37377380"/>
    <w:rsid w:val="373F7FE3"/>
    <w:rsid w:val="379D2F5B"/>
    <w:rsid w:val="37E33064"/>
    <w:rsid w:val="381A46A9"/>
    <w:rsid w:val="38872680"/>
    <w:rsid w:val="388D4D7E"/>
    <w:rsid w:val="3911775D"/>
    <w:rsid w:val="39292A09"/>
    <w:rsid w:val="39341A7D"/>
    <w:rsid w:val="3A537464"/>
    <w:rsid w:val="3A563FC1"/>
    <w:rsid w:val="3A96472B"/>
    <w:rsid w:val="3AB55EDC"/>
    <w:rsid w:val="3AB74334"/>
    <w:rsid w:val="3AC256E5"/>
    <w:rsid w:val="3B0D1C2F"/>
    <w:rsid w:val="3BB80364"/>
    <w:rsid w:val="3BD825F4"/>
    <w:rsid w:val="3BDC04F6"/>
    <w:rsid w:val="3BEB698B"/>
    <w:rsid w:val="3BF910A8"/>
    <w:rsid w:val="3C137C90"/>
    <w:rsid w:val="3CDA77F2"/>
    <w:rsid w:val="3D193084"/>
    <w:rsid w:val="3D6D517E"/>
    <w:rsid w:val="3DC42523"/>
    <w:rsid w:val="3FD57039"/>
    <w:rsid w:val="3FDA11F0"/>
    <w:rsid w:val="417E5BAB"/>
    <w:rsid w:val="41910B41"/>
    <w:rsid w:val="41BA5569"/>
    <w:rsid w:val="41EE3E1E"/>
    <w:rsid w:val="42272836"/>
    <w:rsid w:val="42576B28"/>
    <w:rsid w:val="42B72BED"/>
    <w:rsid w:val="43B92ECB"/>
    <w:rsid w:val="43F16B09"/>
    <w:rsid w:val="44144F37"/>
    <w:rsid w:val="4438084A"/>
    <w:rsid w:val="44906FD3"/>
    <w:rsid w:val="44E270EE"/>
    <w:rsid w:val="45251FFC"/>
    <w:rsid w:val="45321187"/>
    <w:rsid w:val="45796582"/>
    <w:rsid w:val="45A71B75"/>
    <w:rsid w:val="45BB50BB"/>
    <w:rsid w:val="4690085B"/>
    <w:rsid w:val="46B5206F"/>
    <w:rsid w:val="46C85B11"/>
    <w:rsid w:val="46DC75FC"/>
    <w:rsid w:val="46DE70D4"/>
    <w:rsid w:val="46EB3CE3"/>
    <w:rsid w:val="47E86474"/>
    <w:rsid w:val="482777E3"/>
    <w:rsid w:val="482E032B"/>
    <w:rsid w:val="486C0E54"/>
    <w:rsid w:val="49360E1D"/>
    <w:rsid w:val="494641D0"/>
    <w:rsid w:val="49663AF5"/>
    <w:rsid w:val="49860758"/>
    <w:rsid w:val="49D7699E"/>
    <w:rsid w:val="49FE52FF"/>
    <w:rsid w:val="4A0F4644"/>
    <w:rsid w:val="4A4F27DB"/>
    <w:rsid w:val="4AB02C73"/>
    <w:rsid w:val="4AEB7097"/>
    <w:rsid w:val="4B553060"/>
    <w:rsid w:val="4BD801A1"/>
    <w:rsid w:val="4C2061DD"/>
    <w:rsid w:val="4C2D4456"/>
    <w:rsid w:val="4D61085B"/>
    <w:rsid w:val="4D7F6F33"/>
    <w:rsid w:val="4E453CD9"/>
    <w:rsid w:val="4E5E3FE5"/>
    <w:rsid w:val="4EEF633A"/>
    <w:rsid w:val="4F045361"/>
    <w:rsid w:val="4F0678A5"/>
    <w:rsid w:val="4F766114"/>
    <w:rsid w:val="4FC155E1"/>
    <w:rsid w:val="4FD5108C"/>
    <w:rsid w:val="5012408F"/>
    <w:rsid w:val="50211356"/>
    <w:rsid w:val="50273570"/>
    <w:rsid w:val="504867C6"/>
    <w:rsid w:val="506E4FA1"/>
    <w:rsid w:val="50870E10"/>
    <w:rsid w:val="50A078EC"/>
    <w:rsid w:val="50AB289C"/>
    <w:rsid w:val="50B3584D"/>
    <w:rsid w:val="512B1EA4"/>
    <w:rsid w:val="51C25640"/>
    <w:rsid w:val="522B58DB"/>
    <w:rsid w:val="522B6114"/>
    <w:rsid w:val="53161A10"/>
    <w:rsid w:val="53E45D42"/>
    <w:rsid w:val="54A153E9"/>
    <w:rsid w:val="54A61351"/>
    <w:rsid w:val="54C6369A"/>
    <w:rsid w:val="54D8352B"/>
    <w:rsid w:val="55627866"/>
    <w:rsid w:val="556C0D8F"/>
    <w:rsid w:val="55E738C7"/>
    <w:rsid w:val="55F12998"/>
    <w:rsid w:val="560A06A1"/>
    <w:rsid w:val="56187F25"/>
    <w:rsid w:val="564E143F"/>
    <w:rsid w:val="56B31286"/>
    <w:rsid w:val="576F0018"/>
    <w:rsid w:val="5841709D"/>
    <w:rsid w:val="584414A5"/>
    <w:rsid w:val="586E6E66"/>
    <w:rsid w:val="58EC2166"/>
    <w:rsid w:val="59012EF2"/>
    <w:rsid w:val="598C1A5F"/>
    <w:rsid w:val="599D3805"/>
    <w:rsid w:val="5A380B96"/>
    <w:rsid w:val="5A843DDB"/>
    <w:rsid w:val="5AD02E7D"/>
    <w:rsid w:val="5AF745AD"/>
    <w:rsid w:val="5B3A05C7"/>
    <w:rsid w:val="5B8322E4"/>
    <w:rsid w:val="5C357D4D"/>
    <w:rsid w:val="5C384E7D"/>
    <w:rsid w:val="5C4B5083"/>
    <w:rsid w:val="5C743663"/>
    <w:rsid w:val="5C863FDA"/>
    <w:rsid w:val="5CA14281"/>
    <w:rsid w:val="5DCE663E"/>
    <w:rsid w:val="5DD0626A"/>
    <w:rsid w:val="5DE434FC"/>
    <w:rsid w:val="5EAE2BA6"/>
    <w:rsid w:val="5EDC4B7F"/>
    <w:rsid w:val="5EE252A6"/>
    <w:rsid w:val="5F7814BC"/>
    <w:rsid w:val="60561D75"/>
    <w:rsid w:val="60992C13"/>
    <w:rsid w:val="60AF592A"/>
    <w:rsid w:val="616E2A35"/>
    <w:rsid w:val="61B72CE8"/>
    <w:rsid w:val="620164B0"/>
    <w:rsid w:val="62500A46"/>
    <w:rsid w:val="626133B3"/>
    <w:rsid w:val="627112F3"/>
    <w:rsid w:val="62B815BD"/>
    <w:rsid w:val="633A597E"/>
    <w:rsid w:val="63625CBE"/>
    <w:rsid w:val="63A228E8"/>
    <w:rsid w:val="63C57A06"/>
    <w:rsid w:val="64085A7D"/>
    <w:rsid w:val="645A3BA2"/>
    <w:rsid w:val="64852C29"/>
    <w:rsid w:val="648D1ADE"/>
    <w:rsid w:val="653B59DE"/>
    <w:rsid w:val="6554137F"/>
    <w:rsid w:val="656E2A04"/>
    <w:rsid w:val="65887268"/>
    <w:rsid w:val="65FF3020"/>
    <w:rsid w:val="674E6F80"/>
    <w:rsid w:val="676F1572"/>
    <w:rsid w:val="678656C3"/>
    <w:rsid w:val="67AE67A9"/>
    <w:rsid w:val="67B51A77"/>
    <w:rsid w:val="67F85E08"/>
    <w:rsid w:val="68263540"/>
    <w:rsid w:val="684B418A"/>
    <w:rsid w:val="68792AA5"/>
    <w:rsid w:val="68CF4DBB"/>
    <w:rsid w:val="68EF2D67"/>
    <w:rsid w:val="693D1F17"/>
    <w:rsid w:val="697B0A9F"/>
    <w:rsid w:val="69A41DA4"/>
    <w:rsid w:val="69DD3507"/>
    <w:rsid w:val="6A611A43"/>
    <w:rsid w:val="6AA90C16"/>
    <w:rsid w:val="6AD75A6B"/>
    <w:rsid w:val="6ADB16F9"/>
    <w:rsid w:val="6B69379A"/>
    <w:rsid w:val="6B8359E9"/>
    <w:rsid w:val="6BD163A2"/>
    <w:rsid w:val="6BDD3897"/>
    <w:rsid w:val="6C3F7B62"/>
    <w:rsid w:val="6CDF702A"/>
    <w:rsid w:val="6D4F64CA"/>
    <w:rsid w:val="6E166B7E"/>
    <w:rsid w:val="6E2214E9"/>
    <w:rsid w:val="6E782BF4"/>
    <w:rsid w:val="6ECD1C4E"/>
    <w:rsid w:val="6F667AFB"/>
    <w:rsid w:val="6FF270A6"/>
    <w:rsid w:val="70292766"/>
    <w:rsid w:val="704020FA"/>
    <w:rsid w:val="70507A6D"/>
    <w:rsid w:val="70693EB8"/>
    <w:rsid w:val="711C2B67"/>
    <w:rsid w:val="71695FF1"/>
    <w:rsid w:val="71976CE9"/>
    <w:rsid w:val="71A32941"/>
    <w:rsid w:val="72367C59"/>
    <w:rsid w:val="723B6C68"/>
    <w:rsid w:val="72A20E4A"/>
    <w:rsid w:val="72C154D1"/>
    <w:rsid w:val="72ED7F5B"/>
    <w:rsid w:val="72FA2E1A"/>
    <w:rsid w:val="73027B3B"/>
    <w:rsid w:val="73577E87"/>
    <w:rsid w:val="73A664A3"/>
    <w:rsid w:val="73C179F6"/>
    <w:rsid w:val="73E3171A"/>
    <w:rsid w:val="74341F76"/>
    <w:rsid w:val="74675EA7"/>
    <w:rsid w:val="75526B58"/>
    <w:rsid w:val="758B3E18"/>
    <w:rsid w:val="75947170"/>
    <w:rsid w:val="75FA61AE"/>
    <w:rsid w:val="764D731F"/>
    <w:rsid w:val="76BD6253"/>
    <w:rsid w:val="77093B3E"/>
    <w:rsid w:val="77171BA3"/>
    <w:rsid w:val="773209DC"/>
    <w:rsid w:val="776A0209"/>
    <w:rsid w:val="77F40FB7"/>
    <w:rsid w:val="78830961"/>
    <w:rsid w:val="790B6163"/>
    <w:rsid w:val="79356BFB"/>
    <w:rsid w:val="79777888"/>
    <w:rsid w:val="79BE2A0E"/>
    <w:rsid w:val="79F86B28"/>
    <w:rsid w:val="7A266805"/>
    <w:rsid w:val="7A4F4B96"/>
    <w:rsid w:val="7A61783D"/>
    <w:rsid w:val="7B0A3A31"/>
    <w:rsid w:val="7B870626"/>
    <w:rsid w:val="7BAB5214"/>
    <w:rsid w:val="7BC462D5"/>
    <w:rsid w:val="7BE879E8"/>
    <w:rsid w:val="7C356F4B"/>
    <w:rsid w:val="7CCC5441"/>
    <w:rsid w:val="7CE04A49"/>
    <w:rsid w:val="7E1D6435"/>
    <w:rsid w:val="7E5020A2"/>
    <w:rsid w:val="7E5A6A7D"/>
    <w:rsid w:val="7F723710"/>
    <w:rsid w:val="7F7E49ED"/>
    <w:rsid w:val="7FE56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883" w:firstLineChars="200"/>
      <w:jc w:val="both"/>
    </w:pPr>
    <w:rPr>
      <w:rFonts w:ascii="Times New Roman" w:hAnsi="Times New Roman" w:eastAsia="方正仿宋_GBK" w:cstheme="minorBidi"/>
      <w:kern w:val="2"/>
      <w:sz w:val="32"/>
      <w:szCs w:val="3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b/>
      <w:kern w:val="44"/>
      <w:sz w:val="44"/>
    </w:rPr>
  </w:style>
  <w:style w:type="paragraph" w:styleId="3">
    <w:name w:val="heading 2"/>
    <w:basedOn w:val="1"/>
    <w:next w:val="1"/>
    <w:unhideWhenUsed/>
    <w:qFormat/>
    <w:uiPriority w:val="0"/>
    <w:pPr>
      <w:keepNext/>
      <w:keepLines/>
      <w:wordWrap w:val="0"/>
      <w:spacing w:beforeLines="0" w:afterLines="0"/>
      <w:ind w:firstLine="640"/>
      <w:outlineLvl w:val="1"/>
    </w:pPr>
    <w:rPr>
      <w:rFonts w:ascii="Segoe UI" w:hAnsi="Segoe UI" w:eastAsia="Segoe UI" w:cs="Segoe UI"/>
      <w:b/>
      <w:bCs/>
      <w:shd w:val="clear" w:fill="FFFFFF"/>
    </w:rPr>
  </w:style>
  <w:style w:type="paragraph" w:styleId="4">
    <w:name w:val="heading 3"/>
    <w:basedOn w:val="1"/>
    <w:next w:val="1"/>
    <w:unhideWhenUsed/>
    <w:qFormat/>
    <w:uiPriority w:val="0"/>
    <w:pPr>
      <w:wordWrap w:val="0"/>
      <w:ind w:firstLine="640"/>
      <w:jc w:val="left"/>
      <w:outlineLvl w:val="2"/>
    </w:pPr>
    <w:rPr>
      <w:rFonts w:eastAsia="黑体" w:cs="黑体"/>
      <w:kern w:val="0"/>
      <w:lang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rPr>
      <w:rFonts w:ascii="Times New Roman" w:hAnsi="Times New Roman" w:eastAsia="黑体"/>
      <w:snapToGrid w:val="0"/>
      <w:sz w:val="21"/>
      <w:szCs w:val="22"/>
    </w:rPr>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Strong"/>
    <w:basedOn w:val="15"/>
    <w:qFormat/>
    <w:uiPriority w:val="0"/>
    <w:rPr>
      <w:b/>
    </w:rPr>
  </w:style>
  <w:style w:type="character" w:styleId="17">
    <w:name w:val="Hyperlink"/>
    <w:basedOn w:val="15"/>
    <w:qFormat/>
    <w:uiPriority w:val="0"/>
    <w:rPr>
      <w:color w:val="0000FF"/>
      <w:u w:val="single"/>
    </w:rPr>
  </w:style>
  <w:style w:type="paragraph" w:customStyle="1" w:styleId="18">
    <w:name w:val="WPSOffice手动目录 1"/>
    <w:qFormat/>
    <w:uiPriority w:val="0"/>
    <w:pPr>
      <w:ind w:leftChars="0"/>
    </w:pPr>
    <w:rPr>
      <w:rFonts w:ascii="Times New Roman" w:hAnsi="Times New Roman" w:eastAsia="宋体" w:cs="Times New Roman"/>
      <w:sz w:val="20"/>
      <w:szCs w:val="20"/>
    </w:rPr>
  </w:style>
  <w:style w:type="paragraph" w:customStyle="1" w:styleId="19">
    <w:name w:val="WPSOffice手动目录 2"/>
    <w:qFormat/>
    <w:uiPriority w:val="0"/>
    <w:pPr>
      <w:ind w:leftChars="200"/>
    </w:pPr>
    <w:rPr>
      <w:rFonts w:ascii="Times New Roman" w:hAnsi="Times New Roman" w:eastAsia="宋体" w:cs="Times New Roman"/>
      <w:sz w:val="20"/>
      <w:szCs w:val="20"/>
    </w:rPr>
  </w:style>
  <w:style w:type="paragraph" w:customStyle="1" w:styleId="20">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54A1" w:themeColor="accent1" w:themeShade="BF"/>
      <w:kern w:val="0"/>
      <w:szCs w:val="32"/>
    </w:rPr>
  </w:style>
  <w:style w:type="character" w:customStyle="1" w:styleId="21">
    <w:name w:val="font41"/>
    <w:basedOn w:val="15"/>
    <w:qFormat/>
    <w:uiPriority w:val="0"/>
    <w:rPr>
      <w:rFonts w:ascii="方正仿宋_GBK" w:hAnsi="方正仿宋_GBK" w:eastAsia="方正仿宋_GBK" w:cs="方正仿宋_GBK"/>
      <w:b/>
      <w:bCs/>
      <w:color w:val="FFFFFF"/>
      <w:sz w:val="20"/>
      <w:szCs w:val="20"/>
      <w:u w:val="none"/>
    </w:rPr>
  </w:style>
  <w:style w:type="character" w:customStyle="1" w:styleId="22">
    <w:name w:val="font11"/>
    <w:basedOn w:val="15"/>
    <w:qFormat/>
    <w:uiPriority w:val="0"/>
    <w:rPr>
      <w:rFonts w:hint="default" w:ascii="Times New Roman" w:hAnsi="Times New Roman" w:cs="Times New Roman"/>
      <w:b/>
      <w:bCs/>
      <w:color w:val="FFFFFF"/>
      <w:sz w:val="20"/>
      <w:szCs w:val="20"/>
      <w:u w:val="none"/>
    </w:rPr>
  </w:style>
  <w:style w:type="character" w:customStyle="1" w:styleId="23">
    <w:name w:val="font51"/>
    <w:basedOn w:val="15"/>
    <w:qFormat/>
    <w:uiPriority w:val="0"/>
    <w:rPr>
      <w:rFonts w:hint="eastAsia" w:ascii="方正仿宋_GBK" w:hAnsi="方正仿宋_GBK" w:eastAsia="方正仿宋_GBK" w:cs="方正仿宋_GBK"/>
      <w:color w:val="000000"/>
      <w:sz w:val="22"/>
      <w:szCs w:val="22"/>
      <w:u w:val="none"/>
    </w:rPr>
  </w:style>
  <w:style w:type="character" w:customStyle="1" w:styleId="24">
    <w:name w:val="font21"/>
    <w:basedOn w:val="15"/>
    <w:qFormat/>
    <w:uiPriority w:val="0"/>
    <w:rPr>
      <w:rFonts w:hint="default" w:ascii="Times New Roman" w:hAnsi="Times New Roman" w:cs="Times New Roman"/>
      <w:b/>
      <w:bCs/>
      <w:color w:val="FFFFFF"/>
      <w:sz w:val="20"/>
      <w:szCs w:val="20"/>
      <w:u w:val="none"/>
    </w:rPr>
  </w:style>
  <w:style w:type="character" w:customStyle="1" w:styleId="25">
    <w:name w:val="font61"/>
    <w:basedOn w:val="15"/>
    <w:qFormat/>
    <w:uiPriority w:val="0"/>
    <w:rPr>
      <w:rFonts w:hint="eastAsia" w:ascii="方正仿宋_GBK" w:hAnsi="方正仿宋_GBK" w:eastAsia="方正仿宋_GBK" w:cs="方正仿宋_GBK"/>
      <w:color w:val="000000"/>
      <w:sz w:val="22"/>
      <w:szCs w:val="22"/>
      <w:u w:val="none"/>
    </w:rPr>
  </w:style>
  <w:style w:type="paragraph" w:customStyle="1" w:styleId="26">
    <w:name w:val="HorizontalRule"/>
    <w:basedOn w:val="1"/>
    <w:qFormat/>
    <w:uiPriority w:val="0"/>
    <w:pPr>
      <w:spacing w:after="240"/>
    </w:pPr>
    <w:rPr>
      <w:color w:val="CCCCCC"/>
    </w:rPr>
  </w:style>
  <w:style w:type="paragraph" w:customStyle="1" w:styleId="27">
    <w:name w:val="Blockquote"/>
    <w:basedOn w:val="1"/>
    <w:qFormat/>
    <w:uiPriority w:val="0"/>
    <w:rPr>
      <w:rFonts w:ascii="楷体" w:hAnsi="楷体" w:eastAsia="楷体"/>
      <w:color w:val="444444"/>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3113</Words>
  <Characters>3400</Characters>
  <Lines>0</Lines>
  <Paragraphs>0</Paragraphs>
  <TotalTime>5</TotalTime>
  <ScaleCrop>false</ScaleCrop>
  <LinksUpToDate>false</LinksUpToDate>
  <CharactersWithSpaces>3716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2024-12-17T01:36:00Z</dcterms:created>
  <dc:creator>李双双</dc:creator>
  <cp:lastModifiedBy>Mo</cp:lastModifiedBy>
  <dcterms:modified xsi:type="dcterms:W3CDTF">2026-04-30T06:05:30Z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2A9ECBC4A987479497615D9D550818BA_13</vt:lpwstr>
  </property>
  <property fmtid="{D5CDD505-2E9C-101B-9397-08002B2CF9AE}" pid="4" name="KSOTemplateDocerSaveRecord">
    <vt:lpwstr>eyJoZGlkIjoiNDE3ZjU4ZjUxZGY1ODljOGQzNzUyMDM2Y2M0ODM3ZWIiLCJ1c2VySWQiOiIzOTUyMjM1MTQifQ==</vt:lpwstr>
  </property>
</Properties>
</file>