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color w:val="000000"/>
          <w:sz w:val="21"/>
          <w:szCs w:val="22"/>
          <w:lang w:val="en-US" w:eastAsia="en-US" w:bidi="ar-SA"/>
        </w:rPr>
        <w:id w:val="147464117"/>
        <w15:color w:val="DBDBDB"/>
        <w:docPartObj>
          <w:docPartGallery w:val="Table of Contents"/>
          <w:docPartUnique/>
        </w:docPartObj>
      </w:sdtPr>
      <w:sdtEndPr>
        <w:rPr>
          <w:rFonts w:ascii="宋体" w:hAnsi="宋体" w:eastAsia="宋体" w:cstheme="minorBidi"/>
          <w:color w:val="000000"/>
          <w:sz w:val="21"/>
          <w:szCs w:val="22"/>
          <w:lang w:val="en-US" w:eastAsia="en-US" w:bidi="ar-SA"/>
        </w:rPr>
      </w:sdtEndPr>
      <w:sdtContent>
        <w:p w14:paraId="13D75CB4">
          <w:pPr>
            <w:widowControl w:val="0"/>
            <w:spacing w:line="560" w:lineRule="exact"/>
            <w:ind w:firstLine="0" w:firstLineChars="0"/>
            <w:jc w:val="center"/>
            <w:outlineLvl w:val="0"/>
            <w:rPr>
              <w:rFonts w:hint="default" w:ascii="Times New Roman" w:hAnsi="Times New Roman" w:eastAsia="方正小标宋简体" w:cs="Times New Roman"/>
              <w:color w:val="FF0000"/>
              <w:spacing w:val="34"/>
              <w:sz w:val="52"/>
              <w:szCs w:val="52"/>
              <w:lang w:val="en-US" w:eastAsia="zh-CN"/>
            </w:rPr>
          </w:pPr>
          <w:bookmarkStart w:id="0" w:name="_Toc29688"/>
          <w:bookmarkEnd w:id="0"/>
          <w:r>
            <w:rPr>
              <w:rFonts w:hint="eastAsia" w:ascii="Times New Roman" w:hAnsi="Times New Roman" w:eastAsia="方正小标宋简体" w:cs="Times New Roman"/>
              <w:color w:val="FF0000"/>
              <w:spacing w:val="34"/>
              <w:sz w:val="52"/>
              <w:szCs w:val="52"/>
              <w:lang w:val="en-US" w:eastAsia="zh-CN"/>
            </w:rPr>
            <w:t>三家日本企业风险调研报告</w:t>
          </w:r>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NwjETYAAAACAEAAA8AAAAAAAAAAQAgAAAAIgAAAGRycy9kb3ducmV2LnhtbFBLAQIU&#10;ABQAAAAIAIdO4kAWzmwK8wEAALcDAAAOAAAAAAAAAAEAIAAAACcBAABkcnMvZTJvRG9jLnhtbFBL&#10;BQYAAAAABgAGAFkBAACMBQAAAAA=&#10;">
                    <v:fill on="f" focussize="0,0"/>
                    <v:stroke weight="1.5pt" color="#FF0000 [3204]" joinstyle="round"/>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w:t>
          </w:r>
          <w:r>
            <w:rPr>
              <w:rFonts w:hint="eastAsia" w:ascii="Times New Roman" w:hAnsi="Times New Roman" w:eastAsia="方正仿宋简体" w:cs="Times New Roman"/>
              <w:color w:val="000000" w:themeColor="text1"/>
              <w:sz w:val="32"/>
              <w:szCs w:val="32"/>
              <w14:textFill>
                <w14:solidFill>
                  <w14:schemeClr w14:val="tx1"/>
                </w14:solidFill>
              </w14:textFill>
            </w:rPr>
            <w:t>2026年4月</w:t>
          </w:r>
          <w:r>
            <w:rPr>
              <w:rFonts w:hint="eastAsia" w:eastAsia="方正仿宋简体" w:cs="Times New Roman"/>
              <w:color w:val="000000" w:themeColor="text1"/>
              <w:sz w:val="32"/>
              <w:szCs w:val="32"/>
              <w:lang w:val="en-US" w:eastAsia="zh-CN"/>
              <w14:textFill>
                <w14:solidFill>
                  <w14:schemeClr w14:val="tx1"/>
                </w14:solidFill>
              </w14:textFill>
            </w:rPr>
            <w:t>26</w:t>
          </w:r>
          <w:r>
            <w:rPr>
              <w:rFonts w:hint="eastAsia" w:ascii="Times New Roman" w:hAnsi="Times New Roman" w:eastAsia="方正仿宋简体" w:cs="Times New Roman"/>
              <w:color w:val="000000" w:themeColor="text1"/>
              <w:sz w:val="32"/>
              <w:szCs w:val="32"/>
              <w14:textFill>
                <w14:solidFill>
                  <w14:schemeClr w14:val="tx1"/>
                </w14:solidFill>
              </w14:textFill>
            </w:rPr>
            <w:t>日</w:t>
          </w:r>
        </w:p>
        <w:p w14:paraId="5487114A">
          <w:pPr>
            <w:pStyle w:val="167"/>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32"/>
              <w:lang w:val="en-US" w:eastAsia="zh-CN" w:bidi="ar-SA"/>
            </w:rPr>
            <w:id w:val="147469732"/>
            <w15:color w:val="DBDBDB"/>
            <w:docPartObj>
              <w:docPartGallery w:val="Table of Contents"/>
              <w:docPartUnique/>
            </w:docPartObj>
          </w:sdtPr>
          <w:sdtEndPr>
            <w:rPr>
              <w:rFonts w:ascii="Times New Roman" w:hAnsi="Times New Roman" w:eastAsia="方正仿宋_GBK" w:cstheme="minorBidi"/>
              <w:kern w:val="2"/>
              <w:sz w:val="32"/>
              <w:szCs w:val="32"/>
              <w:lang w:val="en-US" w:eastAsia="zh-CN" w:bidi="ar-SA"/>
            </w:rPr>
          </w:sdtEndPr>
          <w:sdtContent>
            <w:p w14:paraId="01838C2C">
              <w:pPr>
                <w:spacing w:before="0" w:beforeLines="0" w:after="0" w:afterLines="0" w:line="240" w:lineRule="auto"/>
                <w:ind w:left="0" w:leftChars="0" w:right="0" w:rightChars="0" w:firstLine="0" w:firstLineChars="0"/>
                <w:jc w:val="center"/>
                <w:rPr>
                  <w:rFonts w:ascii="Times New Roman" w:hAnsi="Times New Roman" w:eastAsia="方正仿宋_GBK" w:cstheme="minorBidi"/>
                  <w:color w:val="000000"/>
                  <w:kern w:val="2"/>
                  <w:sz w:val="22"/>
                  <w:szCs w:val="32"/>
                  <w:lang w:val="en-US" w:eastAsia="zh-CN" w:bidi="ar-SA"/>
                </w:rPr>
              </w:pPr>
              <w:r>
                <w:rPr>
                  <w:rFonts w:ascii="Times New Roman" w:hAnsi="Times New Roman" w:eastAsia="方正仿宋_GBK" w:cstheme="minorBidi"/>
                  <w:b/>
                  <w:kern w:val="2"/>
                  <w:sz w:val="32"/>
                  <w:szCs w:val="32"/>
                  <w:lang w:val="en-US" w:eastAsia="zh-CN" w:bidi="ar-SA"/>
                </w:rPr>
                <w:fldChar w:fldCharType="begin"/>
              </w:r>
              <w:r>
                <w:rPr>
                  <w:rFonts w:ascii="Times New Roman" w:hAnsi="Times New Roman" w:eastAsia="方正仿宋_GBK" w:cstheme="minorBidi"/>
                  <w:b/>
                  <w:kern w:val="2"/>
                  <w:sz w:val="32"/>
                  <w:szCs w:val="32"/>
                  <w:lang w:val="en-US" w:eastAsia="zh-CN" w:bidi="ar-SA"/>
                </w:rPr>
                <w:instrText xml:space="preserve">TOC \o "1-3" \h \u </w:instrText>
              </w:r>
              <w:r>
                <w:rPr>
                  <w:rFonts w:ascii="Times New Roman" w:hAnsi="Times New Roman" w:eastAsia="方正仿宋_GBK" w:cstheme="minorBidi"/>
                  <w:b/>
                  <w:kern w:val="2"/>
                  <w:sz w:val="32"/>
                  <w:szCs w:val="32"/>
                  <w:lang w:val="en-US" w:eastAsia="zh-CN" w:bidi="ar-SA"/>
                </w:rPr>
                <w:fldChar w:fldCharType="separate"/>
              </w:r>
            </w:p>
            <w:p w14:paraId="3FA6B58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eastAsia="黑体" w:cs="Times New Roman"/>
                  <w:kern w:val="2"/>
                  <w:szCs w:val="21"/>
                  <w:lang w:val="en-US" w:eastAsia="zh-CN" w:bidi="ar-SA"/>
                </w:rPr>
              </w:pPr>
            </w:p>
            <w:p w14:paraId="7DC4989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_Toc887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一、Proterial Ltd（株式会社プロテリアル）</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_Toc887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ED804A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_Toc4136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（一）企业基本信息</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_Toc4136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0E9FC6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_Toc15421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1.企业概况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_Toc15421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60E439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_Toc30324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2.发展历程与关键时间节点</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_Toc30324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E9DAD3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_Toc11675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3.组织架构与全球布局</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_Toc11675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5</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BF230E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_Toc13104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4.业务板块与营收构成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_Toc13104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6</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27D60B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_Toc19458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5.行业地位与技术优势</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_Toc19458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7</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9AD0A0A">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_Toc17613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（二）日本军工关联分析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_Toc17613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7</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5A5BD4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_Toc4309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1.防卫产业供应链地位</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_Toc4309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7</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91A8988">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_Toc18673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2.防卫装备采购参与情况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_Toc18673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9</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CBAD706">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_Toc19888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3.日本防卫产业政策中的企业定位</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_Toc19888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10</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D77E3D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_Toc29486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4.与政府部门往来记录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_Toc29486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11</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1AC515B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_Toc30390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（三）出口管制合规情况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_Toc30390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11</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497510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_Toc8841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1.美国BIS实体清单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_Toc8841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11</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08717EB">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_Toc1153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2.日本出口管制清单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_Toc1153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BE57738">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_Toc21558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3.中国出口管制名单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_Toc21558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24607C29">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_Toc21102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（四）转运风险评估</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_Toc21102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5C71058">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_Toc25905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1.中国对日出口管制政策背景分析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_Toc25905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2219B45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_Toc17490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2.经营物项与中国管制物项清单对照分析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_Toc17490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14</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2CA4F01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_Toc24989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3.转运路径可能性分析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_Toc24989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15</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EE1E28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_Toc5860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4.综合风险评估</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_Toc5860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16</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A8D164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_Toc22539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二、DAIDO KOGYO（大同工業株式会社）</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_Toc22539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16</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D1F2669">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_Toc6231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（一）企业基本信息</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_Toc6231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16</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13721BA9">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_Toc6171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1.企业概况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_Toc6171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17</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7037CE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_Toc13061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2.发展历程与关键时间节点</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_Toc13061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17</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2E03934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_Toc16155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3.组织架构与全球布局</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_Toc16155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18</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B9565FB">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_Toc16910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4.业务板块与产品线</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_Toc16910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19</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596FF2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_Toc19077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5.行业地位与主要竞争对手</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_Toc19077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19</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359009BD">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_Toc10331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（二）日本军工关联分析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_Toc10331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20</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30FD73D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_Toc26514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1.防卫产业供应链地位</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_Toc26514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20</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F8123F0">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_Toc9329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2.防卫装备采购参与情况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_Toc9329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21</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001F89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_Toc12346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（三）出口管制合规情况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_Toc12346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C31571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_Toc28642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1.美国BIS实体清单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_Toc28642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4AC4448">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_Toc18771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2.日本出口管制清单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_Toc18771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8BCB5CD">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_Toc28528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3.中国出口管制名单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_Toc28528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720E6FA">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_Toc12989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（四）转运风险评估</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_Toc12989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114842FA">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_Toc8472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1.经营物项与中国管制物项清单对照分析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_Toc8472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36BA4B6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_Toc25008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2.综合风险评估</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_Toc25008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3F1385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_Toc8094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三、YANO METALS（矢野金属株式会社）</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_Toc8094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116C3C6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_Toc16035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（一）企业基本信息</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_Toc16035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9ADACBD">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_Toc3924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1.企业概况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_Toc3924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24</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595F339">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_Toc11124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2.发展历程</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_Toc11124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24</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827700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_Toc9771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3.经营模式与核心能力</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_Toc9771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24</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574B7DD">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_Toc7088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4.经营金属品种</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_Toc7088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25</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2A8085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_Toc20824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5.行业地位</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_Toc20824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26</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52C03A9">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_Toc22567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（二）日本军工关联分析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_Toc22567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27</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599DAEE8">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_Toc19730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1.防卫产业供应链地位</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_Toc19730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27</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23C0869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_Toc4157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2.防卫装备采购参与情况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_Toc4157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28</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1057FD7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_Toc26409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3.防卫产业政策中的战略定位</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_Toc26409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29</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B73619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_Toc11917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（三）出口管制合规情况</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_Toc11917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30</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C7E22B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_Toc11155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1.美国BIS实体清单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_Toc11155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30</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4B65E1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_Toc21468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2.日本出口管制清单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_Toc21468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30</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23FF146">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_Toc29215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3.中国出口管制名单</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_Toc29215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30</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627590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_Toc12912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（四）转运风险评估</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_Toc12912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31</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2D277A6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_Toc16100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1.经营物项与中国管制物项清单对照分析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_Toc16100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31</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BC15DBB">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_Toc5439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2.转运路径可能性分析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_Toc5439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32</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65A530E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420" w:firstLineChars="2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_Toc13112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3.综合风险评估</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_Toc13112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33</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25D1A6C6">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_Toc31135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四、中国对日出口管制政策背景综合分析</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_Toc31135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34</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11E36E1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_Toc31524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（一）政策演进与最新动态</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_Toc31524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34</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017B083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_Toc5974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（二）日本防卫产业的稀土依赖结构</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_Toc5974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35</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7ABE0B6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240" w:lineRule="auto"/>
                <w:ind w:firstLine="210" w:firstLineChars="100"/>
                <w:jc w:val="both"/>
                <w:textAlignment w:val="auto"/>
                <w:rPr>
                  <w:rFonts w:hint="eastAsia" w:ascii="Times New Roman" w:hAnsi="Times New Roman" w:eastAsia="黑体" w:cs="Times New Roman"/>
                  <w:kern w:val="2"/>
                  <w:szCs w:val="21"/>
                  <w:lang w:val="en-US" w:eastAsia="zh-CN" w:bidi="ar-SA"/>
                </w:rPr>
              </w:pP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HYPERLINK \l _Toc17329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（三）本次调研企业与管制物项清单对照</w:t>
              </w:r>
              <w:r>
                <w:rPr>
                  <w:rFonts w:hint="eastAsia" w:ascii="Times New Roman" w:hAnsi="Times New Roman" w:eastAsia="黑体" w:cs="Times New Roman"/>
                  <w:kern w:val="2"/>
                  <w:szCs w:val="21"/>
                  <w:lang w:val="en-US" w:eastAsia="zh-CN" w:bidi="ar-SA"/>
                </w:rPr>
                <w:tab/>
              </w:r>
              <w:r>
                <w:rPr>
                  <w:rFonts w:hint="eastAsia" w:ascii="Times New Roman" w:hAnsi="Times New Roman" w:eastAsia="黑体" w:cs="Times New Roman"/>
                  <w:kern w:val="2"/>
                  <w:szCs w:val="21"/>
                  <w:lang w:val="en-US" w:eastAsia="zh-CN" w:bidi="ar-SA"/>
                </w:rPr>
                <w:fldChar w:fldCharType="begin"/>
              </w:r>
              <w:r>
                <w:rPr>
                  <w:rFonts w:hint="eastAsia" w:ascii="Times New Roman" w:hAnsi="Times New Roman" w:eastAsia="黑体" w:cs="Times New Roman"/>
                  <w:kern w:val="2"/>
                  <w:szCs w:val="21"/>
                  <w:lang w:val="en-US" w:eastAsia="zh-CN" w:bidi="ar-SA"/>
                </w:rPr>
                <w:instrText xml:space="preserve"> PAGEREF _Toc17329 \h </w:instrText>
              </w:r>
              <w:r>
                <w:rPr>
                  <w:rFonts w:hint="eastAsia" w:ascii="Times New Roman" w:hAnsi="Times New Roman" w:eastAsia="黑体" w:cs="Times New Roman"/>
                  <w:kern w:val="2"/>
                  <w:szCs w:val="21"/>
                  <w:lang w:val="en-US" w:eastAsia="zh-CN" w:bidi="ar-SA"/>
                </w:rPr>
                <w:fldChar w:fldCharType="separate"/>
              </w:r>
              <w:r>
                <w:rPr>
                  <w:rFonts w:hint="eastAsia" w:ascii="Times New Roman" w:hAnsi="Times New Roman" w:eastAsia="黑体" w:cs="Times New Roman"/>
                  <w:kern w:val="2"/>
                  <w:szCs w:val="21"/>
                  <w:lang w:val="en-US" w:eastAsia="zh-CN" w:bidi="ar-SA"/>
                </w:rPr>
                <w:t>36</w:t>
              </w:r>
              <w:r>
                <w:rPr>
                  <w:rFonts w:hint="eastAsia" w:ascii="Times New Roman" w:hAnsi="Times New Roman" w:eastAsia="黑体" w:cs="Times New Roman"/>
                  <w:kern w:val="2"/>
                  <w:szCs w:val="21"/>
                  <w:lang w:val="en-US" w:eastAsia="zh-CN" w:bidi="ar-SA"/>
                </w:rPr>
                <w:fldChar w:fldCharType="end"/>
              </w:r>
              <w:r>
                <w:rPr>
                  <w:rFonts w:hint="eastAsia" w:ascii="Times New Roman" w:hAnsi="Times New Roman" w:eastAsia="黑体" w:cs="Times New Roman"/>
                  <w:kern w:val="2"/>
                  <w:szCs w:val="21"/>
                  <w:lang w:val="en-US" w:eastAsia="zh-CN" w:bidi="ar-SA"/>
                </w:rPr>
                <w:fldChar w:fldCharType="end"/>
              </w:r>
            </w:p>
            <w:p w14:paraId="4725F31B">
              <w:pPr>
                <w:spacing w:before="0" w:beforeLines="0" w:after="0" w:afterLines="0" w:line="240" w:lineRule="auto"/>
                <w:ind w:left="0" w:leftChars="0" w:right="0" w:rightChars="0" w:firstLine="0" w:firstLineChars="0"/>
                <w:jc w:val="both"/>
              </w:pPr>
              <w:r>
                <w:rPr>
                  <w:rFonts w:ascii="Times New Roman" w:hAnsi="Times New Roman" w:eastAsia="方正仿宋_GBK" w:cstheme="minorBidi"/>
                  <w:kern w:val="2"/>
                  <w:szCs w:val="32"/>
                  <w:lang w:val="en-US" w:eastAsia="zh-CN" w:bidi="ar-SA"/>
                </w:rPr>
                <w:fldChar w:fldCharType="end"/>
              </w:r>
            </w:p>
          </w:sdtContent>
        </w:sdt>
      </w:sdtContent>
    </w:sdt>
    <w:p w14:paraId="7C182912">
      <w:bookmarkStart w:id="1" w:name="_Toc8161"/>
      <w:r>
        <w:br w:type="page"/>
      </w:r>
    </w:p>
    <w:p w14:paraId="4E89A7BD">
      <w:pPr>
        <w:pStyle w:val="4"/>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640" w:firstLineChars="200"/>
        <w:jc w:val="both"/>
        <w:textAlignment w:val="auto"/>
        <w:outlineLvl w:val="0"/>
        <w:rPr>
          <w:rFonts w:hint="eastAsia" w:ascii="Segoe UI" w:hAnsi="Segoe UI" w:eastAsia="Segoe UI" w:cs="Segoe UI"/>
          <w:b/>
          <w:bCs/>
          <w:i w:val="0"/>
          <w:iCs w:val="0"/>
          <w:caps w:val="0"/>
          <w:color w:val="auto"/>
          <w:spacing w:val="0"/>
          <w:kern w:val="2"/>
          <w:sz w:val="32"/>
          <w:szCs w:val="32"/>
          <w:shd w:val="clear" w:fill="FFFFFF"/>
          <w:lang w:val="en-US" w:eastAsia="zh-CN" w:bidi="ar-SA"/>
        </w:rPr>
      </w:pPr>
      <w:bookmarkStart w:id="2" w:name="_Toc887"/>
      <w:r>
        <w:rPr>
          <w:rFonts w:hint="eastAsia" w:ascii="Segoe UI" w:hAnsi="Segoe UI" w:eastAsia="Segoe UI" w:cs="Segoe UI"/>
          <w:b/>
          <w:bCs/>
          <w:i w:val="0"/>
          <w:iCs w:val="0"/>
          <w:caps w:val="0"/>
          <w:color w:val="auto"/>
          <w:spacing w:val="0"/>
          <w:kern w:val="2"/>
          <w:sz w:val="32"/>
          <w:szCs w:val="32"/>
          <w:shd w:val="clear" w:fill="FFFFFF"/>
          <w:lang w:val="en-US" w:eastAsia="zh-CN" w:bidi="ar-SA"/>
        </w:rPr>
        <w:t>一、Proterial Ltd（株式会社プロテリアル）</w:t>
      </w:r>
      <w:bookmarkEnd w:id="1"/>
      <w:bookmarkEnd w:id="2"/>
    </w:p>
    <w:p w14:paraId="39B1D57C">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3" w:name="_Toc4136"/>
      <w:bookmarkStart w:id="4" w:name="_Toc13149"/>
      <w:r>
        <w:rPr>
          <w:rFonts w:hint="eastAsia" w:ascii="Times New Roman" w:hAnsi="Times New Roman" w:eastAsia="黑体" w:cs="黑体"/>
          <w:b w:val="0"/>
          <w:bCs w:val="0"/>
          <w:color w:val="auto"/>
          <w:kern w:val="0"/>
          <w:sz w:val="32"/>
          <w:szCs w:val="32"/>
          <w:lang w:val="en-US" w:eastAsia="zh-CN" w:bidi="ar"/>
        </w:rPr>
        <w:t>（一）企业基本信息</w:t>
      </w:r>
      <w:bookmarkEnd w:id="3"/>
      <w:bookmarkEnd w:id="4"/>
    </w:p>
    <w:p w14:paraId="5BD181A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 w:name="_Toc15421"/>
      <w:r>
        <w:rPr>
          <w:rFonts w:hint="eastAsia" w:ascii="Times New Roman" w:hAnsi="Times New Roman" w:eastAsia="方正仿宋_GBK"/>
          <w:kern w:val="2"/>
          <w:sz w:val="32"/>
          <w:szCs w:val="32"/>
          <w:lang w:val="en-US" w:eastAsia="zh-CN"/>
        </w:rPr>
        <w:t>1.企业概况</w:t>
      </w:r>
      <w:bookmarkEnd w:id="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081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vAlign w:val="center"/>
          </w:tcPr>
          <w:p w14:paraId="33535F6D">
            <w:pPr>
              <w:keepNext w:val="0"/>
              <w:keepLines w:val="0"/>
              <w:pageBreakBefore w:val="0"/>
              <w:widowControl/>
              <w:kinsoku/>
              <w:wordWrap/>
              <w:overflowPunct/>
              <w:topLinePunct w:val="0"/>
              <w:autoSpaceDE/>
              <w:autoSpaceDN/>
              <w:bidi w:val="0"/>
              <w:adjustRightInd/>
              <w:snapToGrid/>
              <w:spacing w:after="0"/>
              <w:jc w:val="center"/>
              <w:textAlignment w:val="auto"/>
            </w:pPr>
            <w:r>
              <w:rPr>
                <w:b/>
              </w:rPr>
              <w:t>项目</w:t>
            </w:r>
          </w:p>
        </w:tc>
        <w:tc>
          <w:tcPr>
            <w:tcW w:w="4156" w:type="dxa"/>
            <w:shd w:val="clear" w:color="auto" w:fill="F2F2F2"/>
            <w:vAlign w:val="center"/>
          </w:tcPr>
          <w:p w14:paraId="0737C959">
            <w:pPr>
              <w:keepNext w:val="0"/>
              <w:keepLines w:val="0"/>
              <w:pageBreakBefore w:val="0"/>
              <w:widowControl/>
              <w:kinsoku/>
              <w:wordWrap/>
              <w:overflowPunct/>
              <w:topLinePunct w:val="0"/>
              <w:autoSpaceDE/>
              <w:autoSpaceDN/>
              <w:bidi w:val="0"/>
              <w:adjustRightInd/>
              <w:snapToGrid/>
              <w:spacing w:after="0"/>
              <w:jc w:val="center"/>
              <w:textAlignment w:val="auto"/>
            </w:pPr>
            <w:r>
              <w:rPr>
                <w:b/>
              </w:rPr>
              <w:t>信息</w:t>
            </w:r>
          </w:p>
        </w:tc>
      </w:tr>
      <w:tr w14:paraId="3EED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C5C9756">
            <w:pPr>
              <w:keepNext w:val="0"/>
              <w:keepLines w:val="0"/>
              <w:pageBreakBefore w:val="0"/>
              <w:widowControl/>
              <w:kinsoku/>
              <w:wordWrap/>
              <w:overflowPunct/>
              <w:topLinePunct w:val="0"/>
              <w:autoSpaceDE/>
              <w:autoSpaceDN/>
              <w:bidi w:val="0"/>
              <w:adjustRightInd/>
              <w:snapToGrid/>
              <w:spacing w:after="0"/>
              <w:jc w:val="center"/>
              <w:textAlignment w:val="auto"/>
            </w:pPr>
            <w:r>
              <w:rPr>
                <w:b/>
              </w:rPr>
              <w:t>英文名称</w:t>
            </w:r>
          </w:p>
        </w:tc>
        <w:tc>
          <w:tcPr>
            <w:tcW w:w="4156" w:type="dxa"/>
            <w:vAlign w:val="center"/>
          </w:tcPr>
          <w:p w14:paraId="0EB13415">
            <w:pPr>
              <w:keepNext w:val="0"/>
              <w:keepLines w:val="0"/>
              <w:pageBreakBefore w:val="0"/>
              <w:widowControl/>
              <w:kinsoku/>
              <w:wordWrap/>
              <w:overflowPunct/>
              <w:topLinePunct w:val="0"/>
              <w:autoSpaceDE/>
              <w:autoSpaceDN/>
              <w:bidi w:val="0"/>
              <w:adjustRightInd/>
              <w:snapToGrid/>
              <w:spacing w:after="0"/>
              <w:jc w:val="center"/>
              <w:textAlignment w:val="auto"/>
            </w:pPr>
            <w:r>
              <w:t>Proterial Ltd.</w:t>
            </w:r>
          </w:p>
        </w:tc>
      </w:tr>
      <w:tr w14:paraId="3B80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1483FFEE">
            <w:pPr>
              <w:keepNext w:val="0"/>
              <w:keepLines w:val="0"/>
              <w:pageBreakBefore w:val="0"/>
              <w:widowControl/>
              <w:kinsoku/>
              <w:wordWrap/>
              <w:overflowPunct/>
              <w:topLinePunct w:val="0"/>
              <w:autoSpaceDE/>
              <w:autoSpaceDN/>
              <w:bidi w:val="0"/>
              <w:adjustRightInd/>
              <w:snapToGrid/>
              <w:spacing w:after="0"/>
              <w:jc w:val="center"/>
              <w:textAlignment w:val="auto"/>
            </w:pPr>
            <w:r>
              <w:rPr>
                <w:b/>
              </w:rPr>
              <w:t>日文名称</w:t>
            </w:r>
          </w:p>
        </w:tc>
        <w:tc>
          <w:tcPr>
            <w:tcW w:w="4156" w:type="dxa"/>
            <w:vAlign w:val="center"/>
          </w:tcPr>
          <w:p w14:paraId="20E4ABB4">
            <w:pPr>
              <w:keepNext w:val="0"/>
              <w:keepLines w:val="0"/>
              <w:pageBreakBefore w:val="0"/>
              <w:widowControl/>
              <w:kinsoku/>
              <w:wordWrap/>
              <w:overflowPunct/>
              <w:topLinePunct w:val="0"/>
              <w:autoSpaceDE/>
              <w:autoSpaceDN/>
              <w:bidi w:val="0"/>
              <w:adjustRightInd/>
              <w:snapToGrid/>
              <w:spacing w:after="0"/>
              <w:jc w:val="center"/>
              <w:textAlignment w:val="auto"/>
            </w:pPr>
            <w:r>
              <w:t>株式会社プロテリアル</w:t>
            </w:r>
          </w:p>
        </w:tc>
      </w:tr>
      <w:tr w14:paraId="39EA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6CC04C99">
            <w:pPr>
              <w:keepNext w:val="0"/>
              <w:keepLines w:val="0"/>
              <w:pageBreakBefore w:val="0"/>
              <w:widowControl/>
              <w:kinsoku/>
              <w:wordWrap/>
              <w:overflowPunct/>
              <w:topLinePunct w:val="0"/>
              <w:autoSpaceDE/>
              <w:autoSpaceDN/>
              <w:bidi w:val="0"/>
              <w:adjustRightInd/>
              <w:snapToGrid/>
              <w:spacing w:after="0"/>
              <w:jc w:val="center"/>
              <w:textAlignment w:val="auto"/>
            </w:pPr>
            <w:r>
              <w:rPr>
                <w:b/>
              </w:rPr>
              <w:t>成立时间</w:t>
            </w:r>
          </w:p>
        </w:tc>
        <w:tc>
          <w:tcPr>
            <w:tcW w:w="4156" w:type="dxa"/>
            <w:vAlign w:val="center"/>
          </w:tcPr>
          <w:p w14:paraId="5EAE3556">
            <w:pPr>
              <w:keepNext w:val="0"/>
              <w:keepLines w:val="0"/>
              <w:pageBreakBefore w:val="0"/>
              <w:widowControl/>
              <w:kinsoku/>
              <w:wordWrap/>
              <w:overflowPunct/>
              <w:topLinePunct w:val="0"/>
              <w:autoSpaceDE/>
              <w:autoSpaceDN/>
              <w:bidi w:val="0"/>
              <w:adjustRightInd/>
              <w:snapToGrid/>
              <w:spacing w:after="0"/>
              <w:jc w:val="center"/>
              <w:textAlignment w:val="auto"/>
            </w:pPr>
            <w:r>
              <w:t>1956年4月（前身高田工业所）</w:t>
            </w:r>
          </w:p>
        </w:tc>
      </w:tr>
      <w:tr w14:paraId="09B9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32D398CD">
            <w:pPr>
              <w:keepNext w:val="0"/>
              <w:keepLines w:val="0"/>
              <w:pageBreakBefore w:val="0"/>
              <w:widowControl/>
              <w:kinsoku/>
              <w:wordWrap/>
              <w:overflowPunct/>
              <w:topLinePunct w:val="0"/>
              <w:autoSpaceDE/>
              <w:autoSpaceDN/>
              <w:bidi w:val="0"/>
              <w:adjustRightInd/>
              <w:snapToGrid/>
              <w:spacing w:after="0"/>
              <w:jc w:val="center"/>
              <w:textAlignment w:val="auto"/>
            </w:pPr>
            <w:r>
              <w:rPr>
                <w:b/>
              </w:rPr>
              <w:t>更名时间</w:t>
            </w:r>
          </w:p>
        </w:tc>
        <w:tc>
          <w:tcPr>
            <w:tcW w:w="4156" w:type="dxa"/>
            <w:vAlign w:val="center"/>
          </w:tcPr>
          <w:p w14:paraId="66DD236C">
            <w:pPr>
              <w:keepNext w:val="0"/>
              <w:keepLines w:val="0"/>
              <w:pageBreakBefore w:val="0"/>
              <w:widowControl/>
              <w:kinsoku/>
              <w:wordWrap/>
              <w:overflowPunct/>
              <w:topLinePunct w:val="0"/>
              <w:autoSpaceDE/>
              <w:autoSpaceDN/>
              <w:bidi w:val="0"/>
              <w:adjustRightInd/>
              <w:snapToGrid/>
              <w:spacing w:after="0"/>
              <w:jc w:val="center"/>
              <w:textAlignment w:val="auto"/>
            </w:pPr>
            <w:r>
              <w:t>2023年1月4日（日立金属株式会社更名）</w:t>
            </w:r>
          </w:p>
        </w:tc>
      </w:tr>
      <w:tr w14:paraId="6C5D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5F0A4CF">
            <w:pPr>
              <w:keepNext w:val="0"/>
              <w:keepLines w:val="0"/>
              <w:pageBreakBefore w:val="0"/>
              <w:widowControl/>
              <w:kinsoku/>
              <w:wordWrap/>
              <w:overflowPunct/>
              <w:topLinePunct w:val="0"/>
              <w:autoSpaceDE/>
              <w:autoSpaceDN/>
              <w:bidi w:val="0"/>
              <w:adjustRightInd/>
              <w:snapToGrid/>
              <w:spacing w:after="0"/>
              <w:jc w:val="center"/>
              <w:textAlignment w:val="auto"/>
            </w:pPr>
            <w:r>
              <w:rPr>
                <w:b/>
              </w:rPr>
              <w:t>总部地址</w:t>
            </w:r>
          </w:p>
        </w:tc>
        <w:tc>
          <w:tcPr>
            <w:tcW w:w="4156" w:type="dxa"/>
            <w:vAlign w:val="center"/>
          </w:tcPr>
          <w:p w14:paraId="3C322253">
            <w:pPr>
              <w:keepNext w:val="0"/>
              <w:keepLines w:val="0"/>
              <w:pageBreakBefore w:val="0"/>
              <w:widowControl/>
              <w:kinsoku/>
              <w:wordWrap/>
              <w:overflowPunct/>
              <w:topLinePunct w:val="0"/>
              <w:autoSpaceDE/>
              <w:autoSpaceDN/>
              <w:bidi w:val="0"/>
              <w:adjustRightInd/>
              <w:snapToGrid/>
              <w:spacing w:after="0"/>
              <w:jc w:val="center"/>
              <w:textAlignment w:val="auto"/>
            </w:pPr>
            <w:r>
              <w:t>东京都江东区丰洲5-6-36</w:t>
            </w:r>
          </w:p>
        </w:tc>
      </w:tr>
      <w:tr w14:paraId="7919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3D2B82F9">
            <w:pPr>
              <w:keepNext w:val="0"/>
              <w:keepLines w:val="0"/>
              <w:pageBreakBefore w:val="0"/>
              <w:widowControl/>
              <w:kinsoku/>
              <w:wordWrap/>
              <w:overflowPunct/>
              <w:topLinePunct w:val="0"/>
              <w:autoSpaceDE/>
              <w:autoSpaceDN/>
              <w:bidi w:val="0"/>
              <w:adjustRightInd/>
              <w:snapToGrid/>
              <w:spacing w:after="0"/>
              <w:jc w:val="center"/>
              <w:textAlignment w:val="auto"/>
            </w:pPr>
            <w:r>
              <w:rPr>
                <w:b/>
              </w:rPr>
              <w:t>企业形态</w:t>
            </w:r>
          </w:p>
        </w:tc>
        <w:tc>
          <w:tcPr>
            <w:tcW w:w="4156" w:type="dxa"/>
            <w:vAlign w:val="center"/>
          </w:tcPr>
          <w:p w14:paraId="68399D8F">
            <w:pPr>
              <w:keepNext w:val="0"/>
              <w:keepLines w:val="0"/>
              <w:pageBreakBefore w:val="0"/>
              <w:widowControl/>
              <w:kinsoku/>
              <w:wordWrap/>
              <w:overflowPunct/>
              <w:topLinePunct w:val="0"/>
              <w:autoSpaceDE/>
              <w:autoSpaceDN/>
              <w:bidi w:val="0"/>
              <w:adjustRightInd/>
              <w:snapToGrid/>
              <w:spacing w:after="0"/>
              <w:jc w:val="center"/>
              <w:textAlignment w:val="auto"/>
            </w:pPr>
            <w:r>
              <w:t>非上市企业（株式会社）</w:t>
            </w:r>
          </w:p>
        </w:tc>
      </w:tr>
      <w:tr w14:paraId="10E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5D07FCEE">
            <w:pPr>
              <w:keepNext w:val="0"/>
              <w:keepLines w:val="0"/>
              <w:pageBreakBefore w:val="0"/>
              <w:widowControl/>
              <w:kinsoku/>
              <w:wordWrap/>
              <w:overflowPunct/>
              <w:topLinePunct w:val="0"/>
              <w:autoSpaceDE/>
              <w:autoSpaceDN/>
              <w:bidi w:val="0"/>
              <w:adjustRightInd/>
              <w:snapToGrid/>
              <w:spacing w:after="0"/>
              <w:jc w:val="center"/>
              <w:textAlignment w:val="auto"/>
            </w:pPr>
            <w:r>
              <w:rPr>
                <w:b/>
              </w:rPr>
              <w:t>资本金</w:t>
            </w:r>
          </w:p>
        </w:tc>
        <w:tc>
          <w:tcPr>
            <w:tcW w:w="4156" w:type="dxa"/>
            <w:vAlign w:val="center"/>
          </w:tcPr>
          <w:p w14:paraId="260261FF">
            <w:pPr>
              <w:keepNext w:val="0"/>
              <w:keepLines w:val="0"/>
              <w:pageBreakBefore w:val="0"/>
              <w:widowControl/>
              <w:kinsoku/>
              <w:wordWrap/>
              <w:overflowPunct/>
              <w:topLinePunct w:val="0"/>
              <w:autoSpaceDE/>
              <w:autoSpaceDN/>
              <w:bidi w:val="0"/>
              <w:adjustRightInd/>
              <w:snapToGrid/>
              <w:spacing w:after="0"/>
              <w:jc w:val="center"/>
              <w:textAlignment w:val="auto"/>
            </w:pPr>
            <w:r>
              <w:t>3.1亿日元</w:t>
            </w:r>
          </w:p>
        </w:tc>
      </w:tr>
      <w:tr w14:paraId="033D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670718D">
            <w:pPr>
              <w:keepNext w:val="0"/>
              <w:keepLines w:val="0"/>
              <w:pageBreakBefore w:val="0"/>
              <w:widowControl/>
              <w:kinsoku/>
              <w:wordWrap/>
              <w:overflowPunct/>
              <w:topLinePunct w:val="0"/>
              <w:autoSpaceDE/>
              <w:autoSpaceDN/>
              <w:bidi w:val="0"/>
              <w:adjustRightInd/>
              <w:snapToGrid/>
              <w:spacing w:after="0"/>
              <w:jc w:val="center"/>
              <w:textAlignment w:val="auto"/>
            </w:pPr>
            <w:r>
              <w:rPr>
                <w:b/>
              </w:rPr>
              <w:t>员工规模</w:t>
            </w:r>
          </w:p>
        </w:tc>
        <w:tc>
          <w:tcPr>
            <w:tcW w:w="4156" w:type="dxa"/>
            <w:vAlign w:val="center"/>
          </w:tcPr>
          <w:p w14:paraId="4EA23F71">
            <w:pPr>
              <w:keepNext w:val="0"/>
              <w:keepLines w:val="0"/>
              <w:pageBreakBefore w:val="0"/>
              <w:widowControl/>
              <w:kinsoku/>
              <w:wordWrap/>
              <w:overflowPunct/>
              <w:topLinePunct w:val="0"/>
              <w:autoSpaceDE/>
              <w:autoSpaceDN/>
              <w:bidi w:val="0"/>
              <w:adjustRightInd/>
              <w:snapToGrid/>
              <w:spacing w:after="0"/>
              <w:jc w:val="center"/>
              <w:textAlignment w:val="auto"/>
            </w:pPr>
            <w:r>
              <w:t>集团合并18,877人</w:t>
            </w:r>
          </w:p>
        </w:tc>
      </w:tr>
      <w:tr w14:paraId="5EF7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9296497">
            <w:pPr>
              <w:keepNext w:val="0"/>
              <w:keepLines w:val="0"/>
              <w:pageBreakBefore w:val="0"/>
              <w:widowControl/>
              <w:kinsoku/>
              <w:wordWrap/>
              <w:overflowPunct/>
              <w:topLinePunct w:val="0"/>
              <w:autoSpaceDE/>
              <w:autoSpaceDN/>
              <w:bidi w:val="0"/>
              <w:adjustRightInd/>
              <w:snapToGrid/>
              <w:spacing w:after="0"/>
              <w:jc w:val="center"/>
              <w:textAlignment w:val="auto"/>
            </w:pPr>
            <w:r>
              <w:rPr>
                <w:b/>
              </w:rPr>
              <w:t>年销售额</w:t>
            </w:r>
          </w:p>
        </w:tc>
        <w:tc>
          <w:tcPr>
            <w:tcW w:w="4156" w:type="dxa"/>
            <w:vAlign w:val="center"/>
          </w:tcPr>
          <w:p w14:paraId="0954B4ED">
            <w:pPr>
              <w:keepNext w:val="0"/>
              <w:keepLines w:val="0"/>
              <w:pageBreakBefore w:val="0"/>
              <w:widowControl/>
              <w:kinsoku/>
              <w:wordWrap/>
              <w:overflowPunct/>
              <w:topLinePunct w:val="0"/>
              <w:autoSpaceDE/>
              <w:autoSpaceDN/>
              <w:bidi w:val="0"/>
              <w:adjustRightInd/>
              <w:snapToGrid/>
              <w:spacing w:after="0"/>
              <w:jc w:val="center"/>
              <w:textAlignment w:val="auto"/>
            </w:pPr>
            <w:r>
              <w:t>FY2024年7,686亿日元</w:t>
            </w:r>
          </w:p>
        </w:tc>
      </w:tr>
    </w:tbl>
    <w:p w14:paraId="4EA216C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关于股权结构，Proterial Ltd.由K.K. BCJ-52（贝恩资本管理的日美基金联盟）100%持股。2021年4月28日，日立制作所宣布将其全株式出售给贝恩资本等日美基金联合体；2023年10月完成交割，Proterial从东京证券交易所退市。</w:t>
      </w:r>
    </w:p>
    <w:p w14:paraId="39090AA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 w:name="_Toc30324"/>
      <w:r>
        <w:rPr>
          <w:rFonts w:hint="eastAsia" w:ascii="Times New Roman" w:hAnsi="Times New Roman" w:eastAsia="方正仿宋_GBK"/>
          <w:kern w:val="2"/>
          <w:sz w:val="32"/>
          <w:szCs w:val="32"/>
          <w:lang w:val="en-US" w:eastAsia="zh-CN"/>
        </w:rPr>
        <w:t>2.发展历程与关键时间节点</w:t>
      </w:r>
      <w:bookmarkEnd w:id="6"/>
    </w:p>
    <w:p w14:paraId="1EB9AEF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Proterial的前身可追溯至1910年鮎川义介创立的户畑铸物株式会社，该公司同时是日产汽车的起源企业。这一深厚的历史底蕴为其日后发展成为日本特殊钢和磁性材料领域的龙头企业奠定了基础。</w:t>
      </w:r>
    </w:p>
    <w:p w14:paraId="6B5B3CF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早期发展（1910-1956年）：户畑铸物于1917年吸收合并帝国铸物（若松），1922年吸收合并木津川制作所（桑名），1929年设立东京制作所（深川）并开始生产汽车用可锻铸铁。1934年，吸收合并安来制钢所（该公司由日俄战争时期的Unpaku-钢铁合作企业演变而来），此后成功开发YSSヤスキハガネ（安来钢），并将高速度工具钢技术应用于此。1944年，日立制作所安来工厂冶金研究所的小柴定雄发明了用于日本首台国产喷气发动机ネ-20推力轴承的Cr-W钢イ513，获海军技术厂表彰。</w:t>
      </w:r>
    </w:p>
    <w:p w14:paraId="16E01E7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企业化与上市（1956-1967年）：1956年4月，日立制作所全额出资10亿日元设立日立金属工业株式会社，同年10月承接日立制作所户畑、深川、桑名、若松、安来五家工厂的钢铁业务并开始营业。1961年在东京和大阪证券交易所第二部上市，1962年8月升格至第一部上市。1967年1月与日立金属株式会社合并，完成资本整合。</w:t>
      </w:r>
    </w:p>
    <w:p w14:paraId="0DC9DCF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国际化扩张（1965-2000年）：1965年在美国设立Hitachi Metals America, Ltd.，开启国际化进程。此后相继在德国（1970年）、新加坡（1979年）、马来西亚（1988年）、菲律宾（1995-1996年）设立海外据点。1995年与Hitachi Ferrite株式会社合并，扩大磁性材料业务。2003年从Honeywell International收购非晶态金属业务部门。</w:t>
      </w:r>
    </w:p>
    <w:p w14:paraId="60D4C6B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战略整合期（2000-2020年）：2004年4月，NEOMAX株式会社成为合并子公司，2007年4月与其合并，继承了世界领先的NEOMAX钕铁硼永磁体技术（该技术由佐川真人等在原住特殊金属任职期间开发）。2013年7月吸收合并日立电线株式会社，新增电线材料业务线。2014年11月Waupaca Foundry, Inc.成为合并子公司，扩大汽车零部件业务。2016年9月在中国设立钕铁硼磁体制造商Hitachi Metals San Huan Magnetic Materials (Nantong) Co., Ltd.</w:t>
      </w:r>
    </w:p>
    <w:p w14:paraId="60C08D1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私有化转型（2021-2023年）：2021年4月，日立制作所宣布将日立金属全部股权转让给贝恩资本等组成的日美基金联盟，交易金额约8,173亿日元（约58.4亿美元）。中国监管部门审批延迟至2021年9月，2021年10月正式完成交割。2023年1月4日，公司更名为Proterial Ltd.，标志着日立集团时代的终结。</w:t>
      </w:r>
    </w:p>
    <w:p w14:paraId="50E804E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 w:name="_Toc11675"/>
      <w:r>
        <w:rPr>
          <w:rFonts w:hint="eastAsia" w:ascii="Times New Roman" w:hAnsi="Times New Roman" w:eastAsia="方正仿宋_GBK"/>
          <w:kern w:val="2"/>
          <w:sz w:val="32"/>
          <w:szCs w:val="32"/>
          <w:lang w:val="en-US" w:eastAsia="zh-CN"/>
        </w:rPr>
        <w:t>3.组织架构与全球布局</w:t>
      </w:r>
      <w:bookmarkEnd w:id="7"/>
    </w:p>
    <w:p w14:paraId="2335BDE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从</w:t>
      </w:r>
      <w:r>
        <w:rPr>
          <w:rFonts w:hint="eastAsia" w:ascii="Times New Roman" w:hAnsi="Times New Roman" w:eastAsia="方正仿宋_GBK"/>
          <w:kern w:val="2"/>
          <w:sz w:val="32"/>
          <w:szCs w:val="32"/>
          <w:lang w:val="en-US" w:eastAsia="en-US"/>
        </w:rPr>
        <w:t>日本国内主要生产基地</w:t>
      </w:r>
      <w:r>
        <w:rPr>
          <w:rFonts w:hint="eastAsia" w:ascii="Times New Roman" w:hAnsi="Times New Roman" w:eastAsia="方正仿宋_GBK"/>
          <w:kern w:val="2"/>
          <w:sz w:val="32"/>
          <w:szCs w:val="32"/>
          <w:lang w:val="en-US" w:eastAsia="zh-CN"/>
        </w:rPr>
        <w:t>来看，</w:t>
      </w:r>
      <w:r>
        <w:rPr>
          <w:rFonts w:hint="eastAsia" w:ascii="Times New Roman" w:hAnsi="Times New Roman" w:eastAsia="方正仿宋_GBK"/>
          <w:kern w:val="2"/>
          <w:sz w:val="32"/>
          <w:szCs w:val="32"/>
          <w:lang w:val="en-US" w:eastAsia="en-US"/>
        </w:rPr>
        <w:t>Proterial在日本国内拥有多个核心制造基地，包括安来工厂（安来县，历史悠久的特殊钢生产基地，冶金研究所所在地）、熊谷工厂（埼玉县，汽车零部件和工业机械用材料）、真冈工厂（栃木县，磁性材料和电子元件）、户畑工厂（福冈县，工业用材料）、九州工厂（福冈县）、佐贺制作所（佐贺县，磁性材料）等。</w:t>
      </w:r>
    </w:p>
    <w:p w14:paraId="65B8570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从</w:t>
      </w:r>
      <w:r>
        <w:rPr>
          <w:rFonts w:hint="eastAsia" w:ascii="Times New Roman" w:hAnsi="Times New Roman" w:eastAsia="方正仿宋_GBK"/>
          <w:kern w:val="2"/>
          <w:sz w:val="32"/>
          <w:szCs w:val="32"/>
          <w:lang w:val="en-US" w:eastAsia="en-US"/>
        </w:rPr>
        <w:t>海外生产布局</w:t>
      </w:r>
      <w:r>
        <w:rPr>
          <w:rFonts w:hint="eastAsia" w:ascii="Times New Roman" w:hAnsi="Times New Roman" w:eastAsia="方正仿宋_GBK"/>
          <w:kern w:val="2"/>
          <w:sz w:val="32"/>
          <w:szCs w:val="32"/>
          <w:lang w:val="en-US" w:eastAsia="zh-CN"/>
        </w:rPr>
        <w:t>来看，</w:t>
      </w:r>
      <w:r>
        <w:rPr>
          <w:rFonts w:hint="eastAsia" w:ascii="Times New Roman" w:hAnsi="Times New Roman" w:eastAsia="方正仿宋_GBK"/>
          <w:kern w:val="2"/>
          <w:sz w:val="32"/>
          <w:szCs w:val="32"/>
          <w:lang w:val="en-US" w:eastAsia="en-US"/>
        </w:rPr>
        <w:t>Proterial在全球11个国家设有约30个生产基地。主要海外子公司包括：Hitachi Metals America, Ltd.（美国）、Hitachi Metals Europe GmbH（德国）、Hitachi Metals Singapore Pte. Ltd.（新加坡）、Hitachi Metals Electronics (Malaysia) Sdn. Bhd.（马来西亚）、Hitachi Metals Korea Co., Ltd.（韩国）、Hitachi Metals San Huan Magnetic Materials (Nantong) Co., Ltd.（中国南通，钕铁硼磁体）、Proterial (China) Ltd.（香港）、Proterial Metals (Suzhou) Ltd.（苏州）、Proterial (Shanghai) Ltd.（上海）、Proterial (Guangzhou) Ltd.（广州）、Proterial (India) Pvt. Ltd.（印度）等。</w:t>
      </w:r>
    </w:p>
    <w:p w14:paraId="67C7726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在</w:t>
      </w:r>
      <w:r>
        <w:rPr>
          <w:rFonts w:hint="eastAsia" w:ascii="Times New Roman" w:hAnsi="Times New Roman" w:eastAsia="方正仿宋_GBK"/>
          <w:kern w:val="2"/>
          <w:sz w:val="32"/>
          <w:szCs w:val="32"/>
          <w:lang w:val="en-US" w:eastAsia="en-US"/>
        </w:rPr>
        <w:t>产品集团架构</w:t>
      </w:r>
      <w:r>
        <w:rPr>
          <w:rFonts w:hint="eastAsia" w:ascii="Times New Roman" w:hAnsi="Times New Roman" w:eastAsia="方正仿宋_GBK"/>
          <w:kern w:val="2"/>
          <w:sz w:val="32"/>
          <w:szCs w:val="32"/>
          <w:lang w:val="en-US" w:eastAsia="zh-CN"/>
        </w:rPr>
        <w:t>方面，</w:t>
      </w:r>
      <w:r>
        <w:rPr>
          <w:rFonts w:hint="eastAsia" w:ascii="Times New Roman" w:hAnsi="Times New Roman" w:eastAsia="方正仿宋_GBK"/>
          <w:kern w:val="2"/>
          <w:sz w:val="32"/>
          <w:szCs w:val="32"/>
          <w:lang w:val="en-US" w:eastAsia="en-US"/>
        </w:rPr>
        <w:t>公司主要分为以下几个事业部门——特殊钢事业部门（高级合金钢、不锈钢、工具钢）、磁性材料事业部门（NEOMAX钕铁硼永磁体）、电源电子材料事业部门（电子元件用材料）、电线事业部门（工业用电线、汽车用电线）、汽车零部件事业部门（发动机零部件、底盘零部件）、材料技术事业部门（非晶态金属、超硬材料等）。</w:t>
      </w:r>
    </w:p>
    <w:p w14:paraId="3FDBD60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8" w:name="_Toc13104"/>
      <w:r>
        <w:rPr>
          <w:rFonts w:hint="eastAsia" w:ascii="Times New Roman" w:hAnsi="Times New Roman" w:eastAsia="方正仿宋_GBK"/>
          <w:kern w:val="2"/>
          <w:sz w:val="32"/>
          <w:szCs w:val="32"/>
          <w:lang w:val="en-US" w:eastAsia="zh-CN"/>
        </w:rPr>
        <w:t>4.业务板块与营收构成</w:t>
      </w:r>
      <w:bookmarkEnd w:id="8"/>
    </w:p>
    <w:p w14:paraId="2E86F36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根据Proterial公开财务信息，FY2024年度销售额为7,686亿日元，其业务板块大致构成如下：</w:t>
      </w:r>
    </w:p>
    <w:p w14:paraId="40F3013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磁性材料在整体业务中占比约25-30%</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NEOMAX钕铁硼永磁体是公司最具技术优势和品牌知名度的产品线。该产品广泛应用于汽车（包括混合动力车和电动汽车的驱动电机）、家电、工业机械、风力发电机等领域。NEOMAX技术自1982年由佐川真人团队实现商业化以来，持续保持全球领先地位。</w:t>
      </w:r>
    </w:p>
    <w:p w14:paraId="6CBC9CC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特殊特殊钢与材料业务在整体业务中占比约30-35%，包括高级合金钢、不锈钢、工具钢等。其中YSSヤスキハガネ（安来钢）是全球顶级工具钢品牌，广泛用于切削工具、模具等精密制造领域。此外还生产航空发动机用特种合金、原子能用特殊材料等高端产品。</w:t>
      </w:r>
    </w:p>
    <w:p w14:paraId="3AF289D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汽车零部件业务在整体业务中占比约20-25%，主要包括发动机用阀门弹簧钢丝、汽车用弹簧、座椅框架材料等。客户涵盖丰田、本田、日产等全球主要汽车制造商。</w:t>
      </w:r>
    </w:p>
    <w:p w14:paraId="064274D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pPr>
      <w:r>
        <w:rPr>
          <w:rFonts w:hint="eastAsia" w:ascii="Times New Roman" w:hAnsi="Times New Roman" w:eastAsia="方正仿宋_GBK"/>
          <w:kern w:val="2"/>
          <w:sz w:val="32"/>
          <w:szCs w:val="32"/>
          <w:lang w:val="en-US" w:eastAsia="en-US"/>
        </w:rPr>
        <w:t>电线电缆业务在整体业务中占比约15-20%，产品包括工业用电线、汽车用电线、医疗设备用电线等。该业务线源自2013年合并的日立电线业务。</w:t>
      </w:r>
    </w:p>
    <w:p w14:paraId="4F00C61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9" w:name="_Toc19458"/>
      <w:r>
        <w:rPr>
          <w:rFonts w:hint="eastAsia" w:ascii="Times New Roman" w:hAnsi="Times New Roman" w:eastAsia="方正仿宋_GBK"/>
          <w:kern w:val="2"/>
          <w:sz w:val="32"/>
          <w:szCs w:val="32"/>
          <w:lang w:val="en-US" w:eastAsia="zh-CN"/>
        </w:rPr>
        <w:t>5.行业地位与技术优势</w:t>
      </w:r>
      <w:bookmarkEnd w:id="9"/>
    </w:p>
    <w:p w14:paraId="7EC0C12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Proterial是日本最大的特殊钢和磁性材料制造商之一，在多个细分领域占据全球领先地位。</w:t>
      </w:r>
    </w:p>
    <w:p w14:paraId="16F0DF5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全球市场份额来看，在钕铁硼永磁体领域，Proterial（及其前身）与信越化学同为全球前三大生产商，市场份额合计超过40%。在高级工具钢领域，YSS品牌在全球高速度钢和模具钢市场占有重要地位。在非晶态金属材料领域，公司继承自Honeywell的技术处于全球前沿水平。</w:t>
      </w:r>
    </w:p>
    <w:p w14:paraId="25B22AF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核心技术优势方面，公司拥有多项原创性技术，包括NEOMAX技术的完整自主知识产权、先进粉末冶金技术、金属材料的先进熔炼和加工技术等。其安来工厂的冶金研究所拥有近百年的材料研发历史，是日本材料科学的重要研究基地。</w:t>
      </w:r>
    </w:p>
    <w:p w14:paraId="0B06BF5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主要竞争对手方面，在磁性材料领域，主要竞争对手包括信越化学（信越磁石）、TDK、阿尔法磁材等；在特殊钢领域，包括大同特殊钢、山阳特殊钢、日本冶金工业等；在汽车零部件领域，包括日本发条株式会社（NHK）、官田制作所等。</w:t>
      </w:r>
    </w:p>
    <w:p w14:paraId="2ECC6406">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10" w:name="_Toc20700"/>
      <w:bookmarkStart w:id="11" w:name="_Toc17613"/>
      <w:r>
        <w:rPr>
          <w:rFonts w:hint="eastAsia" w:ascii="Times New Roman" w:hAnsi="Times New Roman" w:eastAsia="黑体" w:cs="黑体"/>
          <w:b w:val="0"/>
          <w:bCs w:val="0"/>
          <w:color w:val="auto"/>
          <w:kern w:val="0"/>
          <w:sz w:val="32"/>
          <w:szCs w:val="32"/>
          <w:lang w:val="en-US" w:eastAsia="zh-CN" w:bidi="ar"/>
        </w:rPr>
        <w:t>（二）日本军工关联分析</w:t>
      </w:r>
      <w:bookmarkEnd w:id="10"/>
      <w:bookmarkEnd w:id="11"/>
    </w:p>
    <w:p w14:paraId="3AB6217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2" w:name="_Toc4309"/>
      <w:r>
        <w:rPr>
          <w:rFonts w:hint="eastAsia" w:ascii="Times New Roman" w:hAnsi="Times New Roman" w:eastAsia="方正仿宋_GBK"/>
          <w:kern w:val="2"/>
          <w:sz w:val="32"/>
          <w:szCs w:val="32"/>
          <w:lang w:val="en-US" w:eastAsia="zh-CN"/>
        </w:rPr>
        <w:t>1.防卫产业供应链地位</w:t>
      </w:r>
      <w:bookmarkEnd w:id="12"/>
    </w:p>
    <w:p w14:paraId="09580CE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Proterial作为日本领先的特种材料和磁性材料制造商，在防卫产业供应链中属于关键原材料/核心零部件供应商。其产品广泛渗透至日本防卫产业的多个关键领域。根据日本防卫省《防卫生产基盤强化施策》和防卫装备厅的相关政策文件，特种材料和磁性材料被明确定位为防卫产业的基础性、战略性物资。Proterial凭借其在NEOMAX钕铁硼永磁体、高级合金钢等领域的垄断性或主导性地位，成为日本防卫产业不可或缺的上游供应商。</w:t>
      </w:r>
    </w:p>
    <w:p w14:paraId="486FEEC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关联产品与防卫用途对照来看，航空发动机用特种合金钢是Proterial军工关联度最高的产品类别。现代航空发动机需要在极高温度和压力环境下工作，对材料的高温强度、抗氧化性、耐久性要求极为苛刻。Proterial生产的航空发动机用特种合金钢主要用于IHI株式会社（石川岛播磨重工）的航空发动机项目和三菱重工业株式会社的航空装备项目。根据日本防卫省2024年度防卫采购数据，IHI与防卫省的采购合同额达578亿日元，三菱重工的采购合同额高达14,567亿日元，均为防卫产业核心企业。Proterial生产的NEOMAX钕铁硼永磁体在军事领域同样具有广泛应用。该材料可用于导弹制导系统的伺服电机、军用雷达的驱动马达、各类军用电子设备的高性能磁体等。日本防卫产业对高性能永磁体的需求持续增长，与新型导弹、雷达系统、无人机等装备的发展密切相关。Proterial生产的高强度合金钢和特殊钢材可用于装甲车辆、舰船结构件等防卫装备的制造。Proterial生产的这类材料主要通过三菱重工业、川崎重工业等一级防卫承包商间接进入防卫领域。</w:t>
      </w:r>
    </w:p>
    <w:p w14:paraId="5837436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与主要防卫产业核心企业的供应关系方面，Proterial与日本防卫产业的核心企业建立了多层次的供应关系网络。IHI株式会社（石川岛播磨重工）是日本航空发动机领域的绝对垄断企业，其产品包括F-15J战斗机使用的F100发动机、F-2战斗机使用的F110发动机，以及参与GCAP日英意下一代战斗机项目的发动机研发。Proterial作为IHI的特种合金材料供应商，深度嵌入日本航空防卫能力的物质基础。三菱重工业株式会社是日本最大的防卫产业承包商，业务涵盖战斗机、导弹、舰船、装甲车辆等全领域。Proterial通过供应特种钢材、磁性材料等，间接参与三菱重工的防卫装备生产。川崎重工业株式会社是日本潜艇和反潜机的核心制造商，其产品包括“大鲸”级潜艇（采用锂离子电池技术的最新型常规潜艇）、P-1喷气式反潜巡逻机等。Proterial同样通过材料供应参与川崎的防卫装备生产。</w:t>
      </w:r>
    </w:p>
    <w:p w14:paraId="206374A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default" w:ascii="Times New Roman" w:hAnsi="Times New Roman" w:eastAsia="方正仿宋_GBK"/>
          <w:color w:val="0000FF"/>
          <w:kern w:val="2"/>
          <w:sz w:val="32"/>
          <w:szCs w:val="32"/>
          <w:lang w:val="en-US" w:eastAsia="zh-CN"/>
        </w:rPr>
      </w:pPr>
      <w:r>
        <w:rPr>
          <w:rFonts w:hint="eastAsia" w:ascii="Times New Roman" w:hAnsi="Times New Roman" w:eastAsia="方正仿宋_GBK"/>
          <w:color w:val="0000FF"/>
          <w:kern w:val="2"/>
          <w:sz w:val="32"/>
          <w:szCs w:val="32"/>
          <w:lang w:val="en-US" w:eastAsia="zh-CN"/>
        </w:rPr>
        <w:t>在国防业务公开方面，</w:t>
      </w:r>
      <w:r>
        <w:rPr>
          <w:rFonts w:hint="eastAsia" w:ascii="Times New Roman" w:hAnsi="Times New Roman" w:eastAsia="方正仿宋_GBK"/>
          <w:color w:val="0000FF"/>
          <w:kern w:val="2"/>
          <w:sz w:val="32"/>
          <w:szCs w:val="32"/>
          <w:lang w:val="en-US" w:eastAsia="en-US"/>
        </w:rPr>
        <w:t>Proterial</w:t>
      </w:r>
      <w:r>
        <w:rPr>
          <w:rFonts w:hint="eastAsia" w:ascii="Times New Roman" w:hAnsi="Times New Roman" w:eastAsia="方正仿宋_GBK"/>
          <w:color w:val="0000FF"/>
          <w:kern w:val="2"/>
          <w:sz w:val="32"/>
          <w:szCs w:val="32"/>
          <w:lang w:val="en-US" w:eastAsia="zh-CN"/>
        </w:rPr>
        <w:t xml:space="preserve"> Cable美国子公司（Proterial Cable America, Inc.）官网宣称是美国政府一级金属数控零部件制造商，能够快速响应复杂军事需求。（https://usa.proterial.com/defense-solutions/level-1-supplier/）</w:t>
      </w:r>
    </w:p>
    <w:p w14:paraId="3A6D72E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3" w:name="_Toc18673"/>
      <w:r>
        <w:rPr>
          <w:rFonts w:hint="eastAsia" w:ascii="Times New Roman" w:hAnsi="Times New Roman" w:eastAsia="方正仿宋_GBK"/>
          <w:kern w:val="2"/>
          <w:sz w:val="32"/>
          <w:szCs w:val="32"/>
          <w:lang w:val="en-US" w:eastAsia="zh-CN"/>
        </w:rPr>
        <w:t>2.防卫装备采购参与情况</w:t>
      </w:r>
      <w:bookmarkEnd w:id="13"/>
    </w:p>
    <w:p w14:paraId="1381611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根据日本防卫装备厅官网公布的「取引企業」名单，Proterial（前日立金属）被明确列为防卫产业关联企业。</w:t>
      </w:r>
    </w:p>
    <w:p w14:paraId="68CA30E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参与项目类型来看，航空自卫队装备维修零部件供应是Proterial参与防卫采购的主要形式之一。由于航空自卫队装备的维护保养需要持续供应高质量的原材料和零部件，Proterial作为特种材料和磁性材料的主要国内生产商，自然成为防卫省的重要供应商。海上自卫队舰艇材料供应是Proterial 参与防卫采购的另一重要领域。舰艇建造和维护需要大量的特种钢材和合金材料，Proterial的产品在舰船用高性能材料领域具有竞争优势。防卫省技术研究本部技术合作也是Proterial军工关联的重要维度。作为材料科学领域的技术领先企业，Proterial与防卫省下属的技术研究本部（现防卫装備庁先进技术胚胎研究中心等）在新材料研发方面存在合作关系。</w:t>
      </w:r>
    </w:p>
    <w:p w14:paraId="156CFA3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4" w:name="_Toc19888"/>
      <w:r>
        <w:rPr>
          <w:rFonts w:hint="eastAsia" w:ascii="Times New Roman" w:hAnsi="Times New Roman" w:eastAsia="方正仿宋_GBK"/>
          <w:kern w:val="2"/>
          <w:sz w:val="32"/>
          <w:szCs w:val="32"/>
          <w:lang w:val="en-US" w:eastAsia="zh-CN"/>
        </w:rPr>
        <w:t>3.日本防卫产业政策中的企业定位</w:t>
      </w:r>
      <w:bookmarkEnd w:id="14"/>
    </w:p>
    <w:p w14:paraId="0433028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zh-CN"/>
        </w:rPr>
      </w:pPr>
      <w:r>
        <w:rPr>
          <w:rFonts w:hint="eastAsia" w:ascii="Times New Roman" w:hAnsi="Times New Roman" w:eastAsia="方正仿宋_GBK"/>
          <w:kern w:val="2"/>
          <w:sz w:val="32"/>
          <w:szCs w:val="32"/>
          <w:lang w:val="en-US" w:eastAsia="en-US"/>
        </w:rPr>
        <w:t>Proterial在日本防卫产业政策体系中具有明确的战略定位。根据日本经济产业省《防衛産業基盤強化アクションプラン》和防卫省《防衛生産基盤強化施策》，特种材料和磁性材料被定位为“防卫产业的基础性·战略性物资”，相关企业被视为“防衛産業基盤”的核心组成部分。从《防衛生産基盤強化施策》的核心内容来看，日本政府认识到防卫产业与防卫装备是一体不可分的关系，防卫生产·技术基盤“可以说是防卫力本身”（出自日本防卫省《防衛力整備計画》）。基于这一认识，日本政府实施了一系列强化防卫产业基盤的政策措施</w:t>
      </w:r>
      <w:r>
        <w:rPr>
          <w:rFonts w:hint="eastAsia" w:ascii="Times New Roman" w:hAnsi="Times New Roman" w:eastAsia="方正仿宋_GBK"/>
          <w:kern w:val="2"/>
          <w:sz w:val="32"/>
          <w:szCs w:val="32"/>
          <w:lang w:val="en-US" w:eastAsia="zh-CN"/>
        </w:rPr>
        <w:t>。</w:t>
      </w:r>
    </w:p>
    <w:p w14:paraId="1BB2E5C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供应链强靱化方面，防卫省实施供应链调查，识别关键物资和零部件的供应风险。对于像Proterial这样在特定材料领域具有垄断或主导地位的企业，政府通过政策支持确保其稳定供应能力。2023年，日本与美国签署了《安全保障供応安定化取決め》（SoSA：Security of Supply Arrangement），目的是建立日美之间防卫装备品的稳定相互供给体制。</w:t>
      </w:r>
    </w:p>
    <w:p w14:paraId="4963D5F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产业保全方面，随着防卫装备品的共同研究·开发·生产国际合作的扩大，防止包括网络攻击在内的各国情报窃取活动对防卫产业的威胁成为重要课题。防卫装备厅于2023年5月加入「多国間産業保全ワーキンググループ」（MISWG），与各国的信息保全当局进行实务协调。防卫产业网络安全基准的贯彻实施和防卫产业保全手册的制定也在持续推进。</w:t>
      </w:r>
    </w:p>
    <w:p w14:paraId="62EA09B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在产业活化方面，日本政府通过举办「防衛産業参入促進展」等活动，促进包括Proterial在内的材料企业参与防卫产业。自2016年起，该展会每年举办，2024年度在名古屋、东京等地共举办了3次。</w:t>
      </w:r>
    </w:p>
    <w:p w14:paraId="02D49D7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5" w:name="_Toc29486"/>
      <w:r>
        <w:rPr>
          <w:rFonts w:hint="eastAsia" w:ascii="Times New Roman" w:hAnsi="Times New Roman" w:eastAsia="方正仿宋_GBK"/>
          <w:kern w:val="2"/>
          <w:sz w:val="32"/>
          <w:szCs w:val="32"/>
          <w:lang w:val="en-US" w:eastAsia="zh-CN"/>
        </w:rPr>
        <w:t>4.与政府部门往来记录</w:t>
      </w:r>
      <w:bookmarkEnd w:id="15"/>
    </w:p>
    <w:p w14:paraId="5FC51F9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与经济产业省（METI）的往来方面，Proterial曾参与经济产业省组织的「安全保障貿易管理」相关企业培训项目。作为两用物项的重要生产商和出口商，Proterial需要遵守日本《外汇及外国贸易法》下的出口管制规定，在涉及军事用途的出口活动中接受经济产业省的监管和指导。</w:t>
      </w:r>
    </w:p>
    <w:p w14:paraId="67B4DAB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在与防卫省的往来方面，Proterial被列入防卫省的防卫产业关联企业清单（取引企業一覧）。作为防卫产业基盤的重要组成部分，Proterial在防卫装备品供应链中发挥着关键作用。</w:t>
      </w:r>
    </w:p>
    <w:p w14:paraId="55977685">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6" w:name="_Toc1785"/>
      <w:bookmarkStart w:id="17" w:name="_Toc30390"/>
      <w:r>
        <w:rPr>
          <w:rFonts w:hint="eastAsia" w:ascii="Times New Roman" w:hAnsi="Times New Roman" w:eastAsia="黑体" w:cs="黑体"/>
          <w:b w:val="0"/>
          <w:bCs w:val="0"/>
          <w:color w:val="auto"/>
          <w:kern w:val="0"/>
          <w:sz w:val="32"/>
          <w:szCs w:val="32"/>
          <w:lang w:val="en-US" w:eastAsia="zh-CN" w:bidi="ar"/>
        </w:rPr>
        <w:t>（三）出口管制合规情况</w:t>
      </w:r>
      <w:bookmarkEnd w:id="16"/>
      <w:bookmarkEnd w:id="17"/>
    </w:p>
    <w:p w14:paraId="09B28E6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8" w:name="_Toc8841"/>
      <w:r>
        <w:rPr>
          <w:rFonts w:hint="eastAsia" w:ascii="Times New Roman" w:hAnsi="Times New Roman" w:eastAsia="方正仿宋_GBK"/>
          <w:kern w:val="2"/>
          <w:sz w:val="32"/>
          <w:szCs w:val="32"/>
          <w:lang w:val="en-US" w:eastAsia="zh-CN"/>
        </w:rPr>
        <w:t>1.美国BIS实体清单</w:t>
      </w:r>
      <w:bookmarkEnd w:id="18"/>
    </w:p>
    <w:p w14:paraId="24322A4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经查询美国商务部工业和安全局（BIS）实体清单</w:t>
      </w:r>
      <w:r>
        <w:rPr>
          <w:rFonts w:hint="eastAsia" w:ascii="Times New Roman" w:hAnsi="Times New Roman" w:eastAsia="方正仿宋_GBK"/>
          <w:kern w:val="2"/>
          <w:sz w:val="32"/>
          <w:szCs w:val="32"/>
          <w:lang w:val="en-US" w:eastAsia="zh-CN"/>
        </w:rPr>
        <w:t>等</w:t>
      </w:r>
      <w:r>
        <w:rPr>
          <w:rFonts w:hint="eastAsia" w:ascii="Times New Roman" w:hAnsi="Times New Roman" w:eastAsia="方正仿宋_GBK"/>
          <w:kern w:val="2"/>
          <w:sz w:val="32"/>
          <w:szCs w:val="32"/>
          <w:lang w:val="en-US" w:eastAsia="en-US"/>
        </w:rPr>
        <w:t>官方网站相关页面，Proterial Ltd未</w:t>
      </w:r>
      <w:r>
        <w:rPr>
          <w:rFonts w:hint="eastAsia" w:ascii="Times New Roman" w:hAnsi="Times New Roman" w:eastAsia="方正仿宋_GBK"/>
          <w:kern w:val="2"/>
          <w:sz w:val="32"/>
          <w:szCs w:val="32"/>
          <w:lang w:val="en-US" w:eastAsia="zh-CN"/>
        </w:rPr>
        <w:t>发现</w:t>
      </w:r>
      <w:r>
        <w:rPr>
          <w:rFonts w:hint="eastAsia" w:ascii="Times New Roman" w:hAnsi="Times New Roman" w:eastAsia="方正仿宋_GBK"/>
          <w:kern w:val="2"/>
          <w:sz w:val="32"/>
          <w:szCs w:val="32"/>
          <w:lang w:val="en-US" w:eastAsia="en-US"/>
        </w:rPr>
        <w:t>被列入美国BIS实体清单，其主要关联实体也均未出现在限制交易对象名单中。</w:t>
      </w:r>
    </w:p>
    <w:p w14:paraId="0986267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19" w:name="_Toc1153"/>
      <w:r>
        <w:rPr>
          <w:rFonts w:hint="eastAsia" w:ascii="Times New Roman" w:hAnsi="Times New Roman" w:eastAsia="方正仿宋_GBK"/>
          <w:kern w:val="2"/>
          <w:sz w:val="32"/>
          <w:szCs w:val="32"/>
          <w:lang w:val="en-US" w:eastAsia="zh-CN"/>
        </w:rPr>
        <w:t>2.日本出口管制清单</w:t>
      </w:r>
      <w:bookmarkEnd w:id="19"/>
    </w:p>
    <w:p w14:paraId="74E1B11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通过对官方管控名录核查</w:t>
      </w:r>
      <w:r>
        <w:rPr>
          <w:rFonts w:hint="eastAsia" w:ascii="Times New Roman" w:hAnsi="Times New Roman" w:eastAsia="方正仿宋_GBK"/>
          <w:kern w:val="2"/>
          <w:sz w:val="32"/>
          <w:szCs w:val="32"/>
          <w:lang w:val="en-US" w:eastAsia="zh-CN"/>
        </w:rPr>
        <w:t>发现</w:t>
      </w:r>
      <w:r>
        <w:rPr>
          <w:rFonts w:hint="eastAsia" w:ascii="Times New Roman" w:hAnsi="Times New Roman" w:eastAsia="方正仿宋_GBK"/>
          <w:kern w:val="2"/>
          <w:sz w:val="32"/>
          <w:szCs w:val="32"/>
          <w:lang w:val="en-US" w:eastAsia="en-US"/>
        </w:rPr>
        <w:t>，Proterial Ltd未被日本经济产业省列入单独管制清单。作为日本主要的特种材料和磁性材料制造商，Proterial在日常经营中需要遵守日本《外汇及外国贸易法》（外国為替及び外国貿易法）下的出口管制规定，对可能用于军事用途的两用物项出口实行严格管控。</w:t>
      </w:r>
    </w:p>
    <w:p w14:paraId="208CDB5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日本的出口管制体系以《外国為替及び外国貿易法》为基础，由经济产业省负责实施。管制清单分为四类：其一为国际防扩散框架下的管制清单（包括瓦森纳尔安排、导弹技术管制机制、澳大利亚集团、核供应国集团等）；其二为基于国家安全的管制；其三为基于维护国际和平与安全的管制；其四为基于联合国安全理事会决议的管制。企业出口上述管制清单上的物项时，需向经济产业省申请出口许可。</w:t>
      </w:r>
    </w:p>
    <w:p w14:paraId="16C4148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0" w:name="_Toc21558"/>
      <w:r>
        <w:rPr>
          <w:rFonts w:hint="eastAsia" w:ascii="Times New Roman" w:hAnsi="Times New Roman" w:eastAsia="方正仿宋_GBK"/>
          <w:kern w:val="2"/>
          <w:sz w:val="32"/>
          <w:szCs w:val="32"/>
          <w:lang w:val="en-US" w:eastAsia="zh-CN"/>
        </w:rPr>
        <w:t>3.中国出口管制名单</w:t>
      </w:r>
      <w:bookmarkEnd w:id="20"/>
    </w:p>
    <w:p w14:paraId="0311F1F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在最新政策动态方面，</w:t>
      </w:r>
      <w:r>
        <w:rPr>
          <w:rFonts w:hint="eastAsia" w:ascii="Times New Roman" w:hAnsi="Times New Roman" w:eastAsia="方正仿宋_GBK"/>
          <w:kern w:val="2"/>
          <w:sz w:val="32"/>
          <w:szCs w:val="32"/>
          <w:lang w:val="en-US" w:eastAsia="zh-CN"/>
        </w:rPr>
        <w:t>2</w:t>
      </w:r>
      <w:r>
        <w:rPr>
          <w:rFonts w:hint="eastAsia" w:ascii="Times New Roman" w:hAnsi="Times New Roman" w:eastAsia="方正仿宋_GBK"/>
          <w:kern w:val="2"/>
          <w:sz w:val="32"/>
          <w:szCs w:val="32"/>
          <w:lang w:val="en-US" w:eastAsia="en-US"/>
        </w:rPr>
        <w:t>026年1月6日，中国商务部发布2026年第1号公告——《关于加强两用物项对日本出口管制的公告》，宣布对日出口管制措施进行全面升级。该公告明确：禁止所有两用物项对日本军事用户、军事用途，以及一切有助于提升日本军事实力的其他最终用户用途出口。任何国家和地区的组织和个人，违反上述规定，将原产于中华人民共和国的相关两用物项转移或提供给日本的组织和个人，将依法追究法律责任。该公告自公布之日起正式实施，无过渡期。</w:t>
      </w:r>
    </w:p>
    <w:p w14:paraId="31F1FFE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2026年2月24日，中国商务部再次发布两则公告，将20家日本实体列入出口管制管控名单（商务部公告2026年第11号），另有20家日本实体被列入关注名单（商务部公告2026年第12号）。被列入管控名单的企业禁止向其出口任何中国原产两用物项；被列入关注名单的企业在出口时需提供额外文件和更严格的最终用途证明。</w:t>
      </w:r>
    </w:p>
    <w:p w14:paraId="0ABB26F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在Proterial的相关状态方面，经核查已公布的名单，Proterial Ltd未出现在2026年2月24日公布的中国对日出口管制管控名单或关注名单中。</w:t>
      </w:r>
    </w:p>
    <w:p w14:paraId="2A6B58F8">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21" w:name="_Toc13707"/>
      <w:bookmarkStart w:id="22" w:name="_Toc21102"/>
      <w:r>
        <w:rPr>
          <w:rFonts w:hint="eastAsia" w:ascii="Times New Roman" w:hAnsi="Times New Roman" w:eastAsia="黑体" w:cs="黑体"/>
          <w:b w:val="0"/>
          <w:bCs w:val="0"/>
          <w:color w:val="auto"/>
          <w:kern w:val="0"/>
          <w:sz w:val="32"/>
          <w:szCs w:val="32"/>
          <w:lang w:val="en-US" w:eastAsia="zh-CN" w:bidi="ar"/>
        </w:rPr>
        <w:t>（四）转运风险评估</w:t>
      </w:r>
      <w:bookmarkEnd w:id="21"/>
      <w:bookmarkEnd w:id="22"/>
    </w:p>
    <w:p w14:paraId="7AE4883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3" w:name="_Toc25905"/>
      <w:r>
        <w:rPr>
          <w:rFonts w:hint="eastAsia" w:ascii="Times New Roman" w:hAnsi="Times New Roman" w:eastAsia="方正仿宋_GBK"/>
          <w:kern w:val="2"/>
          <w:sz w:val="32"/>
          <w:szCs w:val="32"/>
          <w:lang w:val="en-US" w:eastAsia="zh-CN"/>
        </w:rPr>
        <w:t>1.中国对日出口管制政策背景分析</w:t>
      </w:r>
      <w:bookmarkEnd w:id="23"/>
    </w:p>
    <w:p w14:paraId="7E79977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中国于2026年初对日本实施的两用物项出口管制升级措施，具有深刻的政策背景和战略意图。</w:t>
      </w:r>
    </w:p>
    <w:p w14:paraId="3C4E688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政策出台背景来看，日本首相高市早苗2025年11月在国会答辩中公然声称中国大陆对台使用武力可能构成日本“存亡危机事态”，暗示自卫队可行使集体自卫权。这种赤裸裸的挑衅言论严重违背了中日四个政治文件的精神，踩踏了中方核心红线。此外，日本近年来持续推进“再军事化”，包括2026年4月修改“防卫装备转移三原则”允许出口杀伤性武器、防卫预算首次突破9万亿日元大关、加速发展进攻性武器装备等。</w:t>
      </w:r>
    </w:p>
    <w:p w14:paraId="36C43A7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结合政策战略意图分析，中国实施出口管制的核心目标是“釜底抽薪”——通过切断关键材料供应链，制约日本的军事扩张潜力。日本防卫产业对中国的稀土、镓、锗等关键材料高度依赖，尤其是重稀土（镝、铽等）对华依赖度接近100%，镓和锗等也是半导体、雷达等军事装备不可或缺的材料。通过精准的“最终用户-最终用途”审查机制，中国能够有效限制日本军工产业的发展空间，而无需采取全面贸易战的手段。</w:t>
      </w:r>
    </w:p>
    <w:p w14:paraId="13D8820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管制物项划定层面，参照2026年度《两用物项和技术进出口许可证管理目录》，管制物项涵盖稀土（中重稀土：钐、钆、铽、镝等）、稀有金属（镓、锗、锑、钨、钼、铟等）、半导体材料、特种石墨、碳纤维、先进复合材料等900余种两用物项，覆盖材料加工、电子、计算机、电信和信息安全、导航和航空电子等10个领域。</w:t>
      </w:r>
    </w:p>
    <w:p w14:paraId="1A38F83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4" w:name="_Toc17490"/>
      <w:r>
        <w:rPr>
          <w:rFonts w:hint="eastAsia" w:ascii="Times New Roman" w:hAnsi="Times New Roman" w:eastAsia="方正仿宋_GBK"/>
          <w:kern w:val="2"/>
          <w:sz w:val="32"/>
          <w:szCs w:val="32"/>
          <w:lang w:val="en-US" w:eastAsia="zh-CN"/>
        </w:rPr>
        <w:t>2.经营物项与中国管制物项清单对照分析</w:t>
      </w:r>
      <w:bookmarkEnd w:id="24"/>
    </w:p>
    <w:p w14:paraId="019F4B1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结合企业实际经营品类来看，可对Proterial主要产品线开展与中国管制物项清单的对照分析。</w:t>
      </w:r>
    </w:p>
    <w:p w14:paraId="5C475BB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Proterial生产的NEOMAX钕铁硼永磁体在制造过程中需要使用多种稀土材料，包括镨、钕、镝、铽等中重稀土元素。根据中国2026年管制政策，中重稀土（如镝、铽、钐、钆等）被列入严格管制范围。若这些稀土原材料源自中国，Proterial的永磁体生产将受到影响，进而影响其供应军用电子设备材料的能力。</w:t>
      </w:r>
    </w:p>
    <w:p w14:paraId="5AE6457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航空发动机用特种合金钢的生产可能涉及钨、钼等合金元素。中国对钨、钼等稀有金属实施全年严格出口许可制度，禁止未经审批出口。</w:t>
      </w:r>
    </w:p>
    <w:p w14:paraId="4A5A220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在电子元件相关材料的生产环节中，产品配方可能添加镓、锗等关键原料，该类稀有金属也</w:t>
      </w:r>
      <w:r>
        <w:rPr>
          <w:rFonts w:hint="eastAsia" w:ascii="Times New Roman" w:hAnsi="Times New Roman" w:eastAsia="方正仿宋_GBK"/>
          <w:kern w:val="2"/>
          <w:sz w:val="32"/>
          <w:szCs w:val="32"/>
          <w:lang w:val="en-US" w:eastAsia="zh-CN"/>
        </w:rPr>
        <w:t>是</w:t>
      </w:r>
      <w:r>
        <w:rPr>
          <w:rFonts w:hint="eastAsia" w:ascii="Times New Roman" w:hAnsi="Times New Roman" w:eastAsia="方正仿宋_GBK"/>
          <w:kern w:val="2"/>
          <w:sz w:val="32"/>
          <w:szCs w:val="32"/>
          <w:lang w:val="en-US" w:eastAsia="en-US"/>
        </w:rPr>
        <w:t>出口管制的重点管控品类。</w:t>
      </w:r>
    </w:p>
    <w:p w14:paraId="1E0E4A2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综合以上内容进行梳理，可对企业整体面临的相关风险开展等级评估工作。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4FE5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shd w:val="clear" w:color="auto" w:fill="F2F2F2"/>
            <w:vAlign w:val="center"/>
          </w:tcPr>
          <w:p w14:paraId="0AA2E2C7">
            <w:pPr>
              <w:keepNext w:val="0"/>
              <w:keepLines w:val="0"/>
              <w:pageBreakBefore w:val="0"/>
              <w:widowControl/>
              <w:kinsoku/>
              <w:wordWrap/>
              <w:overflowPunct/>
              <w:topLinePunct w:val="0"/>
              <w:autoSpaceDE/>
              <w:autoSpaceDN/>
              <w:bidi w:val="0"/>
              <w:adjustRightInd/>
              <w:snapToGrid/>
              <w:spacing w:after="0"/>
              <w:jc w:val="center"/>
              <w:textAlignment w:val="auto"/>
            </w:pPr>
            <w:r>
              <w:rPr>
                <w:b/>
              </w:rPr>
              <w:t>物项类别</w:t>
            </w:r>
          </w:p>
        </w:tc>
        <w:tc>
          <w:tcPr>
            <w:tcW w:w="2078" w:type="dxa"/>
            <w:shd w:val="clear" w:color="auto" w:fill="F2F2F2"/>
            <w:vAlign w:val="center"/>
          </w:tcPr>
          <w:p w14:paraId="782AC7FE">
            <w:pPr>
              <w:keepNext w:val="0"/>
              <w:keepLines w:val="0"/>
              <w:pageBreakBefore w:val="0"/>
              <w:widowControl/>
              <w:kinsoku/>
              <w:wordWrap/>
              <w:overflowPunct/>
              <w:topLinePunct w:val="0"/>
              <w:autoSpaceDE/>
              <w:autoSpaceDN/>
              <w:bidi w:val="0"/>
              <w:adjustRightInd/>
              <w:snapToGrid/>
              <w:spacing w:after="0"/>
              <w:jc w:val="center"/>
              <w:textAlignment w:val="auto"/>
            </w:pPr>
            <w:r>
              <w:rPr>
                <w:b/>
              </w:rPr>
              <w:t>管制状态</w:t>
            </w:r>
          </w:p>
        </w:tc>
        <w:tc>
          <w:tcPr>
            <w:tcW w:w="2078" w:type="dxa"/>
            <w:shd w:val="clear" w:color="auto" w:fill="F2F2F2"/>
            <w:vAlign w:val="center"/>
          </w:tcPr>
          <w:p w14:paraId="3849C60C">
            <w:pPr>
              <w:keepNext w:val="0"/>
              <w:keepLines w:val="0"/>
              <w:pageBreakBefore w:val="0"/>
              <w:widowControl/>
              <w:kinsoku/>
              <w:wordWrap/>
              <w:overflowPunct/>
              <w:topLinePunct w:val="0"/>
              <w:autoSpaceDE/>
              <w:autoSpaceDN/>
              <w:bidi w:val="0"/>
              <w:adjustRightInd/>
              <w:snapToGrid/>
              <w:spacing w:after="0"/>
              <w:jc w:val="center"/>
              <w:textAlignment w:val="auto"/>
            </w:pPr>
            <w:r>
              <w:rPr>
                <w:b/>
              </w:rPr>
              <w:t>Proterial使用情况</w:t>
            </w:r>
          </w:p>
        </w:tc>
        <w:tc>
          <w:tcPr>
            <w:tcW w:w="2078" w:type="dxa"/>
            <w:shd w:val="clear" w:color="auto" w:fill="F2F2F2"/>
            <w:vAlign w:val="center"/>
          </w:tcPr>
          <w:p w14:paraId="5CA11E20">
            <w:pPr>
              <w:keepNext w:val="0"/>
              <w:keepLines w:val="0"/>
              <w:pageBreakBefore w:val="0"/>
              <w:widowControl/>
              <w:kinsoku/>
              <w:wordWrap/>
              <w:overflowPunct/>
              <w:topLinePunct w:val="0"/>
              <w:autoSpaceDE/>
              <w:autoSpaceDN/>
              <w:bidi w:val="0"/>
              <w:adjustRightInd/>
              <w:snapToGrid/>
              <w:spacing w:after="0"/>
              <w:jc w:val="center"/>
              <w:textAlignment w:val="auto"/>
            </w:pPr>
            <w:r>
              <w:rPr>
                <w:b/>
              </w:rPr>
              <w:t>潜在风险</w:t>
            </w:r>
          </w:p>
        </w:tc>
      </w:tr>
      <w:tr w14:paraId="64B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34432110">
            <w:pPr>
              <w:keepNext w:val="0"/>
              <w:keepLines w:val="0"/>
              <w:pageBreakBefore w:val="0"/>
              <w:widowControl/>
              <w:kinsoku/>
              <w:wordWrap/>
              <w:overflowPunct/>
              <w:topLinePunct w:val="0"/>
              <w:autoSpaceDE/>
              <w:autoSpaceDN/>
              <w:bidi w:val="0"/>
              <w:adjustRightInd/>
              <w:snapToGrid/>
              <w:spacing w:after="0"/>
              <w:jc w:val="center"/>
              <w:textAlignment w:val="auto"/>
            </w:pPr>
            <w:r>
              <w:t>钕铁硼永磁体（含稀土）</w:t>
            </w:r>
          </w:p>
        </w:tc>
        <w:tc>
          <w:tcPr>
            <w:tcW w:w="2078" w:type="dxa"/>
            <w:vAlign w:val="center"/>
          </w:tcPr>
          <w:p w14:paraId="3C408FA7">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247DFA89">
            <w:pPr>
              <w:keepNext w:val="0"/>
              <w:keepLines w:val="0"/>
              <w:pageBreakBefore w:val="0"/>
              <w:widowControl/>
              <w:kinsoku/>
              <w:wordWrap/>
              <w:overflowPunct/>
              <w:topLinePunct w:val="0"/>
              <w:autoSpaceDE/>
              <w:autoSpaceDN/>
              <w:bidi w:val="0"/>
              <w:adjustRightInd/>
              <w:snapToGrid/>
              <w:spacing w:after="0"/>
              <w:jc w:val="center"/>
              <w:textAlignment w:val="auto"/>
            </w:pPr>
            <w:r>
              <w:t>核心产品线</w:t>
            </w:r>
          </w:p>
        </w:tc>
        <w:tc>
          <w:tcPr>
            <w:tcW w:w="2078" w:type="dxa"/>
            <w:vAlign w:val="center"/>
          </w:tcPr>
          <w:p w14:paraId="1E700EAF">
            <w:pPr>
              <w:keepNext w:val="0"/>
              <w:keepLines w:val="0"/>
              <w:pageBreakBefore w:val="0"/>
              <w:widowControl/>
              <w:kinsoku/>
              <w:wordWrap/>
              <w:overflowPunct/>
              <w:topLinePunct w:val="0"/>
              <w:autoSpaceDE/>
              <w:autoSpaceDN/>
              <w:bidi w:val="0"/>
              <w:adjustRightInd/>
              <w:snapToGrid/>
              <w:spacing w:after="0"/>
              <w:jc w:val="center"/>
              <w:textAlignment w:val="auto"/>
            </w:pPr>
            <w:r>
              <w:t>中高</w:t>
            </w:r>
          </w:p>
        </w:tc>
      </w:tr>
      <w:tr w14:paraId="51CB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489CFB4E">
            <w:pPr>
              <w:keepNext w:val="0"/>
              <w:keepLines w:val="0"/>
              <w:pageBreakBefore w:val="0"/>
              <w:widowControl/>
              <w:kinsoku/>
              <w:wordWrap/>
              <w:overflowPunct/>
              <w:topLinePunct w:val="0"/>
              <w:autoSpaceDE/>
              <w:autoSpaceDN/>
              <w:bidi w:val="0"/>
              <w:adjustRightInd/>
              <w:snapToGrid/>
              <w:spacing w:after="0"/>
              <w:jc w:val="center"/>
              <w:textAlignment w:val="auto"/>
            </w:pPr>
            <w:r>
              <w:t>特种合金钢（钨系）</w:t>
            </w:r>
          </w:p>
        </w:tc>
        <w:tc>
          <w:tcPr>
            <w:tcW w:w="2078" w:type="dxa"/>
            <w:vAlign w:val="center"/>
          </w:tcPr>
          <w:p w14:paraId="15C6452C">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2F4F41AF">
            <w:pPr>
              <w:keepNext w:val="0"/>
              <w:keepLines w:val="0"/>
              <w:pageBreakBefore w:val="0"/>
              <w:widowControl/>
              <w:kinsoku/>
              <w:wordWrap/>
              <w:overflowPunct/>
              <w:topLinePunct w:val="0"/>
              <w:autoSpaceDE/>
              <w:autoSpaceDN/>
              <w:bidi w:val="0"/>
              <w:adjustRightInd/>
              <w:snapToGrid/>
              <w:spacing w:after="0"/>
              <w:jc w:val="center"/>
              <w:textAlignment w:val="auto"/>
            </w:pPr>
            <w:r>
              <w:t>航空发动机材料</w:t>
            </w:r>
          </w:p>
        </w:tc>
        <w:tc>
          <w:tcPr>
            <w:tcW w:w="2078" w:type="dxa"/>
            <w:vAlign w:val="center"/>
          </w:tcPr>
          <w:p w14:paraId="63C35736">
            <w:pPr>
              <w:keepNext w:val="0"/>
              <w:keepLines w:val="0"/>
              <w:pageBreakBefore w:val="0"/>
              <w:widowControl/>
              <w:kinsoku/>
              <w:wordWrap/>
              <w:overflowPunct/>
              <w:topLinePunct w:val="0"/>
              <w:autoSpaceDE/>
              <w:autoSpaceDN/>
              <w:bidi w:val="0"/>
              <w:adjustRightInd/>
              <w:snapToGrid/>
              <w:spacing w:after="0"/>
              <w:jc w:val="center"/>
              <w:textAlignment w:val="auto"/>
            </w:pPr>
            <w:r>
              <w:t>中</w:t>
            </w:r>
          </w:p>
        </w:tc>
      </w:tr>
      <w:tr w14:paraId="11DF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1BA64345">
            <w:pPr>
              <w:keepNext w:val="0"/>
              <w:keepLines w:val="0"/>
              <w:pageBreakBefore w:val="0"/>
              <w:widowControl/>
              <w:kinsoku/>
              <w:wordWrap/>
              <w:overflowPunct/>
              <w:topLinePunct w:val="0"/>
              <w:autoSpaceDE/>
              <w:autoSpaceDN/>
              <w:bidi w:val="0"/>
              <w:adjustRightInd/>
              <w:snapToGrid/>
              <w:spacing w:after="0"/>
              <w:jc w:val="center"/>
              <w:textAlignment w:val="auto"/>
            </w:pPr>
            <w:r>
              <w:t>特种合金钢（钼系）</w:t>
            </w:r>
          </w:p>
        </w:tc>
        <w:tc>
          <w:tcPr>
            <w:tcW w:w="2078" w:type="dxa"/>
            <w:vAlign w:val="center"/>
          </w:tcPr>
          <w:p w14:paraId="61E257E0">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0388ECCD">
            <w:pPr>
              <w:keepNext w:val="0"/>
              <w:keepLines w:val="0"/>
              <w:pageBreakBefore w:val="0"/>
              <w:widowControl/>
              <w:kinsoku/>
              <w:wordWrap/>
              <w:overflowPunct/>
              <w:topLinePunct w:val="0"/>
              <w:autoSpaceDE/>
              <w:autoSpaceDN/>
              <w:bidi w:val="0"/>
              <w:adjustRightInd/>
              <w:snapToGrid/>
              <w:spacing w:after="0"/>
              <w:jc w:val="center"/>
              <w:textAlignment w:val="auto"/>
            </w:pPr>
            <w:r>
              <w:t>高温合金材料</w:t>
            </w:r>
          </w:p>
        </w:tc>
        <w:tc>
          <w:tcPr>
            <w:tcW w:w="2078" w:type="dxa"/>
            <w:vAlign w:val="center"/>
          </w:tcPr>
          <w:p w14:paraId="037DD393">
            <w:pPr>
              <w:keepNext w:val="0"/>
              <w:keepLines w:val="0"/>
              <w:pageBreakBefore w:val="0"/>
              <w:widowControl/>
              <w:kinsoku/>
              <w:wordWrap/>
              <w:overflowPunct/>
              <w:topLinePunct w:val="0"/>
              <w:autoSpaceDE/>
              <w:autoSpaceDN/>
              <w:bidi w:val="0"/>
              <w:adjustRightInd/>
              <w:snapToGrid/>
              <w:spacing w:after="0"/>
              <w:jc w:val="center"/>
              <w:textAlignment w:val="auto"/>
            </w:pPr>
            <w:r>
              <w:t>中</w:t>
            </w:r>
          </w:p>
        </w:tc>
      </w:tr>
      <w:tr w14:paraId="0C8A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19C90092">
            <w:pPr>
              <w:keepNext w:val="0"/>
              <w:keepLines w:val="0"/>
              <w:pageBreakBefore w:val="0"/>
              <w:widowControl/>
              <w:kinsoku/>
              <w:wordWrap/>
              <w:overflowPunct/>
              <w:topLinePunct w:val="0"/>
              <w:autoSpaceDE/>
              <w:autoSpaceDN/>
              <w:bidi w:val="0"/>
              <w:adjustRightInd/>
              <w:snapToGrid/>
              <w:spacing w:after="0"/>
              <w:jc w:val="center"/>
              <w:textAlignment w:val="auto"/>
            </w:pPr>
            <w:r>
              <w:t>镓、锗化合物</w:t>
            </w:r>
          </w:p>
        </w:tc>
        <w:tc>
          <w:tcPr>
            <w:tcW w:w="2078" w:type="dxa"/>
            <w:vAlign w:val="center"/>
          </w:tcPr>
          <w:p w14:paraId="182B47E8">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250E66AD">
            <w:pPr>
              <w:keepNext w:val="0"/>
              <w:keepLines w:val="0"/>
              <w:pageBreakBefore w:val="0"/>
              <w:widowControl/>
              <w:kinsoku/>
              <w:wordWrap/>
              <w:overflowPunct/>
              <w:topLinePunct w:val="0"/>
              <w:autoSpaceDE/>
              <w:autoSpaceDN/>
              <w:bidi w:val="0"/>
              <w:adjustRightInd/>
              <w:snapToGrid/>
              <w:spacing w:after="0"/>
              <w:jc w:val="center"/>
              <w:textAlignment w:val="auto"/>
            </w:pPr>
            <w:r>
              <w:t>电子材料</w:t>
            </w:r>
          </w:p>
        </w:tc>
        <w:tc>
          <w:tcPr>
            <w:tcW w:w="2078" w:type="dxa"/>
            <w:vAlign w:val="center"/>
          </w:tcPr>
          <w:p w14:paraId="6562EFCF">
            <w:pPr>
              <w:keepNext w:val="0"/>
              <w:keepLines w:val="0"/>
              <w:pageBreakBefore w:val="0"/>
              <w:widowControl/>
              <w:kinsoku/>
              <w:wordWrap/>
              <w:overflowPunct/>
              <w:topLinePunct w:val="0"/>
              <w:autoSpaceDE/>
              <w:autoSpaceDN/>
              <w:bidi w:val="0"/>
              <w:adjustRightInd/>
              <w:snapToGrid/>
              <w:spacing w:after="0"/>
              <w:jc w:val="center"/>
              <w:textAlignment w:val="auto"/>
            </w:pPr>
            <w:r>
              <w:t>中低</w:t>
            </w:r>
          </w:p>
        </w:tc>
      </w:tr>
      <w:tr w14:paraId="586A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5F9488F1">
            <w:pPr>
              <w:keepNext w:val="0"/>
              <w:keepLines w:val="0"/>
              <w:pageBreakBefore w:val="0"/>
              <w:widowControl/>
              <w:kinsoku/>
              <w:wordWrap/>
              <w:overflowPunct/>
              <w:topLinePunct w:val="0"/>
              <w:autoSpaceDE/>
              <w:autoSpaceDN/>
              <w:bidi w:val="0"/>
              <w:adjustRightInd/>
              <w:snapToGrid/>
              <w:spacing w:after="0"/>
              <w:jc w:val="center"/>
              <w:textAlignment w:val="auto"/>
            </w:pPr>
            <w:r>
              <w:t>普通钢材</w:t>
            </w:r>
          </w:p>
        </w:tc>
        <w:tc>
          <w:tcPr>
            <w:tcW w:w="2078" w:type="dxa"/>
            <w:vAlign w:val="center"/>
          </w:tcPr>
          <w:p w14:paraId="0FD230F0">
            <w:pPr>
              <w:keepNext w:val="0"/>
              <w:keepLines w:val="0"/>
              <w:pageBreakBefore w:val="0"/>
              <w:widowControl/>
              <w:kinsoku/>
              <w:wordWrap/>
              <w:overflowPunct/>
              <w:topLinePunct w:val="0"/>
              <w:autoSpaceDE/>
              <w:autoSpaceDN/>
              <w:bidi w:val="0"/>
              <w:adjustRightInd/>
              <w:snapToGrid/>
              <w:spacing w:after="0"/>
              <w:jc w:val="center"/>
              <w:textAlignment w:val="auto"/>
            </w:pPr>
            <w:r>
              <w:t>非管制</w:t>
            </w:r>
          </w:p>
        </w:tc>
        <w:tc>
          <w:tcPr>
            <w:tcW w:w="2078" w:type="dxa"/>
            <w:vAlign w:val="center"/>
          </w:tcPr>
          <w:p w14:paraId="3631E874">
            <w:pPr>
              <w:keepNext w:val="0"/>
              <w:keepLines w:val="0"/>
              <w:pageBreakBefore w:val="0"/>
              <w:widowControl/>
              <w:kinsoku/>
              <w:wordWrap/>
              <w:overflowPunct/>
              <w:topLinePunct w:val="0"/>
              <w:autoSpaceDE/>
              <w:autoSpaceDN/>
              <w:bidi w:val="0"/>
              <w:adjustRightInd/>
              <w:snapToGrid/>
              <w:spacing w:after="0"/>
              <w:jc w:val="center"/>
              <w:textAlignment w:val="auto"/>
            </w:pPr>
            <w:r>
              <w:t>汽车零部件</w:t>
            </w:r>
          </w:p>
        </w:tc>
        <w:tc>
          <w:tcPr>
            <w:tcW w:w="2078" w:type="dxa"/>
            <w:vAlign w:val="center"/>
          </w:tcPr>
          <w:p w14:paraId="70B4D48E">
            <w:pPr>
              <w:keepNext w:val="0"/>
              <w:keepLines w:val="0"/>
              <w:pageBreakBefore w:val="0"/>
              <w:widowControl/>
              <w:kinsoku/>
              <w:wordWrap/>
              <w:overflowPunct/>
              <w:topLinePunct w:val="0"/>
              <w:autoSpaceDE/>
              <w:autoSpaceDN/>
              <w:bidi w:val="0"/>
              <w:adjustRightInd/>
              <w:snapToGrid/>
              <w:spacing w:after="0"/>
              <w:jc w:val="center"/>
              <w:textAlignment w:val="auto"/>
            </w:pPr>
            <w:r>
              <w:t>无</w:t>
            </w:r>
          </w:p>
        </w:tc>
      </w:tr>
    </w:tbl>
    <w:p w14:paraId="6DCD701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pPr>
      <w:bookmarkStart w:id="25" w:name="_Toc24989"/>
      <w:r>
        <w:rPr>
          <w:rFonts w:hint="eastAsia" w:ascii="Times New Roman" w:hAnsi="Times New Roman" w:eastAsia="方正仿宋_GBK"/>
          <w:kern w:val="2"/>
          <w:sz w:val="32"/>
          <w:szCs w:val="32"/>
          <w:lang w:val="en-US" w:eastAsia="zh-CN"/>
        </w:rPr>
        <w:t>3.转运路径可能性分析</w:t>
      </w:r>
      <w:bookmarkEnd w:id="25"/>
    </w:p>
    <w:p w14:paraId="2C35BAC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转运（transshipment）是指将受管制的物项通过第三国或地区转运至最终目的地的行为。针对Proterial，需要对以下潜在转运路径进行评估。</w:t>
      </w:r>
    </w:p>
    <w:p w14:paraId="2BCA229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在通过在华子公司转运方面，Proterial在中国设有Proterial (China) Ltd.（香港）、Proterial Metals (Suzhou) Ltd.（苏州）、Proterial (Shanghai) Ltd.（上海）、Proterial (Guangzhou) Ltd.（广州）等4家子公司。若这些子公司从中国市场采购稀土等管制物项，然后转售至Proterial日本母公司或其他关联企业，可能构成转运风险。</w:t>
      </w:r>
    </w:p>
    <w:p w14:paraId="3586FF2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通过第三国贸易商转运方面，中国2026年第1号公告明确规定，“任何国家和地区的组织和个人”若将中国原产物项转移给日本相关主体，将被依法追究法律责任。这一条款明确封堵了通过第三国贸易商转运的规避路径。</w:t>
      </w:r>
    </w:p>
    <w:p w14:paraId="0A34CBE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在通过香港转运方面，香港作为中国特别行政区，理论上属于中国关境范围之内。2026年管制政策应同样适用于香港地区的出口活动。</w:t>
      </w:r>
    </w:p>
    <w:p w14:paraId="4965E24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从转运风险评估结论来看，基于2026年中国出口管制政策的严格措辞和国际执法力度的加强，通过常规贸易渠道进行转运的风险已被大幅压缩。然而，对于在华子公司的内部贸易活动，仍需保持关注。</w:t>
      </w:r>
    </w:p>
    <w:p w14:paraId="138557E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26" w:name="_Toc5860"/>
      <w:r>
        <w:rPr>
          <w:rFonts w:hint="eastAsia" w:ascii="Times New Roman" w:hAnsi="Times New Roman" w:eastAsia="方正仿宋_GBK"/>
          <w:kern w:val="2"/>
          <w:sz w:val="32"/>
          <w:szCs w:val="32"/>
          <w:lang w:val="en-US" w:eastAsia="zh-CN"/>
        </w:rPr>
        <w:t>4.综合风险评估</w:t>
      </w:r>
      <w:bookmarkEnd w:id="2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EFB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vAlign w:val="center"/>
          </w:tcPr>
          <w:p w14:paraId="4227220D">
            <w:pPr>
              <w:keepNext w:val="0"/>
              <w:keepLines w:val="0"/>
              <w:pageBreakBefore w:val="0"/>
              <w:widowControl/>
              <w:kinsoku/>
              <w:wordWrap/>
              <w:overflowPunct/>
              <w:topLinePunct w:val="0"/>
              <w:autoSpaceDE/>
              <w:autoSpaceDN/>
              <w:bidi w:val="0"/>
              <w:adjustRightInd/>
              <w:snapToGrid/>
              <w:spacing w:after="0"/>
              <w:jc w:val="center"/>
              <w:textAlignment w:val="auto"/>
            </w:pPr>
            <w:r>
              <w:rPr>
                <w:b/>
              </w:rPr>
              <w:t>风险因素</w:t>
            </w:r>
          </w:p>
        </w:tc>
        <w:tc>
          <w:tcPr>
            <w:tcW w:w="2771" w:type="dxa"/>
            <w:shd w:val="clear" w:color="auto" w:fill="F2F2F2"/>
            <w:vAlign w:val="center"/>
          </w:tcPr>
          <w:p w14:paraId="6AA42636">
            <w:pPr>
              <w:keepNext w:val="0"/>
              <w:keepLines w:val="0"/>
              <w:pageBreakBefore w:val="0"/>
              <w:widowControl/>
              <w:kinsoku/>
              <w:wordWrap/>
              <w:overflowPunct/>
              <w:topLinePunct w:val="0"/>
              <w:autoSpaceDE/>
              <w:autoSpaceDN/>
              <w:bidi w:val="0"/>
              <w:adjustRightInd/>
              <w:snapToGrid/>
              <w:spacing w:after="0"/>
              <w:jc w:val="center"/>
              <w:textAlignment w:val="auto"/>
            </w:pPr>
            <w:r>
              <w:rPr>
                <w:b/>
              </w:rPr>
              <w:t>评估</w:t>
            </w:r>
          </w:p>
        </w:tc>
        <w:tc>
          <w:tcPr>
            <w:tcW w:w="2771" w:type="dxa"/>
            <w:shd w:val="clear" w:color="auto" w:fill="F2F2F2"/>
            <w:vAlign w:val="center"/>
          </w:tcPr>
          <w:p w14:paraId="26A4FBB0">
            <w:pPr>
              <w:keepNext w:val="0"/>
              <w:keepLines w:val="0"/>
              <w:pageBreakBefore w:val="0"/>
              <w:widowControl/>
              <w:kinsoku/>
              <w:wordWrap/>
              <w:overflowPunct/>
              <w:topLinePunct w:val="0"/>
              <w:autoSpaceDE/>
              <w:autoSpaceDN/>
              <w:bidi w:val="0"/>
              <w:adjustRightInd/>
              <w:snapToGrid/>
              <w:spacing w:after="0"/>
              <w:jc w:val="center"/>
              <w:textAlignment w:val="auto"/>
            </w:pPr>
            <w:r>
              <w:rPr>
                <w:b/>
              </w:rPr>
              <w:t>说明</w:t>
            </w:r>
          </w:p>
        </w:tc>
      </w:tr>
      <w:tr w14:paraId="5857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52929EE3">
            <w:pPr>
              <w:keepNext w:val="0"/>
              <w:keepLines w:val="0"/>
              <w:pageBreakBefore w:val="0"/>
              <w:widowControl/>
              <w:kinsoku/>
              <w:wordWrap/>
              <w:overflowPunct/>
              <w:topLinePunct w:val="0"/>
              <w:autoSpaceDE/>
              <w:autoSpaceDN/>
              <w:bidi w:val="0"/>
              <w:adjustRightInd/>
              <w:snapToGrid/>
              <w:spacing w:after="0"/>
              <w:jc w:val="center"/>
              <w:textAlignment w:val="auto"/>
            </w:pPr>
            <w:r>
              <w:t>在华子公司数量</w:t>
            </w:r>
          </w:p>
        </w:tc>
        <w:tc>
          <w:tcPr>
            <w:tcW w:w="2771" w:type="dxa"/>
            <w:vAlign w:val="center"/>
          </w:tcPr>
          <w:p w14:paraId="46C57BF4">
            <w:pPr>
              <w:keepNext w:val="0"/>
              <w:keepLines w:val="0"/>
              <w:pageBreakBefore w:val="0"/>
              <w:widowControl/>
              <w:kinsoku/>
              <w:wordWrap/>
              <w:overflowPunct/>
              <w:topLinePunct w:val="0"/>
              <w:autoSpaceDE/>
              <w:autoSpaceDN/>
              <w:bidi w:val="0"/>
              <w:adjustRightInd/>
              <w:snapToGrid/>
              <w:spacing w:after="0"/>
              <w:jc w:val="center"/>
              <w:textAlignment w:val="auto"/>
            </w:pPr>
            <w:r>
              <w:t>4家（中高风险）</w:t>
            </w:r>
          </w:p>
        </w:tc>
        <w:tc>
          <w:tcPr>
            <w:tcW w:w="2771" w:type="dxa"/>
            <w:vAlign w:val="center"/>
          </w:tcPr>
          <w:p w14:paraId="1FBDE821">
            <w:pPr>
              <w:keepNext w:val="0"/>
              <w:keepLines w:val="0"/>
              <w:pageBreakBefore w:val="0"/>
              <w:widowControl/>
              <w:kinsoku/>
              <w:wordWrap/>
              <w:overflowPunct/>
              <w:topLinePunct w:val="0"/>
              <w:autoSpaceDE/>
              <w:autoSpaceDN/>
              <w:bidi w:val="0"/>
              <w:adjustRightInd/>
              <w:snapToGrid/>
              <w:spacing w:after="0"/>
              <w:jc w:val="center"/>
              <w:textAlignment w:val="auto"/>
            </w:pPr>
            <w:r>
              <w:t>香港、苏州、上海、广州均有布局</w:t>
            </w:r>
          </w:p>
        </w:tc>
      </w:tr>
      <w:tr w14:paraId="66C9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0255497D">
            <w:pPr>
              <w:keepNext w:val="0"/>
              <w:keepLines w:val="0"/>
              <w:pageBreakBefore w:val="0"/>
              <w:widowControl/>
              <w:kinsoku/>
              <w:wordWrap/>
              <w:overflowPunct/>
              <w:topLinePunct w:val="0"/>
              <w:autoSpaceDE/>
              <w:autoSpaceDN/>
              <w:bidi w:val="0"/>
              <w:adjustRightInd/>
              <w:snapToGrid/>
              <w:spacing w:after="0"/>
              <w:jc w:val="center"/>
              <w:textAlignment w:val="auto"/>
            </w:pPr>
            <w:r>
              <w:t>产品可军民两用性</w:t>
            </w:r>
          </w:p>
        </w:tc>
        <w:tc>
          <w:tcPr>
            <w:tcW w:w="2771" w:type="dxa"/>
            <w:vAlign w:val="center"/>
          </w:tcPr>
          <w:p w14:paraId="5ED6A92E">
            <w:pPr>
              <w:keepNext w:val="0"/>
              <w:keepLines w:val="0"/>
              <w:pageBreakBefore w:val="0"/>
              <w:widowControl/>
              <w:kinsoku/>
              <w:wordWrap/>
              <w:overflowPunct/>
              <w:topLinePunct w:val="0"/>
              <w:autoSpaceDE/>
              <w:autoSpaceDN/>
              <w:bidi w:val="0"/>
              <w:adjustRightInd/>
              <w:snapToGrid/>
              <w:spacing w:after="0"/>
              <w:jc w:val="center"/>
              <w:textAlignment w:val="auto"/>
            </w:pPr>
            <w:r>
              <w:t>高（特种钢、钕磁铁）</w:t>
            </w:r>
          </w:p>
        </w:tc>
        <w:tc>
          <w:tcPr>
            <w:tcW w:w="2771" w:type="dxa"/>
            <w:vAlign w:val="center"/>
          </w:tcPr>
          <w:p w14:paraId="1AC482C8">
            <w:pPr>
              <w:keepNext w:val="0"/>
              <w:keepLines w:val="0"/>
              <w:pageBreakBefore w:val="0"/>
              <w:widowControl/>
              <w:kinsoku/>
              <w:wordWrap/>
              <w:overflowPunct/>
              <w:topLinePunct w:val="0"/>
              <w:autoSpaceDE/>
              <w:autoSpaceDN/>
              <w:bidi w:val="0"/>
              <w:adjustRightInd/>
              <w:snapToGrid/>
              <w:spacing w:after="0"/>
              <w:jc w:val="center"/>
              <w:textAlignment w:val="auto"/>
            </w:pPr>
            <w:r>
              <w:t>可用于多种防卫装备</w:t>
            </w:r>
          </w:p>
        </w:tc>
      </w:tr>
      <w:tr w14:paraId="60F1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3D5B0EB9">
            <w:pPr>
              <w:keepNext w:val="0"/>
              <w:keepLines w:val="0"/>
              <w:pageBreakBefore w:val="0"/>
              <w:widowControl/>
              <w:kinsoku/>
              <w:wordWrap/>
              <w:overflowPunct/>
              <w:topLinePunct w:val="0"/>
              <w:autoSpaceDE/>
              <w:autoSpaceDN/>
              <w:bidi w:val="0"/>
              <w:adjustRightInd/>
              <w:snapToGrid/>
              <w:spacing w:after="0"/>
              <w:jc w:val="center"/>
              <w:textAlignment w:val="auto"/>
            </w:pPr>
            <w:r>
              <w:t>监管历史</w:t>
            </w:r>
          </w:p>
        </w:tc>
        <w:tc>
          <w:tcPr>
            <w:tcW w:w="2771" w:type="dxa"/>
            <w:vAlign w:val="center"/>
          </w:tcPr>
          <w:p w14:paraId="027EF424">
            <w:pPr>
              <w:keepNext w:val="0"/>
              <w:keepLines w:val="0"/>
              <w:pageBreakBefore w:val="0"/>
              <w:widowControl/>
              <w:kinsoku/>
              <w:wordWrap/>
              <w:overflowPunct/>
              <w:topLinePunct w:val="0"/>
              <w:autoSpaceDE/>
              <w:autoSpaceDN/>
              <w:bidi w:val="0"/>
              <w:adjustRightInd/>
              <w:snapToGrid/>
              <w:spacing w:after="0"/>
              <w:jc w:val="center"/>
              <w:textAlignment w:val="auto"/>
            </w:pPr>
            <w:r>
              <w:t>无违规记录</w:t>
            </w:r>
          </w:p>
        </w:tc>
        <w:tc>
          <w:tcPr>
            <w:tcW w:w="2771" w:type="dxa"/>
            <w:vAlign w:val="center"/>
          </w:tcPr>
          <w:p w14:paraId="63DFB8E2">
            <w:pPr>
              <w:keepNext w:val="0"/>
              <w:keepLines w:val="0"/>
              <w:pageBreakBefore w:val="0"/>
              <w:widowControl/>
              <w:kinsoku/>
              <w:wordWrap/>
              <w:overflowPunct/>
              <w:topLinePunct w:val="0"/>
              <w:autoSpaceDE/>
              <w:autoSpaceDN/>
              <w:bidi w:val="0"/>
              <w:adjustRightInd/>
              <w:snapToGrid/>
              <w:spacing w:after="0"/>
              <w:jc w:val="center"/>
              <w:textAlignment w:val="auto"/>
            </w:pPr>
            <w:r>
              <w:t>未查询到历史违规信息</w:t>
            </w:r>
          </w:p>
        </w:tc>
      </w:tr>
      <w:tr w14:paraId="79D2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5EBB3353">
            <w:pPr>
              <w:keepNext w:val="0"/>
              <w:keepLines w:val="0"/>
              <w:pageBreakBefore w:val="0"/>
              <w:widowControl/>
              <w:kinsoku/>
              <w:wordWrap/>
              <w:overflowPunct/>
              <w:topLinePunct w:val="0"/>
              <w:autoSpaceDE/>
              <w:autoSpaceDN/>
              <w:bidi w:val="0"/>
              <w:adjustRightInd/>
              <w:snapToGrid/>
              <w:spacing w:after="0"/>
              <w:jc w:val="center"/>
              <w:textAlignment w:val="auto"/>
            </w:pPr>
            <w:r>
              <w:t>母公司所有权</w:t>
            </w:r>
          </w:p>
        </w:tc>
        <w:tc>
          <w:tcPr>
            <w:tcW w:w="2771" w:type="dxa"/>
            <w:vAlign w:val="center"/>
          </w:tcPr>
          <w:p w14:paraId="6FF1D323">
            <w:pPr>
              <w:keepNext w:val="0"/>
              <w:keepLines w:val="0"/>
              <w:pageBreakBefore w:val="0"/>
              <w:widowControl/>
              <w:kinsoku/>
              <w:wordWrap/>
              <w:overflowPunct/>
              <w:topLinePunct w:val="0"/>
              <w:autoSpaceDE/>
              <w:autoSpaceDN/>
              <w:bidi w:val="0"/>
              <w:adjustRightInd/>
              <w:snapToGrid/>
              <w:spacing w:after="0"/>
              <w:jc w:val="center"/>
              <w:textAlignment w:val="auto"/>
            </w:pPr>
            <w:r>
              <w:t>贝恩资本（美资）</w:t>
            </w:r>
          </w:p>
        </w:tc>
        <w:tc>
          <w:tcPr>
            <w:tcW w:w="2771" w:type="dxa"/>
            <w:vAlign w:val="center"/>
          </w:tcPr>
          <w:p w14:paraId="24D868E6">
            <w:pPr>
              <w:keepNext w:val="0"/>
              <w:keepLines w:val="0"/>
              <w:pageBreakBefore w:val="0"/>
              <w:widowControl/>
              <w:kinsoku/>
              <w:wordWrap/>
              <w:overflowPunct/>
              <w:topLinePunct w:val="0"/>
              <w:autoSpaceDE/>
              <w:autoSpaceDN/>
              <w:bidi w:val="0"/>
              <w:adjustRightInd/>
              <w:snapToGrid/>
              <w:spacing w:after="0"/>
              <w:jc w:val="center"/>
              <w:textAlignment w:val="auto"/>
            </w:pPr>
            <w:r>
              <w:t>风险中性，所有权转移不影响业务属性</w:t>
            </w:r>
          </w:p>
        </w:tc>
      </w:tr>
      <w:tr w14:paraId="48B0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5E2EADA1">
            <w:pPr>
              <w:keepNext w:val="0"/>
              <w:keepLines w:val="0"/>
              <w:pageBreakBefore w:val="0"/>
              <w:widowControl/>
              <w:kinsoku/>
              <w:wordWrap/>
              <w:overflowPunct/>
              <w:topLinePunct w:val="0"/>
              <w:autoSpaceDE/>
              <w:autoSpaceDN/>
              <w:bidi w:val="0"/>
              <w:adjustRightInd/>
              <w:snapToGrid/>
              <w:spacing w:after="0"/>
              <w:jc w:val="center"/>
              <w:textAlignment w:val="auto"/>
            </w:pPr>
            <w:r>
              <w:t>中国管制名单状态</w:t>
            </w:r>
          </w:p>
        </w:tc>
        <w:tc>
          <w:tcPr>
            <w:tcW w:w="2771" w:type="dxa"/>
            <w:vAlign w:val="center"/>
          </w:tcPr>
          <w:p w14:paraId="02C3EA24">
            <w:pPr>
              <w:keepNext w:val="0"/>
              <w:keepLines w:val="0"/>
              <w:pageBreakBefore w:val="0"/>
              <w:widowControl/>
              <w:kinsoku/>
              <w:wordWrap/>
              <w:overflowPunct/>
              <w:topLinePunct w:val="0"/>
              <w:autoSpaceDE/>
              <w:autoSpaceDN/>
              <w:bidi w:val="0"/>
              <w:adjustRightInd/>
              <w:snapToGrid/>
              <w:spacing w:after="0"/>
              <w:jc w:val="center"/>
              <w:textAlignment w:val="auto"/>
            </w:pPr>
            <w:r>
              <w:t>未列入</w:t>
            </w:r>
          </w:p>
        </w:tc>
        <w:tc>
          <w:tcPr>
            <w:tcW w:w="2771" w:type="dxa"/>
            <w:vAlign w:val="center"/>
          </w:tcPr>
          <w:p w14:paraId="2A3D8DD3">
            <w:pPr>
              <w:keepNext w:val="0"/>
              <w:keepLines w:val="0"/>
              <w:pageBreakBefore w:val="0"/>
              <w:widowControl/>
              <w:kinsoku/>
              <w:wordWrap/>
              <w:overflowPunct/>
              <w:topLinePunct w:val="0"/>
              <w:autoSpaceDE/>
              <w:autoSpaceDN/>
              <w:bidi w:val="0"/>
              <w:adjustRightInd/>
              <w:snapToGrid/>
              <w:spacing w:after="0"/>
              <w:jc w:val="center"/>
              <w:textAlignment w:val="auto"/>
            </w:pPr>
            <w:r>
              <w:t>暂不受直接管制约束</w:t>
            </w:r>
          </w:p>
        </w:tc>
      </w:tr>
    </w:tbl>
    <w:p w14:paraId="0E7288E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结合整体研判结果</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Proterial作为日本防卫产业的关键材料供应商，其产品具有较高的军民两用性。在华子公司的存在构成了潜在的转运风险点，但未发现Proterial涉及违规转运中国管制物项的官方记录或新闻报道。结合2026年中国对日出口管制的严格执法态势，预计通过Proterial渠道进行转运的风险为中低水平。</w:t>
      </w:r>
    </w:p>
    <w:p w14:paraId="25D56999">
      <w:pPr>
        <w:pStyle w:val="4"/>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640" w:firstLineChars="200"/>
        <w:jc w:val="both"/>
        <w:textAlignment w:val="auto"/>
        <w:outlineLvl w:val="0"/>
        <w:rPr>
          <w:rFonts w:hint="eastAsia" w:ascii="Segoe UI" w:hAnsi="Segoe UI" w:eastAsia="Segoe UI" w:cs="Segoe UI"/>
          <w:b/>
          <w:bCs/>
          <w:i w:val="0"/>
          <w:iCs w:val="0"/>
          <w:caps w:val="0"/>
          <w:color w:val="auto"/>
          <w:spacing w:val="0"/>
          <w:kern w:val="2"/>
          <w:sz w:val="32"/>
          <w:szCs w:val="32"/>
          <w:shd w:val="clear" w:fill="FFFFFF"/>
          <w:lang w:val="en-US" w:eastAsia="zh-CN" w:bidi="ar-SA"/>
        </w:rPr>
      </w:pPr>
      <w:bookmarkStart w:id="27" w:name="_Toc22539"/>
      <w:bookmarkStart w:id="28" w:name="_Toc264"/>
      <w:bookmarkStart w:id="81" w:name="_GoBack"/>
      <w:bookmarkEnd w:id="81"/>
      <w:r>
        <w:rPr>
          <w:rFonts w:hint="eastAsia" w:ascii="Segoe UI" w:hAnsi="Segoe UI" w:eastAsia="Segoe UI" w:cs="Segoe UI"/>
          <w:b/>
          <w:bCs/>
          <w:i w:val="0"/>
          <w:iCs w:val="0"/>
          <w:caps w:val="0"/>
          <w:color w:val="auto"/>
          <w:spacing w:val="0"/>
          <w:kern w:val="2"/>
          <w:sz w:val="32"/>
          <w:szCs w:val="32"/>
          <w:shd w:val="clear" w:fill="FFFFFF"/>
          <w:lang w:val="en-US" w:eastAsia="zh-CN" w:bidi="ar-SA"/>
        </w:rPr>
        <w:t>二、DAIDO KOGYO（大同工業株式会社）</w:t>
      </w:r>
      <w:bookmarkEnd w:id="27"/>
      <w:bookmarkEnd w:id="28"/>
    </w:p>
    <w:p w14:paraId="11987E46">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29" w:name="_Toc6231"/>
      <w:bookmarkStart w:id="30" w:name="_Toc31527"/>
      <w:r>
        <w:rPr>
          <w:rFonts w:hint="eastAsia" w:ascii="Times New Roman" w:hAnsi="Times New Roman" w:eastAsia="黑体" w:cs="黑体"/>
          <w:b w:val="0"/>
          <w:bCs w:val="0"/>
          <w:color w:val="auto"/>
          <w:kern w:val="0"/>
          <w:sz w:val="32"/>
          <w:szCs w:val="32"/>
          <w:lang w:val="en-US" w:eastAsia="zh-CN" w:bidi="ar"/>
        </w:rPr>
        <w:t>（一）企业基本信息</w:t>
      </w:r>
      <w:bookmarkEnd w:id="29"/>
      <w:bookmarkEnd w:id="30"/>
    </w:p>
    <w:p w14:paraId="75FE65C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1" w:name="_Toc6171"/>
      <w:r>
        <w:rPr>
          <w:rFonts w:hint="eastAsia" w:ascii="Times New Roman" w:hAnsi="Times New Roman" w:eastAsia="方正仿宋_GBK"/>
          <w:kern w:val="2"/>
          <w:sz w:val="32"/>
          <w:szCs w:val="32"/>
          <w:lang w:val="en-US" w:eastAsia="zh-CN"/>
        </w:rPr>
        <w:t>1.企业概况</w:t>
      </w:r>
      <w:bookmarkEnd w:id="3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6D6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shd w:val="clear" w:color="auto" w:fill="F2F2F2"/>
            <w:vAlign w:val="center"/>
          </w:tcPr>
          <w:p w14:paraId="5A5E4A06">
            <w:pPr>
              <w:keepNext w:val="0"/>
              <w:keepLines w:val="0"/>
              <w:pageBreakBefore w:val="0"/>
              <w:widowControl/>
              <w:kinsoku/>
              <w:wordWrap/>
              <w:overflowPunct/>
              <w:topLinePunct w:val="0"/>
              <w:autoSpaceDE/>
              <w:autoSpaceDN/>
              <w:bidi w:val="0"/>
              <w:adjustRightInd/>
              <w:snapToGrid/>
              <w:spacing w:after="0"/>
              <w:jc w:val="center"/>
              <w:textAlignment w:val="auto"/>
            </w:pPr>
            <w:r>
              <w:rPr>
                <w:b/>
              </w:rPr>
              <w:t>项目</w:t>
            </w:r>
          </w:p>
        </w:tc>
        <w:tc>
          <w:tcPr>
            <w:tcW w:w="4156" w:type="dxa"/>
            <w:shd w:val="clear" w:color="auto" w:fill="F2F2F2"/>
            <w:vAlign w:val="center"/>
          </w:tcPr>
          <w:p w14:paraId="29DE7170">
            <w:pPr>
              <w:keepNext w:val="0"/>
              <w:keepLines w:val="0"/>
              <w:pageBreakBefore w:val="0"/>
              <w:widowControl/>
              <w:kinsoku/>
              <w:wordWrap/>
              <w:overflowPunct/>
              <w:topLinePunct w:val="0"/>
              <w:autoSpaceDE/>
              <w:autoSpaceDN/>
              <w:bidi w:val="0"/>
              <w:adjustRightInd/>
              <w:snapToGrid/>
              <w:spacing w:after="0"/>
              <w:jc w:val="center"/>
              <w:textAlignment w:val="auto"/>
            </w:pPr>
            <w:r>
              <w:rPr>
                <w:b/>
              </w:rPr>
              <w:t>信息</w:t>
            </w:r>
          </w:p>
        </w:tc>
      </w:tr>
      <w:tr w14:paraId="5C4C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3EE8025B">
            <w:pPr>
              <w:keepNext w:val="0"/>
              <w:keepLines w:val="0"/>
              <w:pageBreakBefore w:val="0"/>
              <w:widowControl/>
              <w:kinsoku/>
              <w:wordWrap/>
              <w:overflowPunct/>
              <w:topLinePunct w:val="0"/>
              <w:autoSpaceDE/>
              <w:autoSpaceDN/>
              <w:bidi w:val="0"/>
              <w:adjustRightInd/>
              <w:snapToGrid/>
              <w:spacing w:after="0"/>
              <w:jc w:val="center"/>
              <w:textAlignment w:val="auto"/>
            </w:pPr>
            <w:r>
              <w:rPr>
                <w:b/>
              </w:rPr>
              <w:t>英文名称</w:t>
            </w:r>
          </w:p>
        </w:tc>
        <w:tc>
          <w:tcPr>
            <w:tcW w:w="4156" w:type="dxa"/>
            <w:vAlign w:val="center"/>
          </w:tcPr>
          <w:p w14:paraId="0BFD575B">
            <w:pPr>
              <w:keepNext w:val="0"/>
              <w:keepLines w:val="0"/>
              <w:pageBreakBefore w:val="0"/>
              <w:widowControl/>
              <w:kinsoku/>
              <w:wordWrap/>
              <w:overflowPunct/>
              <w:topLinePunct w:val="0"/>
              <w:autoSpaceDE/>
              <w:autoSpaceDN/>
              <w:bidi w:val="0"/>
              <w:adjustRightInd/>
              <w:snapToGrid/>
              <w:spacing w:after="0"/>
              <w:jc w:val="center"/>
              <w:textAlignment w:val="auto"/>
            </w:pPr>
            <w:r>
              <w:t>DAIDO KOGYO CO., LTD.（D.I.D品牌运营公司）</w:t>
            </w:r>
          </w:p>
        </w:tc>
      </w:tr>
      <w:tr w14:paraId="6C59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6D341777">
            <w:pPr>
              <w:keepNext w:val="0"/>
              <w:keepLines w:val="0"/>
              <w:pageBreakBefore w:val="0"/>
              <w:widowControl/>
              <w:kinsoku/>
              <w:wordWrap/>
              <w:overflowPunct/>
              <w:topLinePunct w:val="0"/>
              <w:autoSpaceDE/>
              <w:autoSpaceDN/>
              <w:bidi w:val="0"/>
              <w:adjustRightInd/>
              <w:snapToGrid/>
              <w:spacing w:after="0"/>
              <w:jc w:val="center"/>
              <w:textAlignment w:val="auto"/>
            </w:pPr>
            <w:r>
              <w:rPr>
                <w:b/>
              </w:rPr>
              <w:t>日文名称</w:t>
            </w:r>
          </w:p>
        </w:tc>
        <w:tc>
          <w:tcPr>
            <w:tcW w:w="4156" w:type="dxa"/>
            <w:vAlign w:val="center"/>
          </w:tcPr>
          <w:p w14:paraId="3DFE1773">
            <w:pPr>
              <w:keepNext w:val="0"/>
              <w:keepLines w:val="0"/>
              <w:pageBreakBefore w:val="0"/>
              <w:widowControl/>
              <w:kinsoku/>
              <w:wordWrap/>
              <w:overflowPunct/>
              <w:topLinePunct w:val="0"/>
              <w:autoSpaceDE/>
              <w:autoSpaceDN/>
              <w:bidi w:val="0"/>
              <w:adjustRightInd/>
              <w:snapToGrid/>
              <w:spacing w:after="0"/>
              <w:jc w:val="center"/>
              <w:textAlignment w:val="auto"/>
            </w:pPr>
            <w:r>
              <w:t>大同工業株式会社</w:t>
            </w:r>
          </w:p>
        </w:tc>
      </w:tr>
      <w:tr w14:paraId="51E7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3C5793B1">
            <w:pPr>
              <w:keepNext w:val="0"/>
              <w:keepLines w:val="0"/>
              <w:pageBreakBefore w:val="0"/>
              <w:widowControl/>
              <w:kinsoku/>
              <w:wordWrap/>
              <w:overflowPunct/>
              <w:topLinePunct w:val="0"/>
              <w:autoSpaceDE/>
              <w:autoSpaceDN/>
              <w:bidi w:val="0"/>
              <w:adjustRightInd/>
              <w:snapToGrid/>
              <w:spacing w:after="0"/>
              <w:jc w:val="center"/>
              <w:textAlignment w:val="auto"/>
            </w:pPr>
            <w:r>
              <w:rPr>
                <w:b/>
              </w:rPr>
              <w:t>股票代码</w:t>
            </w:r>
          </w:p>
        </w:tc>
        <w:tc>
          <w:tcPr>
            <w:tcW w:w="4156" w:type="dxa"/>
            <w:vAlign w:val="center"/>
          </w:tcPr>
          <w:p w14:paraId="4C5D1AA6">
            <w:pPr>
              <w:keepNext w:val="0"/>
              <w:keepLines w:val="0"/>
              <w:pageBreakBefore w:val="0"/>
              <w:widowControl/>
              <w:kinsoku/>
              <w:wordWrap/>
              <w:overflowPunct/>
              <w:topLinePunct w:val="0"/>
              <w:autoSpaceDE/>
              <w:autoSpaceDN/>
              <w:bidi w:val="0"/>
              <w:adjustRightInd/>
              <w:snapToGrid/>
              <w:spacing w:after="0"/>
              <w:jc w:val="center"/>
              <w:textAlignment w:val="auto"/>
            </w:pPr>
            <w:r>
              <w:t>6373.T（东京证券交易所标准市场）</w:t>
            </w:r>
          </w:p>
        </w:tc>
      </w:tr>
      <w:tr w14:paraId="1EB8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28D8260B">
            <w:pPr>
              <w:keepNext w:val="0"/>
              <w:keepLines w:val="0"/>
              <w:pageBreakBefore w:val="0"/>
              <w:widowControl/>
              <w:kinsoku/>
              <w:wordWrap/>
              <w:overflowPunct/>
              <w:topLinePunct w:val="0"/>
              <w:autoSpaceDE/>
              <w:autoSpaceDN/>
              <w:bidi w:val="0"/>
              <w:adjustRightInd/>
              <w:snapToGrid/>
              <w:spacing w:after="0"/>
              <w:jc w:val="center"/>
              <w:textAlignment w:val="auto"/>
            </w:pPr>
            <w:r>
              <w:rPr>
                <w:b/>
              </w:rPr>
              <w:t>成立时间</w:t>
            </w:r>
          </w:p>
        </w:tc>
        <w:tc>
          <w:tcPr>
            <w:tcW w:w="4156" w:type="dxa"/>
            <w:vAlign w:val="center"/>
          </w:tcPr>
          <w:p w14:paraId="215EE04B">
            <w:pPr>
              <w:keepNext w:val="0"/>
              <w:keepLines w:val="0"/>
              <w:pageBreakBefore w:val="0"/>
              <w:widowControl/>
              <w:kinsoku/>
              <w:wordWrap/>
              <w:overflowPunct/>
              <w:topLinePunct w:val="0"/>
              <w:autoSpaceDE/>
              <w:autoSpaceDN/>
              <w:bidi w:val="0"/>
              <w:adjustRightInd/>
              <w:snapToGrid/>
              <w:spacing w:after="0"/>
              <w:jc w:val="center"/>
              <w:textAlignment w:val="auto"/>
            </w:pPr>
            <w:r>
              <w:t>1933年5月25日</w:t>
            </w:r>
          </w:p>
        </w:tc>
      </w:tr>
      <w:tr w14:paraId="3625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100E2BDE">
            <w:pPr>
              <w:keepNext w:val="0"/>
              <w:keepLines w:val="0"/>
              <w:pageBreakBefore w:val="0"/>
              <w:widowControl/>
              <w:kinsoku/>
              <w:wordWrap/>
              <w:overflowPunct/>
              <w:topLinePunct w:val="0"/>
              <w:autoSpaceDE/>
              <w:autoSpaceDN/>
              <w:bidi w:val="0"/>
              <w:adjustRightInd/>
              <w:snapToGrid/>
              <w:spacing w:after="0"/>
              <w:jc w:val="center"/>
              <w:textAlignment w:val="auto"/>
            </w:pPr>
            <w:r>
              <w:rPr>
                <w:b/>
              </w:rPr>
              <w:t>总部地址</w:t>
            </w:r>
          </w:p>
        </w:tc>
        <w:tc>
          <w:tcPr>
            <w:tcW w:w="4156" w:type="dxa"/>
            <w:vAlign w:val="center"/>
          </w:tcPr>
          <w:p w14:paraId="306CDCF4">
            <w:pPr>
              <w:keepNext w:val="0"/>
              <w:keepLines w:val="0"/>
              <w:pageBreakBefore w:val="0"/>
              <w:widowControl/>
              <w:kinsoku/>
              <w:wordWrap/>
              <w:overflowPunct/>
              <w:topLinePunct w:val="0"/>
              <w:autoSpaceDE/>
              <w:autoSpaceDN/>
              <w:bidi w:val="0"/>
              <w:adjustRightInd/>
              <w:snapToGrid/>
              <w:spacing w:after="0"/>
              <w:jc w:val="center"/>
              <w:textAlignment w:val="auto"/>
            </w:pPr>
            <w:r>
              <w:t>石川县加贺市熊坂町イ197</w:t>
            </w:r>
          </w:p>
        </w:tc>
      </w:tr>
      <w:tr w14:paraId="227D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6DFD982C">
            <w:pPr>
              <w:keepNext w:val="0"/>
              <w:keepLines w:val="0"/>
              <w:pageBreakBefore w:val="0"/>
              <w:widowControl/>
              <w:kinsoku/>
              <w:wordWrap/>
              <w:overflowPunct/>
              <w:topLinePunct w:val="0"/>
              <w:autoSpaceDE/>
              <w:autoSpaceDN/>
              <w:bidi w:val="0"/>
              <w:adjustRightInd/>
              <w:snapToGrid/>
              <w:spacing w:after="0"/>
              <w:jc w:val="center"/>
              <w:textAlignment w:val="auto"/>
            </w:pPr>
            <w:r>
              <w:rPr>
                <w:b/>
              </w:rPr>
              <w:t>资本金</w:t>
            </w:r>
          </w:p>
        </w:tc>
        <w:tc>
          <w:tcPr>
            <w:tcW w:w="4156" w:type="dxa"/>
            <w:vAlign w:val="center"/>
          </w:tcPr>
          <w:p w14:paraId="5CD75697">
            <w:pPr>
              <w:keepNext w:val="0"/>
              <w:keepLines w:val="0"/>
              <w:pageBreakBefore w:val="0"/>
              <w:widowControl/>
              <w:kinsoku/>
              <w:wordWrap/>
              <w:overflowPunct/>
              <w:topLinePunct w:val="0"/>
              <w:autoSpaceDE/>
              <w:autoSpaceDN/>
              <w:bidi w:val="0"/>
              <w:adjustRightInd/>
              <w:snapToGrid/>
              <w:spacing w:after="0"/>
              <w:jc w:val="center"/>
              <w:textAlignment w:val="auto"/>
            </w:pPr>
            <w:r>
              <w:t>35亿36百万日元</w:t>
            </w:r>
          </w:p>
        </w:tc>
      </w:tr>
      <w:tr w14:paraId="611E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65B45737">
            <w:pPr>
              <w:keepNext w:val="0"/>
              <w:keepLines w:val="0"/>
              <w:pageBreakBefore w:val="0"/>
              <w:widowControl/>
              <w:kinsoku/>
              <w:wordWrap/>
              <w:overflowPunct/>
              <w:topLinePunct w:val="0"/>
              <w:autoSpaceDE/>
              <w:autoSpaceDN/>
              <w:bidi w:val="0"/>
              <w:adjustRightInd/>
              <w:snapToGrid/>
              <w:spacing w:after="0"/>
              <w:jc w:val="center"/>
              <w:textAlignment w:val="auto"/>
            </w:pPr>
            <w:r>
              <w:rPr>
                <w:b/>
              </w:rPr>
              <w:t>员工规模</w:t>
            </w:r>
          </w:p>
        </w:tc>
        <w:tc>
          <w:tcPr>
            <w:tcW w:w="4156" w:type="dxa"/>
            <w:vAlign w:val="center"/>
          </w:tcPr>
          <w:p w14:paraId="0BD9ACF8">
            <w:pPr>
              <w:keepNext w:val="0"/>
              <w:keepLines w:val="0"/>
              <w:pageBreakBefore w:val="0"/>
              <w:widowControl/>
              <w:kinsoku/>
              <w:wordWrap/>
              <w:overflowPunct/>
              <w:topLinePunct w:val="0"/>
              <w:autoSpaceDE/>
              <w:autoSpaceDN/>
              <w:bidi w:val="0"/>
              <w:adjustRightInd/>
              <w:snapToGrid/>
              <w:spacing w:after="0"/>
              <w:jc w:val="center"/>
              <w:textAlignment w:val="auto"/>
            </w:pPr>
            <w:r>
              <w:t>2,454人</w:t>
            </w:r>
          </w:p>
        </w:tc>
      </w:tr>
      <w:tr w14:paraId="1D71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vAlign w:val="center"/>
          </w:tcPr>
          <w:p w14:paraId="0B31CCC5">
            <w:pPr>
              <w:keepNext w:val="0"/>
              <w:keepLines w:val="0"/>
              <w:pageBreakBefore w:val="0"/>
              <w:widowControl/>
              <w:kinsoku/>
              <w:wordWrap/>
              <w:overflowPunct/>
              <w:topLinePunct w:val="0"/>
              <w:autoSpaceDE/>
              <w:autoSpaceDN/>
              <w:bidi w:val="0"/>
              <w:adjustRightInd/>
              <w:snapToGrid/>
              <w:spacing w:after="0"/>
              <w:jc w:val="center"/>
              <w:textAlignment w:val="auto"/>
            </w:pPr>
            <w:r>
              <w:rPr>
                <w:b/>
              </w:rPr>
              <w:t>年销售额</w:t>
            </w:r>
          </w:p>
        </w:tc>
        <w:tc>
          <w:tcPr>
            <w:tcW w:w="4156" w:type="dxa"/>
            <w:vAlign w:val="center"/>
          </w:tcPr>
          <w:p w14:paraId="7FAA5FB4">
            <w:pPr>
              <w:keepNext w:val="0"/>
              <w:keepLines w:val="0"/>
              <w:pageBreakBefore w:val="0"/>
              <w:widowControl/>
              <w:kinsoku/>
              <w:wordWrap/>
              <w:overflowPunct/>
              <w:topLinePunct w:val="0"/>
              <w:autoSpaceDE/>
              <w:autoSpaceDN/>
              <w:bidi w:val="0"/>
              <w:adjustRightInd/>
              <w:snapToGrid/>
              <w:spacing w:after="0"/>
              <w:jc w:val="center"/>
              <w:textAlignment w:val="auto"/>
            </w:pPr>
            <w:r>
              <w:t>非上市子公司，数据披露受限</w:t>
            </w:r>
          </w:p>
        </w:tc>
      </w:tr>
    </w:tbl>
    <w:p w14:paraId="0DF315F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注：本节所称"DAIDO KOGYO"特指大同工業株式会社（股票代码6373.T），并非大同特殊钢株式会社（Daido Steel Co., Ltd.）或大同金属工业株式会社（Daido Metal Co., Ltd.）等名称相似的关联企业</w:t>
      </w:r>
    </w:p>
    <w:p w14:paraId="218E2CC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2" w:name="_Toc13061"/>
      <w:r>
        <w:rPr>
          <w:rFonts w:hint="eastAsia" w:ascii="Times New Roman" w:hAnsi="Times New Roman" w:eastAsia="方正仿宋_GBK"/>
          <w:kern w:val="2"/>
          <w:sz w:val="32"/>
          <w:szCs w:val="32"/>
          <w:lang w:val="en-US" w:eastAsia="zh-CN"/>
        </w:rPr>
        <w:t>2.发展历程与关键时间节点</w:t>
      </w:r>
      <w:bookmarkEnd w:id="32"/>
    </w:p>
    <w:p w14:paraId="31F0CC3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DAIDO KOGYO的历史可追溯至链条传动技术的专业积累阶段，其发展历程体现了日本汽车零部件产业的演进轨迹。</w:t>
      </w:r>
    </w:p>
    <w:p w14:paraId="10BE6AB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创立与早期发展（1933-1950年代）：DAIDO KOGYO于1933年5月25日在石川县创立，专注于链条传动产品的制造和销售。创始初期，公司主要服务于国内工业机械市场，积累了链条设计制造的专业技术能力。</w:t>
      </w:r>
    </w:p>
    <w:p w14:paraId="4FA9F81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汽车产业配套期（1960-1980年代）：随着日本汽车工业的蓬勃发展，DAIDO KOGYO抓住机遇，成为丰田、铃木、本田、雅马哈等主要摩托车制造商的OE（原始设备）配套供应商。1960年代，公司开始为汽车制造商供应发动机用链条，产品品质获得日本汽车产业的高度认可。</w:t>
      </w:r>
    </w:p>
    <w:p w14:paraId="75F0CCF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品牌国际化期（1980-2000年代）：公司以</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D.I.D"品牌为核心推进全球化战略。D.I.D已成为全球知名的链条品牌，在摩托车链条市场占据领导地位。1980年代起，公司在北美、欧洲、亚洲等地区建立生产基地，形成全球化供应网络。</w:t>
      </w:r>
    </w:p>
    <w:p w14:paraId="52EC4B1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当前业务格局：DAIDO KOGYO已发展为全球最大的摩托车链条制造商之一，同时是汽车发动机链条的重要供应商。公司在全球11个国家设有17个生产基地，员工总数约2454人。D.I.D品牌在日本摩托车OE配套市场的占有率达90%以上，在全球售后市场同样具有强大影响力。</w:t>
      </w:r>
    </w:p>
    <w:p w14:paraId="209C8C5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3" w:name="_Toc16155"/>
      <w:r>
        <w:rPr>
          <w:rFonts w:hint="eastAsia" w:ascii="Times New Roman" w:hAnsi="Times New Roman" w:eastAsia="方正仿宋_GBK"/>
          <w:kern w:val="2"/>
          <w:sz w:val="32"/>
          <w:szCs w:val="32"/>
          <w:lang w:val="en-US" w:eastAsia="zh-CN"/>
        </w:rPr>
        <w:t>3.组织架构与全球布局</w:t>
      </w:r>
      <w:bookmarkEnd w:id="33"/>
    </w:p>
    <w:p w14:paraId="39A1A3B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DAIDO KOGYO 拥有完善的经营网络，核心子公司与生产基地已实现多区域广泛布局。</w:t>
      </w:r>
    </w:p>
    <w:p w14:paraId="18F33DF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立足日本本土发展情况来看，企业总部及主工厂坐落于石川县加贺市，同时还在日本全国多地布设了专属销售据点。</w:t>
      </w:r>
    </w:p>
    <w:p w14:paraId="37F3441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全球化生产布局层面，企业目前于全球11个国家落地17处海外生产基地，基地覆盖美国、泰国、印度尼西亚、中国、越南、德国、巴西等多个地区，其中坐落于中国的生产基地，主要面向国内汽车、摩托车制造企业，提供本土化配套生产服务。</w:t>
      </w:r>
    </w:p>
    <w:p w14:paraId="2AD817F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围绕产业合作与品牌联动而言，D.I.D品牌在日本本土及全球市场均具备较高知名度，DAIDO KOGYO也借此与各大日系汽车、摩托车制造企业，搭建起长期且稳定的供应链配套合作关系。</w:t>
      </w:r>
    </w:p>
    <w:p w14:paraId="451879C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4" w:name="_Toc16910"/>
      <w:r>
        <w:rPr>
          <w:rFonts w:hint="eastAsia" w:ascii="Times New Roman" w:hAnsi="Times New Roman" w:eastAsia="方正仿宋_GBK"/>
          <w:kern w:val="2"/>
          <w:sz w:val="32"/>
          <w:szCs w:val="32"/>
          <w:lang w:val="en-US" w:eastAsia="zh-CN"/>
        </w:rPr>
        <w:t>4.业务板块与产品线</w:t>
      </w:r>
      <w:bookmarkEnd w:id="34"/>
    </w:p>
    <w:p w14:paraId="32B2042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zh-CN"/>
        </w:rPr>
      </w:pPr>
      <w:r>
        <w:rPr>
          <w:rFonts w:hint="eastAsia" w:ascii="Times New Roman" w:hAnsi="Times New Roman" w:eastAsia="方正仿宋_GBK"/>
          <w:kern w:val="2"/>
          <w:sz w:val="32"/>
          <w:szCs w:val="32"/>
          <w:lang w:val="en-US" w:eastAsia="en-US"/>
        </w:rPr>
        <w:t>DAIDO KOGYO的主营业务集中于链条和车轮两大领域</w:t>
      </w:r>
      <w:r>
        <w:rPr>
          <w:rFonts w:hint="eastAsia" w:ascii="Times New Roman" w:hAnsi="Times New Roman" w:eastAsia="方正仿宋_GBK"/>
          <w:kern w:val="2"/>
          <w:sz w:val="32"/>
          <w:szCs w:val="32"/>
          <w:lang w:val="en-US" w:eastAsia="zh-CN"/>
        </w:rPr>
        <w:t>。</w:t>
      </w:r>
    </w:p>
    <w:p w14:paraId="4C9AE39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链条这一核心业务板块中，摩托车链条是重要的组成部分，D.I.D品牌是全球摩托车链条市场的领导者，为Honda、Yamaha、Kawasaki、Suzuki等几乎所有日系摩托车制造商提供OE配套。链条产品包括标准滚子链、高性能密封链、空气滤清器链条等。汽车链条同样是链条业务的关键部分，</w:t>
      </w:r>
      <w:r>
        <w:rPr>
          <w:rFonts w:hint="eastAsia" w:ascii="Times New Roman" w:hAnsi="Times New Roman" w:eastAsia="方正仿宋_GBK"/>
          <w:kern w:val="2"/>
          <w:sz w:val="32"/>
          <w:szCs w:val="32"/>
          <w:lang w:val="en-US" w:eastAsia="zh-CN"/>
        </w:rPr>
        <w:t>主要</w:t>
      </w:r>
      <w:r>
        <w:rPr>
          <w:rFonts w:hint="eastAsia" w:ascii="Times New Roman" w:hAnsi="Times New Roman" w:eastAsia="方正仿宋_GBK"/>
          <w:kern w:val="2"/>
          <w:sz w:val="32"/>
          <w:szCs w:val="32"/>
          <w:lang w:val="en-US" w:eastAsia="en-US"/>
        </w:rPr>
        <w:t>为丰田、斯巴鲁等汽车制造商提供发动机正时链条和辅助传动链条。汽车链条对精度和耐久性的要求极高，公司凭借技术优势在这一细分市场占据重要地位。工业机械链条主要应用于各类工业设备的传动和输送，包括自动化生产线、农机、工程机械等领域。</w:t>
      </w:r>
    </w:p>
    <w:p w14:paraId="03D71B1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链条作为摩托车和汽车发动机的重要组成部分，其功能是将发动机的动力有效传递至后轮。摩托车链条需要在高速旋转、高温、振动等恶劣工况下保持稳定性能；汽车发动机链条则需要在数万公里的使用寿命内保持精准传动。</w:t>
      </w:r>
    </w:p>
    <w:p w14:paraId="1987DE0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在车轮产品板块中，摩托车车轮是核心产品，其中铝合金车轮凭借轻量化、高强度的特点，在运动型摩托车领域得到广泛应用</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公司同时也生产汽车铝合金车轮，不过这部分业务的整体规模相对较小。</w:t>
      </w:r>
    </w:p>
    <w:p w14:paraId="4B02332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5" w:name="_Toc19077"/>
      <w:r>
        <w:rPr>
          <w:rFonts w:hint="eastAsia" w:ascii="Times New Roman" w:hAnsi="Times New Roman" w:eastAsia="方正仿宋_GBK"/>
          <w:kern w:val="2"/>
          <w:sz w:val="32"/>
          <w:szCs w:val="32"/>
          <w:lang w:val="en-US" w:eastAsia="zh-CN"/>
        </w:rPr>
        <w:t>5.行业地位与主要竞争对手</w:t>
      </w:r>
      <w:bookmarkEnd w:id="35"/>
    </w:p>
    <w:p w14:paraId="5DBD079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从行业地位来看，DAIDO KOGYO是全球最大的摩托车链条制造商之一，在日本国内市场占有绝对主导地位（OE配套市场占有率超过90%）。在汽车发动机链条领域，公司同样是日系汽车制造商的重要供应商。</w:t>
      </w:r>
    </w:p>
    <w:p w14:paraId="7DC35F6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在主要竞争对手方面，在链条领域，</w:t>
      </w:r>
      <w:r>
        <w:rPr>
          <w:rFonts w:hint="eastAsia" w:ascii="Times New Roman" w:hAnsi="Times New Roman" w:eastAsia="方正仿宋_GBK"/>
          <w:kern w:val="2"/>
          <w:sz w:val="32"/>
          <w:szCs w:val="32"/>
          <w:lang w:val="en-US" w:eastAsia="zh-CN"/>
        </w:rPr>
        <w:t>其</w:t>
      </w:r>
      <w:r>
        <w:rPr>
          <w:rFonts w:hint="eastAsia" w:ascii="Times New Roman" w:hAnsi="Times New Roman" w:eastAsia="方正仿宋_GBK"/>
          <w:kern w:val="2"/>
          <w:sz w:val="32"/>
          <w:szCs w:val="32"/>
          <w:lang w:val="en-US" w:eastAsia="en-US"/>
        </w:rPr>
        <w:t>主要竞争对手包括椿本链条（ツバキチェーン，上市公司，在工业链条领域实力雄厚）、KMC链条（台湾，在全球售后市场具有竞争力）、未势链条（泰国）等。在车轮领域，轮毂制造商包括Enkei、Rays、TWG等。</w:t>
      </w:r>
    </w:p>
    <w:p w14:paraId="078C0E2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在与汽车制造商的配套关系方面，DAIDO KOGYO与日本主要汽车制造商建立了长期配套关系，包括丰田、斯巴鲁（富士重工业）、大发工业、马自达等。通过向这些汽车制造商供应发动机链条，公司产品间接进入汽车制造产业链。</w:t>
      </w:r>
    </w:p>
    <w:p w14:paraId="03EBC93F">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36" w:name="_Toc10331"/>
      <w:bookmarkStart w:id="37" w:name="_Toc4212"/>
      <w:r>
        <w:rPr>
          <w:rFonts w:hint="eastAsia" w:ascii="Times New Roman" w:hAnsi="Times New Roman" w:eastAsia="黑体" w:cs="黑体"/>
          <w:b w:val="0"/>
          <w:bCs w:val="0"/>
          <w:color w:val="auto"/>
          <w:kern w:val="0"/>
          <w:sz w:val="32"/>
          <w:szCs w:val="32"/>
          <w:lang w:val="en-US" w:eastAsia="zh-CN" w:bidi="ar"/>
        </w:rPr>
        <w:t>（二）日本军工关联分析</w:t>
      </w:r>
      <w:bookmarkEnd w:id="36"/>
      <w:bookmarkEnd w:id="37"/>
    </w:p>
    <w:p w14:paraId="12615C3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8" w:name="_Toc26514"/>
      <w:r>
        <w:rPr>
          <w:rFonts w:hint="eastAsia" w:ascii="Times New Roman" w:hAnsi="Times New Roman" w:eastAsia="方正仿宋_GBK"/>
          <w:kern w:val="2"/>
          <w:sz w:val="32"/>
          <w:szCs w:val="32"/>
          <w:lang w:val="en-US" w:eastAsia="zh-CN"/>
        </w:rPr>
        <w:t>1.防卫产业供应链地位</w:t>
      </w:r>
      <w:bookmarkEnd w:id="38"/>
    </w:p>
    <w:p w14:paraId="7DA24CD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DAIDO KOGYO在防卫产业供应链中属于间接零部件供应商，与防卫产业的关联主要通过以下两条路径：</w:t>
      </w:r>
      <w:r>
        <w:rPr>
          <w:rFonts w:hint="eastAsia" w:ascii="Times New Roman" w:hAnsi="Times New Roman" w:eastAsia="方正仿宋_GBK"/>
          <w:kern w:val="2"/>
          <w:sz w:val="32"/>
          <w:szCs w:val="32"/>
          <w:lang w:val="en-US" w:eastAsia="zh-CN"/>
        </w:rPr>
        <w:t>其一是</w:t>
      </w:r>
      <w:r>
        <w:rPr>
          <w:rFonts w:hint="eastAsia" w:ascii="Times New Roman" w:hAnsi="Times New Roman" w:eastAsia="方正仿宋_GBK"/>
          <w:kern w:val="2"/>
          <w:sz w:val="32"/>
          <w:szCs w:val="32"/>
          <w:lang w:val="en-US" w:eastAsia="en-US"/>
        </w:rPr>
        <w:t>通过川崎重工业的间接关联</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DAIDO KOGYO为川崎重工业株式会社供应摩托车链条等产品。川崎重工是日本防卫产业的核心企业之一，业务涵盖装甲车辆（88式机动战斗车等）、中型运输直升机（OH-1）、地对空导弹系统、以及参与高超音速滑翔弹（HVGP）研发等。尽管川崎重工的主要防卫业务为大型装备制造，但军用摩托车和军用车辆同样需要链条传动系统。DAIDO KOGYO通过向川崎供应链条产品，间接嵌入防卫供应链</w:t>
      </w:r>
      <w:r>
        <w:rPr>
          <w:rFonts w:hint="eastAsia" w:ascii="Times New Roman" w:hAnsi="Times New Roman" w:eastAsia="方正仿宋_GBK"/>
          <w:kern w:val="2"/>
          <w:sz w:val="32"/>
          <w:szCs w:val="32"/>
          <w:lang w:val="en-US" w:eastAsia="zh-CN"/>
        </w:rPr>
        <w:t>。其二是</w:t>
      </w:r>
      <w:r>
        <w:rPr>
          <w:rFonts w:hint="eastAsia" w:ascii="Times New Roman" w:hAnsi="Times New Roman" w:eastAsia="方正仿宋_GBK"/>
          <w:kern w:val="2"/>
          <w:sz w:val="32"/>
          <w:szCs w:val="32"/>
          <w:lang w:val="en-US" w:eastAsia="en-US"/>
        </w:rPr>
        <w:t>通过其他军工关联企业的间接关联</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DAIDO KOGYO的客户还包括小松制作所（装甲车辆供应商）、普利司通（防震制品可用于军事设施）等防卫产业关联企业。</w:t>
      </w:r>
    </w:p>
    <w:p w14:paraId="2AB760F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从防卫用途产品分析来看，军用摩托车链条——陆上自卫队侦察摩托：军用摩托车需要高耐久性的传动链条以适应复杂地形和恶劣工况。DAIDO KOGYO作为日系摩托车制造商的主要OE配套供应商，其链条产品有潜力进入军用摩托车供应链。军用车辆链条——装甲车辆维修零部件：装甲车辆和军用卡车同样需要发动机传动链条。在维修和后勤保障环节，DAIDO KOGYO的产品可能被用于军用车辆的维护。</w:t>
      </w:r>
    </w:p>
    <w:p w14:paraId="618920C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pPr>
      <w:r>
        <w:rPr>
          <w:rFonts w:hint="eastAsia" w:ascii="Times New Roman" w:hAnsi="Times New Roman" w:eastAsia="方正仿宋_GBK"/>
          <w:kern w:val="2"/>
          <w:sz w:val="32"/>
          <w:szCs w:val="32"/>
          <w:lang w:val="en-US" w:eastAsia="en-US"/>
        </w:rPr>
        <w:t>在供应链层级评估方面，DAIDO KOGYO属于防卫供应链的第二甚至第三层级。其链条产品首先供应摩托车和汽车制造商，在这些制造商的产品被用于防卫用途时，DAIDO KOGYO的产品才间接涉及防卫领域。这种间接性使得DAIDO KOGYO的军工关联度较低。</w:t>
      </w:r>
    </w:p>
    <w:p w14:paraId="5190D33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39" w:name="_Toc9329"/>
      <w:r>
        <w:rPr>
          <w:rFonts w:hint="eastAsia" w:ascii="Times New Roman" w:hAnsi="Times New Roman" w:eastAsia="方正仿宋_GBK"/>
          <w:kern w:val="2"/>
          <w:sz w:val="32"/>
          <w:szCs w:val="32"/>
          <w:lang w:val="en-US" w:eastAsia="zh-CN"/>
        </w:rPr>
        <w:t>2.防卫装备采购参与情况</w:t>
      </w:r>
      <w:bookmarkEnd w:id="39"/>
    </w:p>
    <w:p w14:paraId="08B2C3F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经查询日本防卫装备厅官网公布的「取引企業」名单，DAIDO KOGYO CO., LTD.未出现在直接取引企業名单中。这一结果符合预期——作为链条制造商，DAIDO KOGYO不直接向防卫省供货，而是作为一级供应商（摩托车和汽车制造商）的二级或三级供应商存在。</w:t>
      </w:r>
    </w:p>
    <w:p w14:paraId="5D134A4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DAIDO KOGYO的链条产品通过以下间接路径进入防卫领域——向川崎重工业供应摩托车链条→川崎重工的军用摩托车（若有采购）使用D.I.D链条→链条间接服务防卫用途。这一模式的军工关联度评估为</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低</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w:t>
      </w:r>
    </w:p>
    <w:p w14:paraId="68956B39">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40" w:name="_Toc14657"/>
      <w:bookmarkStart w:id="41" w:name="_Toc12346"/>
      <w:r>
        <w:rPr>
          <w:rFonts w:hint="eastAsia" w:ascii="Times New Roman" w:hAnsi="Times New Roman" w:eastAsia="黑体" w:cs="黑体"/>
          <w:b w:val="0"/>
          <w:bCs w:val="0"/>
          <w:color w:val="auto"/>
          <w:kern w:val="0"/>
          <w:sz w:val="32"/>
          <w:szCs w:val="32"/>
          <w:lang w:val="en-US" w:eastAsia="zh-CN" w:bidi="ar"/>
        </w:rPr>
        <w:t>（三）出口管制合规情况</w:t>
      </w:r>
      <w:bookmarkEnd w:id="40"/>
      <w:bookmarkEnd w:id="41"/>
    </w:p>
    <w:p w14:paraId="76B3092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2" w:name="_Toc28642"/>
      <w:r>
        <w:rPr>
          <w:rFonts w:hint="eastAsia" w:ascii="Times New Roman" w:hAnsi="Times New Roman" w:eastAsia="方正仿宋_GBK"/>
          <w:kern w:val="2"/>
          <w:sz w:val="32"/>
          <w:szCs w:val="32"/>
          <w:lang w:val="en-US" w:eastAsia="zh-CN"/>
        </w:rPr>
        <w:t>1.美国BIS实体清单</w:t>
      </w:r>
      <w:bookmarkEnd w:id="42"/>
    </w:p>
    <w:p w14:paraId="28A761A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经查询美国商务部工业和安全局（BIS）实体清单等官方网站相关页面，DAIDO KOGYO CO., LTD.未</w:t>
      </w:r>
      <w:r>
        <w:rPr>
          <w:rFonts w:hint="eastAsia" w:ascii="Times New Roman" w:hAnsi="Times New Roman" w:eastAsia="方正仿宋_GBK"/>
          <w:kern w:val="2"/>
          <w:sz w:val="32"/>
          <w:szCs w:val="32"/>
          <w:lang w:val="en-US" w:eastAsia="zh-CN"/>
        </w:rPr>
        <w:t>发现</w:t>
      </w:r>
      <w:r>
        <w:rPr>
          <w:rFonts w:hint="eastAsia" w:ascii="Times New Roman" w:hAnsi="Times New Roman" w:eastAsia="方正仿宋_GBK"/>
          <w:kern w:val="2"/>
          <w:sz w:val="32"/>
          <w:szCs w:val="32"/>
          <w:lang w:val="en-US" w:eastAsia="en-US"/>
        </w:rPr>
        <w:t>被列入美国商务部BIS实体清单。</w:t>
      </w:r>
    </w:p>
    <w:p w14:paraId="49C8DFF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3" w:name="_Toc18771"/>
      <w:r>
        <w:rPr>
          <w:rFonts w:hint="eastAsia" w:ascii="Times New Roman" w:hAnsi="Times New Roman" w:eastAsia="方正仿宋_GBK"/>
          <w:kern w:val="2"/>
          <w:sz w:val="32"/>
          <w:szCs w:val="32"/>
          <w:lang w:val="en-US" w:eastAsia="zh-CN"/>
        </w:rPr>
        <w:t>2.日本出口管制清单</w:t>
      </w:r>
      <w:bookmarkEnd w:id="43"/>
    </w:p>
    <w:p w14:paraId="0A5DD28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通过对官方管控名录核查</w:t>
      </w:r>
      <w:r>
        <w:rPr>
          <w:rFonts w:hint="eastAsia" w:ascii="Times New Roman" w:hAnsi="Times New Roman" w:eastAsia="方正仿宋_GBK"/>
          <w:kern w:val="2"/>
          <w:sz w:val="32"/>
          <w:szCs w:val="32"/>
          <w:lang w:val="en-US" w:eastAsia="zh-CN"/>
        </w:rPr>
        <w:t>发现</w:t>
      </w:r>
      <w:r>
        <w:rPr>
          <w:rFonts w:hint="eastAsia" w:ascii="Times New Roman" w:hAnsi="Times New Roman" w:eastAsia="方正仿宋_GBK"/>
          <w:kern w:val="2"/>
          <w:sz w:val="32"/>
          <w:szCs w:val="32"/>
          <w:lang w:val="en-US" w:eastAsia="en-US"/>
        </w:rPr>
        <w:t>，DAIDO KOGYO未被列入日本经济产业省出口管制单独清单。</w:t>
      </w:r>
    </w:p>
    <w:p w14:paraId="0C87EAD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DAIDO KOGYO作为汽车和摩托车零部件制造商，其主营产品（链条、车轮）不属于日本《外汇及び外国貿易法》管制清单上的两用物项。公司在日常出口活动中主要涉及普通机械零部件，不涉及敏感的两用物项转让。</w:t>
      </w:r>
    </w:p>
    <w:p w14:paraId="41B7BEB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4" w:name="_Toc28528"/>
      <w:r>
        <w:rPr>
          <w:rFonts w:hint="eastAsia" w:ascii="Times New Roman" w:hAnsi="Times New Roman" w:eastAsia="方正仿宋_GBK"/>
          <w:kern w:val="2"/>
          <w:sz w:val="32"/>
          <w:szCs w:val="32"/>
          <w:lang w:val="en-US" w:eastAsia="zh-CN"/>
        </w:rPr>
        <w:t>3.中国出口管制名单</w:t>
      </w:r>
      <w:bookmarkEnd w:id="44"/>
    </w:p>
    <w:p w14:paraId="3DFC6BF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结合国内最新管控公告完成信息核查，DAIDO KOGYO 未出现在2026年2月24日公布的中国对日出口管制管控名单或关注名单中。</w:t>
      </w:r>
    </w:p>
    <w:p w14:paraId="3F1B2D01">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45" w:name="_Toc12989"/>
      <w:bookmarkStart w:id="46" w:name="_Toc27053"/>
      <w:r>
        <w:rPr>
          <w:rFonts w:hint="eastAsia" w:ascii="Times New Roman" w:hAnsi="Times New Roman" w:eastAsia="黑体" w:cs="黑体"/>
          <w:b w:val="0"/>
          <w:bCs w:val="0"/>
          <w:color w:val="auto"/>
          <w:kern w:val="0"/>
          <w:sz w:val="32"/>
          <w:szCs w:val="32"/>
          <w:lang w:val="en-US" w:eastAsia="zh-CN" w:bidi="ar"/>
        </w:rPr>
        <w:t>（四）转运风险评估</w:t>
      </w:r>
      <w:bookmarkEnd w:id="45"/>
      <w:bookmarkEnd w:id="46"/>
    </w:p>
    <w:p w14:paraId="12B97B5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7" w:name="_Toc8472"/>
      <w:r>
        <w:rPr>
          <w:rFonts w:hint="eastAsia" w:ascii="Times New Roman" w:hAnsi="Times New Roman" w:eastAsia="方正仿宋_GBK"/>
          <w:kern w:val="2"/>
          <w:sz w:val="32"/>
          <w:szCs w:val="32"/>
          <w:lang w:val="en-US" w:eastAsia="zh-CN"/>
        </w:rPr>
        <w:t>1.经营物项与中国管制物项清单对照分析</w:t>
      </w:r>
      <w:bookmarkEnd w:id="47"/>
    </w:p>
    <w:p w14:paraId="6B56D81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从DAIDO KOGYO主要产品与中国管制物项的对照情况来看，企业链条类产品包含摩托车链条与汽车链条，整体以碳钢、合金钢等普通工业钢材为主要原料，依靠热处理与精密加工保障产品强度及耐用性能，相关原材料并未列入2026年中国对日出口管制物项清单。</w:t>
      </w:r>
    </w:p>
    <w:p w14:paraId="34EA1F8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企业旗下铝合金车轮产品以铝合金作为生产原料，该类材料同样不在两用物项的管制范畴之内。</w:t>
      </w:r>
    </w:p>
    <w:p w14:paraId="1F3D533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综合对比分析，DAIDO KOGYO主营的链条与车轮均属于常规工业产品，生产所使用的钢材、铝合金等基础原材料，均未被纳入中国对日出口管制清单。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AA7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shd w:val="clear" w:color="auto" w:fill="F2F2F2"/>
            <w:vAlign w:val="center"/>
          </w:tcPr>
          <w:p w14:paraId="5CCB3C49">
            <w:pPr>
              <w:keepNext w:val="0"/>
              <w:keepLines w:val="0"/>
              <w:pageBreakBefore w:val="0"/>
              <w:widowControl/>
              <w:kinsoku/>
              <w:wordWrap/>
              <w:overflowPunct/>
              <w:topLinePunct w:val="0"/>
              <w:autoSpaceDE/>
              <w:autoSpaceDN/>
              <w:bidi w:val="0"/>
              <w:adjustRightInd/>
              <w:snapToGrid/>
              <w:spacing w:after="0"/>
              <w:jc w:val="center"/>
              <w:textAlignment w:val="auto"/>
            </w:pPr>
            <w:r>
              <w:rPr>
                <w:b/>
              </w:rPr>
              <w:t>物项类别</w:t>
            </w:r>
          </w:p>
        </w:tc>
        <w:tc>
          <w:tcPr>
            <w:tcW w:w="2078" w:type="dxa"/>
            <w:shd w:val="clear" w:color="auto" w:fill="F2F2F2"/>
            <w:vAlign w:val="center"/>
          </w:tcPr>
          <w:p w14:paraId="5E008750">
            <w:pPr>
              <w:keepNext w:val="0"/>
              <w:keepLines w:val="0"/>
              <w:pageBreakBefore w:val="0"/>
              <w:widowControl/>
              <w:kinsoku/>
              <w:wordWrap/>
              <w:overflowPunct/>
              <w:topLinePunct w:val="0"/>
              <w:autoSpaceDE/>
              <w:autoSpaceDN/>
              <w:bidi w:val="0"/>
              <w:adjustRightInd/>
              <w:snapToGrid/>
              <w:spacing w:after="0"/>
              <w:jc w:val="center"/>
              <w:textAlignment w:val="auto"/>
            </w:pPr>
            <w:r>
              <w:rPr>
                <w:b/>
              </w:rPr>
              <w:t>管制状态</w:t>
            </w:r>
          </w:p>
        </w:tc>
        <w:tc>
          <w:tcPr>
            <w:tcW w:w="2078" w:type="dxa"/>
            <w:shd w:val="clear" w:color="auto" w:fill="F2F2F2"/>
            <w:vAlign w:val="center"/>
          </w:tcPr>
          <w:p w14:paraId="2D237F58">
            <w:pPr>
              <w:keepNext w:val="0"/>
              <w:keepLines w:val="0"/>
              <w:pageBreakBefore w:val="0"/>
              <w:widowControl/>
              <w:kinsoku/>
              <w:wordWrap/>
              <w:overflowPunct/>
              <w:topLinePunct w:val="0"/>
              <w:autoSpaceDE/>
              <w:autoSpaceDN/>
              <w:bidi w:val="0"/>
              <w:adjustRightInd/>
              <w:snapToGrid/>
              <w:spacing w:after="0"/>
              <w:jc w:val="center"/>
              <w:textAlignment w:val="auto"/>
            </w:pPr>
            <w:r>
              <w:rPr>
                <w:b/>
              </w:rPr>
              <w:t>DAIDO KOGYO使用情况</w:t>
            </w:r>
          </w:p>
        </w:tc>
        <w:tc>
          <w:tcPr>
            <w:tcW w:w="2078" w:type="dxa"/>
            <w:shd w:val="clear" w:color="auto" w:fill="F2F2F2"/>
            <w:vAlign w:val="center"/>
          </w:tcPr>
          <w:p w14:paraId="48D3B6B5">
            <w:pPr>
              <w:keepNext w:val="0"/>
              <w:keepLines w:val="0"/>
              <w:pageBreakBefore w:val="0"/>
              <w:widowControl/>
              <w:kinsoku/>
              <w:wordWrap/>
              <w:overflowPunct/>
              <w:topLinePunct w:val="0"/>
              <w:autoSpaceDE/>
              <w:autoSpaceDN/>
              <w:bidi w:val="0"/>
              <w:adjustRightInd/>
              <w:snapToGrid/>
              <w:spacing w:after="0"/>
              <w:jc w:val="center"/>
              <w:textAlignment w:val="auto"/>
            </w:pPr>
            <w:r>
              <w:rPr>
                <w:b/>
              </w:rPr>
              <w:t>风险</w:t>
            </w:r>
          </w:p>
        </w:tc>
      </w:tr>
      <w:tr w14:paraId="29F3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443E272F">
            <w:pPr>
              <w:keepNext w:val="0"/>
              <w:keepLines w:val="0"/>
              <w:pageBreakBefore w:val="0"/>
              <w:widowControl/>
              <w:kinsoku/>
              <w:wordWrap/>
              <w:overflowPunct/>
              <w:topLinePunct w:val="0"/>
              <w:autoSpaceDE/>
              <w:autoSpaceDN/>
              <w:bidi w:val="0"/>
              <w:adjustRightInd/>
              <w:snapToGrid/>
              <w:spacing w:after="0"/>
              <w:jc w:val="center"/>
              <w:textAlignment w:val="auto"/>
            </w:pPr>
            <w:r>
              <w:t>链条（钢制）</w:t>
            </w:r>
          </w:p>
        </w:tc>
        <w:tc>
          <w:tcPr>
            <w:tcW w:w="2078" w:type="dxa"/>
            <w:vAlign w:val="center"/>
          </w:tcPr>
          <w:p w14:paraId="005D2941">
            <w:pPr>
              <w:keepNext w:val="0"/>
              <w:keepLines w:val="0"/>
              <w:pageBreakBefore w:val="0"/>
              <w:widowControl/>
              <w:kinsoku/>
              <w:wordWrap/>
              <w:overflowPunct/>
              <w:topLinePunct w:val="0"/>
              <w:autoSpaceDE/>
              <w:autoSpaceDN/>
              <w:bidi w:val="0"/>
              <w:adjustRightInd/>
              <w:snapToGrid/>
              <w:spacing w:after="0"/>
              <w:jc w:val="center"/>
              <w:textAlignment w:val="auto"/>
            </w:pPr>
            <w:r>
              <w:t>非管制</w:t>
            </w:r>
          </w:p>
        </w:tc>
        <w:tc>
          <w:tcPr>
            <w:tcW w:w="2078" w:type="dxa"/>
            <w:vAlign w:val="center"/>
          </w:tcPr>
          <w:p w14:paraId="79A78FB6">
            <w:pPr>
              <w:keepNext w:val="0"/>
              <w:keepLines w:val="0"/>
              <w:pageBreakBefore w:val="0"/>
              <w:widowControl/>
              <w:kinsoku/>
              <w:wordWrap/>
              <w:overflowPunct/>
              <w:topLinePunct w:val="0"/>
              <w:autoSpaceDE/>
              <w:autoSpaceDN/>
              <w:bidi w:val="0"/>
              <w:adjustRightInd/>
              <w:snapToGrid/>
              <w:spacing w:after="0"/>
              <w:jc w:val="center"/>
              <w:textAlignment w:val="auto"/>
            </w:pPr>
            <w:r>
              <w:t>核心产品线</w:t>
            </w:r>
          </w:p>
        </w:tc>
        <w:tc>
          <w:tcPr>
            <w:tcW w:w="2078" w:type="dxa"/>
            <w:vAlign w:val="center"/>
          </w:tcPr>
          <w:p w14:paraId="10C6923E">
            <w:pPr>
              <w:keepNext w:val="0"/>
              <w:keepLines w:val="0"/>
              <w:pageBreakBefore w:val="0"/>
              <w:widowControl/>
              <w:kinsoku/>
              <w:wordWrap/>
              <w:overflowPunct/>
              <w:topLinePunct w:val="0"/>
              <w:autoSpaceDE/>
              <w:autoSpaceDN/>
              <w:bidi w:val="0"/>
              <w:adjustRightInd/>
              <w:snapToGrid/>
              <w:spacing w:after="0"/>
              <w:jc w:val="center"/>
              <w:textAlignment w:val="auto"/>
            </w:pPr>
            <w:r>
              <w:t>无</w:t>
            </w:r>
          </w:p>
        </w:tc>
      </w:tr>
      <w:tr w14:paraId="01FF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302D9C38">
            <w:pPr>
              <w:keepNext w:val="0"/>
              <w:keepLines w:val="0"/>
              <w:pageBreakBefore w:val="0"/>
              <w:widowControl/>
              <w:kinsoku/>
              <w:wordWrap/>
              <w:overflowPunct/>
              <w:topLinePunct w:val="0"/>
              <w:autoSpaceDE/>
              <w:autoSpaceDN/>
              <w:bidi w:val="0"/>
              <w:adjustRightInd/>
              <w:snapToGrid/>
              <w:spacing w:after="0"/>
              <w:jc w:val="center"/>
              <w:textAlignment w:val="auto"/>
            </w:pPr>
            <w:r>
              <w:t>车轮（铝合金）</w:t>
            </w:r>
          </w:p>
        </w:tc>
        <w:tc>
          <w:tcPr>
            <w:tcW w:w="2078" w:type="dxa"/>
            <w:vAlign w:val="center"/>
          </w:tcPr>
          <w:p w14:paraId="1634B0D5">
            <w:pPr>
              <w:keepNext w:val="0"/>
              <w:keepLines w:val="0"/>
              <w:pageBreakBefore w:val="0"/>
              <w:widowControl/>
              <w:kinsoku/>
              <w:wordWrap/>
              <w:overflowPunct/>
              <w:topLinePunct w:val="0"/>
              <w:autoSpaceDE/>
              <w:autoSpaceDN/>
              <w:bidi w:val="0"/>
              <w:adjustRightInd/>
              <w:snapToGrid/>
              <w:spacing w:after="0"/>
              <w:jc w:val="center"/>
              <w:textAlignment w:val="auto"/>
            </w:pPr>
            <w:r>
              <w:t>非管制</w:t>
            </w:r>
          </w:p>
        </w:tc>
        <w:tc>
          <w:tcPr>
            <w:tcW w:w="2078" w:type="dxa"/>
            <w:vAlign w:val="center"/>
          </w:tcPr>
          <w:p w14:paraId="4DF057E6">
            <w:pPr>
              <w:keepNext w:val="0"/>
              <w:keepLines w:val="0"/>
              <w:pageBreakBefore w:val="0"/>
              <w:widowControl/>
              <w:kinsoku/>
              <w:wordWrap/>
              <w:overflowPunct/>
              <w:topLinePunct w:val="0"/>
              <w:autoSpaceDE/>
              <w:autoSpaceDN/>
              <w:bidi w:val="0"/>
              <w:adjustRightInd/>
              <w:snapToGrid/>
              <w:spacing w:after="0"/>
              <w:jc w:val="center"/>
              <w:textAlignment w:val="auto"/>
            </w:pPr>
            <w:r>
              <w:t>产品线之一</w:t>
            </w:r>
          </w:p>
        </w:tc>
        <w:tc>
          <w:tcPr>
            <w:tcW w:w="2078" w:type="dxa"/>
            <w:vAlign w:val="center"/>
          </w:tcPr>
          <w:p w14:paraId="4D8F4B46">
            <w:pPr>
              <w:keepNext w:val="0"/>
              <w:keepLines w:val="0"/>
              <w:pageBreakBefore w:val="0"/>
              <w:widowControl/>
              <w:kinsoku/>
              <w:wordWrap/>
              <w:overflowPunct/>
              <w:topLinePunct w:val="0"/>
              <w:autoSpaceDE/>
              <w:autoSpaceDN/>
              <w:bidi w:val="0"/>
              <w:adjustRightInd/>
              <w:snapToGrid/>
              <w:spacing w:after="0"/>
              <w:jc w:val="center"/>
              <w:textAlignment w:val="auto"/>
            </w:pPr>
            <w:r>
              <w:t>无</w:t>
            </w:r>
          </w:p>
        </w:tc>
      </w:tr>
      <w:tr w14:paraId="35721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29B63150">
            <w:pPr>
              <w:keepNext w:val="0"/>
              <w:keepLines w:val="0"/>
              <w:pageBreakBefore w:val="0"/>
              <w:widowControl/>
              <w:kinsoku/>
              <w:wordWrap/>
              <w:overflowPunct/>
              <w:topLinePunct w:val="0"/>
              <w:autoSpaceDE/>
              <w:autoSpaceDN/>
              <w:bidi w:val="0"/>
              <w:adjustRightInd/>
              <w:snapToGrid/>
              <w:spacing w:after="0"/>
              <w:jc w:val="center"/>
              <w:textAlignment w:val="auto"/>
            </w:pPr>
            <w:r>
              <w:t>普通钢材</w:t>
            </w:r>
          </w:p>
        </w:tc>
        <w:tc>
          <w:tcPr>
            <w:tcW w:w="2078" w:type="dxa"/>
            <w:vAlign w:val="center"/>
          </w:tcPr>
          <w:p w14:paraId="388A3716">
            <w:pPr>
              <w:keepNext w:val="0"/>
              <w:keepLines w:val="0"/>
              <w:pageBreakBefore w:val="0"/>
              <w:widowControl/>
              <w:kinsoku/>
              <w:wordWrap/>
              <w:overflowPunct/>
              <w:topLinePunct w:val="0"/>
              <w:autoSpaceDE/>
              <w:autoSpaceDN/>
              <w:bidi w:val="0"/>
              <w:adjustRightInd/>
              <w:snapToGrid/>
              <w:spacing w:after="0"/>
              <w:jc w:val="center"/>
              <w:textAlignment w:val="auto"/>
            </w:pPr>
            <w:r>
              <w:t>非管制</w:t>
            </w:r>
          </w:p>
        </w:tc>
        <w:tc>
          <w:tcPr>
            <w:tcW w:w="2078" w:type="dxa"/>
            <w:vAlign w:val="center"/>
          </w:tcPr>
          <w:p w14:paraId="77F8F92E">
            <w:pPr>
              <w:keepNext w:val="0"/>
              <w:keepLines w:val="0"/>
              <w:pageBreakBefore w:val="0"/>
              <w:widowControl/>
              <w:kinsoku/>
              <w:wordWrap/>
              <w:overflowPunct/>
              <w:topLinePunct w:val="0"/>
              <w:autoSpaceDE/>
              <w:autoSpaceDN/>
              <w:bidi w:val="0"/>
              <w:adjustRightInd/>
              <w:snapToGrid/>
              <w:spacing w:after="0"/>
              <w:jc w:val="center"/>
              <w:textAlignment w:val="auto"/>
            </w:pPr>
            <w:r>
              <w:t>链条原材料</w:t>
            </w:r>
          </w:p>
        </w:tc>
        <w:tc>
          <w:tcPr>
            <w:tcW w:w="2078" w:type="dxa"/>
            <w:vAlign w:val="center"/>
          </w:tcPr>
          <w:p w14:paraId="735BC230">
            <w:pPr>
              <w:keepNext w:val="0"/>
              <w:keepLines w:val="0"/>
              <w:pageBreakBefore w:val="0"/>
              <w:widowControl/>
              <w:kinsoku/>
              <w:wordWrap/>
              <w:overflowPunct/>
              <w:topLinePunct w:val="0"/>
              <w:autoSpaceDE/>
              <w:autoSpaceDN/>
              <w:bidi w:val="0"/>
              <w:adjustRightInd/>
              <w:snapToGrid/>
              <w:spacing w:after="0"/>
              <w:jc w:val="center"/>
              <w:textAlignment w:val="auto"/>
            </w:pPr>
            <w:r>
              <w:t>无</w:t>
            </w:r>
          </w:p>
        </w:tc>
      </w:tr>
    </w:tbl>
    <w:p w14:paraId="18C48D8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48" w:name="_Toc25008"/>
      <w:r>
        <w:rPr>
          <w:rFonts w:hint="eastAsia" w:ascii="Times New Roman" w:hAnsi="Times New Roman" w:eastAsia="方正仿宋_GBK"/>
          <w:kern w:val="2"/>
          <w:sz w:val="32"/>
          <w:szCs w:val="32"/>
          <w:lang w:val="en-US" w:eastAsia="zh-CN"/>
        </w:rPr>
        <w:t>2.综合风险评估</w:t>
      </w:r>
      <w:bookmarkEnd w:id="4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441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vAlign w:val="center"/>
          </w:tcPr>
          <w:p w14:paraId="7D2B736F">
            <w:pPr>
              <w:keepNext w:val="0"/>
              <w:keepLines w:val="0"/>
              <w:pageBreakBefore w:val="0"/>
              <w:widowControl/>
              <w:kinsoku/>
              <w:wordWrap/>
              <w:overflowPunct/>
              <w:topLinePunct w:val="0"/>
              <w:autoSpaceDE/>
              <w:autoSpaceDN/>
              <w:bidi w:val="0"/>
              <w:adjustRightInd/>
              <w:snapToGrid/>
              <w:spacing w:after="0"/>
              <w:jc w:val="center"/>
              <w:textAlignment w:val="auto"/>
            </w:pPr>
            <w:r>
              <w:rPr>
                <w:b/>
              </w:rPr>
              <w:t>风险因素</w:t>
            </w:r>
          </w:p>
        </w:tc>
        <w:tc>
          <w:tcPr>
            <w:tcW w:w="2771" w:type="dxa"/>
            <w:shd w:val="clear" w:color="auto" w:fill="F2F2F2"/>
            <w:vAlign w:val="center"/>
          </w:tcPr>
          <w:p w14:paraId="4455E22E">
            <w:pPr>
              <w:keepNext w:val="0"/>
              <w:keepLines w:val="0"/>
              <w:pageBreakBefore w:val="0"/>
              <w:widowControl/>
              <w:kinsoku/>
              <w:wordWrap/>
              <w:overflowPunct/>
              <w:topLinePunct w:val="0"/>
              <w:autoSpaceDE/>
              <w:autoSpaceDN/>
              <w:bidi w:val="0"/>
              <w:adjustRightInd/>
              <w:snapToGrid/>
              <w:spacing w:after="0"/>
              <w:jc w:val="center"/>
              <w:textAlignment w:val="auto"/>
            </w:pPr>
            <w:r>
              <w:rPr>
                <w:b/>
              </w:rPr>
              <w:t>评估</w:t>
            </w:r>
          </w:p>
        </w:tc>
        <w:tc>
          <w:tcPr>
            <w:tcW w:w="2771" w:type="dxa"/>
            <w:shd w:val="clear" w:color="auto" w:fill="F2F2F2"/>
            <w:vAlign w:val="center"/>
          </w:tcPr>
          <w:p w14:paraId="33C98CBB">
            <w:pPr>
              <w:keepNext w:val="0"/>
              <w:keepLines w:val="0"/>
              <w:pageBreakBefore w:val="0"/>
              <w:widowControl/>
              <w:kinsoku/>
              <w:wordWrap/>
              <w:overflowPunct/>
              <w:topLinePunct w:val="0"/>
              <w:autoSpaceDE/>
              <w:autoSpaceDN/>
              <w:bidi w:val="0"/>
              <w:adjustRightInd/>
              <w:snapToGrid/>
              <w:spacing w:after="0"/>
              <w:jc w:val="center"/>
              <w:textAlignment w:val="auto"/>
            </w:pPr>
            <w:r>
              <w:rPr>
                <w:b/>
              </w:rPr>
              <w:t>说明</w:t>
            </w:r>
          </w:p>
        </w:tc>
      </w:tr>
      <w:tr w14:paraId="2BD8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1C631FAC">
            <w:pPr>
              <w:keepNext w:val="0"/>
              <w:keepLines w:val="0"/>
              <w:pageBreakBefore w:val="0"/>
              <w:widowControl/>
              <w:kinsoku/>
              <w:wordWrap/>
              <w:overflowPunct/>
              <w:topLinePunct w:val="0"/>
              <w:autoSpaceDE/>
              <w:autoSpaceDN/>
              <w:bidi w:val="0"/>
              <w:adjustRightInd/>
              <w:snapToGrid/>
              <w:spacing w:after="0"/>
              <w:jc w:val="center"/>
              <w:textAlignment w:val="auto"/>
            </w:pPr>
            <w:r>
              <w:t>在华业务规模</w:t>
            </w:r>
          </w:p>
        </w:tc>
        <w:tc>
          <w:tcPr>
            <w:tcW w:w="2771" w:type="dxa"/>
            <w:vAlign w:val="center"/>
          </w:tcPr>
          <w:p w14:paraId="26708497">
            <w:pPr>
              <w:keepNext w:val="0"/>
              <w:keepLines w:val="0"/>
              <w:pageBreakBefore w:val="0"/>
              <w:widowControl/>
              <w:kinsoku/>
              <w:wordWrap/>
              <w:overflowPunct/>
              <w:topLinePunct w:val="0"/>
              <w:autoSpaceDE/>
              <w:autoSpaceDN/>
              <w:bidi w:val="0"/>
              <w:adjustRightInd/>
              <w:snapToGrid/>
              <w:spacing w:after="0"/>
              <w:jc w:val="center"/>
              <w:textAlignment w:val="auto"/>
            </w:pPr>
            <w:r>
              <w:t>低</w:t>
            </w:r>
          </w:p>
        </w:tc>
        <w:tc>
          <w:tcPr>
            <w:tcW w:w="2771" w:type="dxa"/>
            <w:vAlign w:val="center"/>
          </w:tcPr>
          <w:p w14:paraId="01C150AF">
            <w:pPr>
              <w:keepNext w:val="0"/>
              <w:keepLines w:val="0"/>
              <w:pageBreakBefore w:val="0"/>
              <w:widowControl/>
              <w:kinsoku/>
              <w:wordWrap/>
              <w:overflowPunct/>
              <w:topLinePunct w:val="0"/>
              <w:autoSpaceDE/>
              <w:autoSpaceDN/>
              <w:bidi w:val="0"/>
              <w:adjustRightInd/>
              <w:snapToGrid/>
              <w:spacing w:after="0"/>
              <w:jc w:val="center"/>
              <w:textAlignment w:val="auto"/>
            </w:pPr>
            <w:r>
              <w:t>未查询到大额投资记录</w:t>
            </w:r>
          </w:p>
        </w:tc>
      </w:tr>
      <w:tr w14:paraId="4128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4E8BF27B">
            <w:pPr>
              <w:keepNext w:val="0"/>
              <w:keepLines w:val="0"/>
              <w:pageBreakBefore w:val="0"/>
              <w:widowControl/>
              <w:kinsoku/>
              <w:wordWrap/>
              <w:overflowPunct/>
              <w:topLinePunct w:val="0"/>
              <w:autoSpaceDE/>
              <w:autoSpaceDN/>
              <w:bidi w:val="0"/>
              <w:adjustRightInd/>
              <w:snapToGrid/>
              <w:spacing w:after="0"/>
              <w:jc w:val="center"/>
              <w:textAlignment w:val="auto"/>
            </w:pPr>
            <w:r>
              <w:t>产品可军民两用性</w:t>
            </w:r>
          </w:p>
        </w:tc>
        <w:tc>
          <w:tcPr>
            <w:tcW w:w="2771" w:type="dxa"/>
            <w:vAlign w:val="center"/>
          </w:tcPr>
          <w:p w14:paraId="42EE3827">
            <w:pPr>
              <w:keepNext w:val="0"/>
              <w:keepLines w:val="0"/>
              <w:pageBreakBefore w:val="0"/>
              <w:widowControl/>
              <w:kinsoku/>
              <w:wordWrap/>
              <w:overflowPunct/>
              <w:topLinePunct w:val="0"/>
              <w:autoSpaceDE/>
              <w:autoSpaceDN/>
              <w:bidi w:val="0"/>
              <w:adjustRightInd/>
              <w:snapToGrid/>
              <w:spacing w:after="0"/>
              <w:jc w:val="center"/>
              <w:textAlignment w:val="auto"/>
            </w:pPr>
            <w:r>
              <w:t>低</w:t>
            </w:r>
          </w:p>
        </w:tc>
        <w:tc>
          <w:tcPr>
            <w:tcW w:w="2771" w:type="dxa"/>
            <w:vAlign w:val="center"/>
          </w:tcPr>
          <w:p w14:paraId="0361D290">
            <w:pPr>
              <w:keepNext w:val="0"/>
              <w:keepLines w:val="0"/>
              <w:pageBreakBefore w:val="0"/>
              <w:widowControl/>
              <w:kinsoku/>
              <w:wordWrap/>
              <w:overflowPunct/>
              <w:topLinePunct w:val="0"/>
              <w:autoSpaceDE/>
              <w:autoSpaceDN/>
              <w:bidi w:val="0"/>
              <w:adjustRightInd/>
              <w:snapToGrid/>
              <w:spacing w:after="0"/>
              <w:jc w:val="center"/>
              <w:textAlignment w:val="auto"/>
            </w:pPr>
            <w:r>
              <w:t>链条非管制物项</w:t>
            </w:r>
          </w:p>
        </w:tc>
      </w:tr>
      <w:tr w14:paraId="2EFD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6162A201">
            <w:pPr>
              <w:keepNext w:val="0"/>
              <w:keepLines w:val="0"/>
              <w:pageBreakBefore w:val="0"/>
              <w:widowControl/>
              <w:kinsoku/>
              <w:wordWrap/>
              <w:overflowPunct/>
              <w:topLinePunct w:val="0"/>
              <w:autoSpaceDE/>
              <w:autoSpaceDN/>
              <w:bidi w:val="0"/>
              <w:adjustRightInd/>
              <w:snapToGrid/>
              <w:spacing w:after="0"/>
              <w:jc w:val="center"/>
              <w:textAlignment w:val="auto"/>
            </w:pPr>
            <w:r>
              <w:t>监管历史</w:t>
            </w:r>
          </w:p>
        </w:tc>
        <w:tc>
          <w:tcPr>
            <w:tcW w:w="2771" w:type="dxa"/>
            <w:vAlign w:val="center"/>
          </w:tcPr>
          <w:p w14:paraId="051B4511">
            <w:pPr>
              <w:keepNext w:val="0"/>
              <w:keepLines w:val="0"/>
              <w:pageBreakBefore w:val="0"/>
              <w:widowControl/>
              <w:kinsoku/>
              <w:wordWrap/>
              <w:overflowPunct/>
              <w:topLinePunct w:val="0"/>
              <w:autoSpaceDE/>
              <w:autoSpaceDN/>
              <w:bidi w:val="0"/>
              <w:adjustRightInd/>
              <w:snapToGrid/>
              <w:spacing w:after="0"/>
              <w:jc w:val="center"/>
              <w:textAlignment w:val="auto"/>
            </w:pPr>
            <w:r>
              <w:t>无违规记录</w:t>
            </w:r>
          </w:p>
        </w:tc>
        <w:tc>
          <w:tcPr>
            <w:tcW w:w="2771" w:type="dxa"/>
            <w:vAlign w:val="center"/>
          </w:tcPr>
          <w:p w14:paraId="2B6436A1">
            <w:pPr>
              <w:keepNext w:val="0"/>
              <w:keepLines w:val="0"/>
              <w:pageBreakBefore w:val="0"/>
              <w:widowControl/>
              <w:kinsoku/>
              <w:wordWrap/>
              <w:overflowPunct/>
              <w:topLinePunct w:val="0"/>
              <w:autoSpaceDE/>
              <w:autoSpaceDN/>
              <w:bidi w:val="0"/>
              <w:adjustRightInd/>
              <w:snapToGrid/>
              <w:spacing w:after="0"/>
              <w:jc w:val="center"/>
              <w:textAlignment w:val="auto"/>
            </w:pPr>
            <w:r>
              <w:t>未查询到违规信息</w:t>
            </w:r>
          </w:p>
        </w:tc>
      </w:tr>
      <w:tr w14:paraId="3AAC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084404FD">
            <w:pPr>
              <w:keepNext w:val="0"/>
              <w:keepLines w:val="0"/>
              <w:pageBreakBefore w:val="0"/>
              <w:widowControl/>
              <w:kinsoku/>
              <w:wordWrap/>
              <w:overflowPunct/>
              <w:topLinePunct w:val="0"/>
              <w:autoSpaceDE/>
              <w:autoSpaceDN/>
              <w:bidi w:val="0"/>
              <w:adjustRightInd/>
              <w:snapToGrid/>
              <w:spacing w:after="0"/>
              <w:jc w:val="center"/>
              <w:textAlignment w:val="auto"/>
            </w:pPr>
            <w:r>
              <w:t>防卫产业关联度</w:t>
            </w:r>
          </w:p>
        </w:tc>
        <w:tc>
          <w:tcPr>
            <w:tcW w:w="2771" w:type="dxa"/>
            <w:vAlign w:val="center"/>
          </w:tcPr>
          <w:p w14:paraId="7E4907CB">
            <w:pPr>
              <w:keepNext w:val="0"/>
              <w:keepLines w:val="0"/>
              <w:pageBreakBefore w:val="0"/>
              <w:widowControl/>
              <w:kinsoku/>
              <w:wordWrap/>
              <w:overflowPunct/>
              <w:topLinePunct w:val="0"/>
              <w:autoSpaceDE/>
              <w:autoSpaceDN/>
              <w:bidi w:val="0"/>
              <w:adjustRightInd/>
              <w:snapToGrid/>
              <w:spacing w:after="0"/>
              <w:jc w:val="center"/>
              <w:textAlignment w:val="auto"/>
            </w:pPr>
            <w:r>
              <w:t>间接/低</w:t>
            </w:r>
          </w:p>
        </w:tc>
        <w:tc>
          <w:tcPr>
            <w:tcW w:w="2771" w:type="dxa"/>
            <w:vAlign w:val="center"/>
          </w:tcPr>
          <w:p w14:paraId="24481A72">
            <w:pPr>
              <w:keepNext w:val="0"/>
              <w:keepLines w:val="0"/>
              <w:pageBreakBefore w:val="0"/>
              <w:widowControl/>
              <w:kinsoku/>
              <w:wordWrap/>
              <w:overflowPunct/>
              <w:topLinePunct w:val="0"/>
              <w:autoSpaceDE/>
              <w:autoSpaceDN/>
              <w:bidi w:val="0"/>
              <w:adjustRightInd/>
              <w:snapToGrid/>
              <w:spacing w:after="0"/>
              <w:jc w:val="center"/>
              <w:textAlignment w:val="auto"/>
            </w:pPr>
            <w:r>
              <w:t>通过摩托车链条间接关联</w:t>
            </w:r>
          </w:p>
        </w:tc>
      </w:tr>
      <w:tr w14:paraId="5B17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37006A41">
            <w:pPr>
              <w:keepNext w:val="0"/>
              <w:keepLines w:val="0"/>
              <w:pageBreakBefore w:val="0"/>
              <w:widowControl/>
              <w:kinsoku/>
              <w:wordWrap/>
              <w:overflowPunct/>
              <w:topLinePunct w:val="0"/>
              <w:autoSpaceDE/>
              <w:autoSpaceDN/>
              <w:bidi w:val="0"/>
              <w:adjustRightInd/>
              <w:snapToGrid/>
              <w:spacing w:after="0"/>
              <w:jc w:val="center"/>
              <w:textAlignment w:val="auto"/>
            </w:pPr>
            <w:r>
              <w:t>中国管制名单状态</w:t>
            </w:r>
          </w:p>
        </w:tc>
        <w:tc>
          <w:tcPr>
            <w:tcW w:w="2771" w:type="dxa"/>
            <w:vAlign w:val="center"/>
          </w:tcPr>
          <w:p w14:paraId="2ECF3E10">
            <w:pPr>
              <w:keepNext w:val="0"/>
              <w:keepLines w:val="0"/>
              <w:pageBreakBefore w:val="0"/>
              <w:widowControl/>
              <w:kinsoku/>
              <w:wordWrap/>
              <w:overflowPunct/>
              <w:topLinePunct w:val="0"/>
              <w:autoSpaceDE/>
              <w:autoSpaceDN/>
              <w:bidi w:val="0"/>
              <w:adjustRightInd/>
              <w:snapToGrid/>
              <w:spacing w:after="0"/>
              <w:jc w:val="center"/>
              <w:textAlignment w:val="auto"/>
            </w:pPr>
            <w:r>
              <w:t>未列入</w:t>
            </w:r>
          </w:p>
        </w:tc>
        <w:tc>
          <w:tcPr>
            <w:tcW w:w="2771" w:type="dxa"/>
            <w:vAlign w:val="center"/>
          </w:tcPr>
          <w:p w14:paraId="6FED01E6">
            <w:pPr>
              <w:keepNext w:val="0"/>
              <w:keepLines w:val="0"/>
              <w:pageBreakBefore w:val="0"/>
              <w:widowControl/>
              <w:kinsoku/>
              <w:wordWrap/>
              <w:overflowPunct/>
              <w:topLinePunct w:val="0"/>
              <w:autoSpaceDE/>
              <w:autoSpaceDN/>
              <w:bidi w:val="0"/>
              <w:adjustRightInd/>
              <w:snapToGrid/>
              <w:spacing w:after="0"/>
              <w:jc w:val="center"/>
              <w:textAlignment w:val="auto"/>
            </w:pPr>
            <w:r>
              <w:t>暂不受直接管制约束</w:t>
            </w:r>
          </w:p>
        </w:tc>
      </w:tr>
    </w:tbl>
    <w:p w14:paraId="3BE8B65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结合整体研判结果</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DAIDO KOGYO作为链条和车轮专业制造商，其产品链条、车轮及其制造材料均非中国对日出口管制的对象。公司与防卫产业的关联极为间接（通过摩托车链条供应可能关联川崎重工），军工关联度低。综合评估，DAIDO KOGYO的转运风险为低级别。</w:t>
      </w:r>
    </w:p>
    <w:p w14:paraId="4E8D9FC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p>
    <w:p w14:paraId="5C6E78A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p>
    <w:p w14:paraId="502D10A1">
      <w:pPr>
        <w:pStyle w:val="4"/>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640" w:firstLineChars="200"/>
        <w:jc w:val="both"/>
        <w:textAlignment w:val="auto"/>
        <w:outlineLvl w:val="0"/>
        <w:rPr>
          <w:rFonts w:hint="eastAsia" w:ascii="Segoe UI" w:hAnsi="Segoe UI" w:eastAsia="Segoe UI" w:cs="Segoe UI"/>
          <w:b/>
          <w:bCs/>
          <w:i w:val="0"/>
          <w:iCs w:val="0"/>
          <w:caps w:val="0"/>
          <w:color w:val="auto"/>
          <w:spacing w:val="0"/>
          <w:kern w:val="2"/>
          <w:sz w:val="32"/>
          <w:szCs w:val="32"/>
          <w:shd w:val="clear" w:fill="FFFFFF"/>
          <w:lang w:val="en-US" w:eastAsia="zh-CN" w:bidi="ar-SA"/>
        </w:rPr>
      </w:pPr>
      <w:bookmarkStart w:id="49" w:name="_Toc8094"/>
      <w:bookmarkStart w:id="50" w:name="_Toc26912"/>
      <w:r>
        <w:rPr>
          <w:rFonts w:hint="eastAsia" w:ascii="Segoe UI" w:hAnsi="Segoe UI" w:eastAsia="Segoe UI" w:cs="Segoe UI"/>
          <w:b/>
          <w:bCs/>
          <w:i w:val="0"/>
          <w:iCs w:val="0"/>
          <w:caps w:val="0"/>
          <w:color w:val="auto"/>
          <w:spacing w:val="0"/>
          <w:kern w:val="2"/>
          <w:sz w:val="32"/>
          <w:szCs w:val="32"/>
          <w:shd w:val="clear" w:fill="FFFFFF"/>
          <w:lang w:val="en-US" w:eastAsia="zh-CN" w:bidi="ar-SA"/>
        </w:rPr>
        <w:t>三、YANO METALS（矢野金属株式会社）</w:t>
      </w:r>
      <w:bookmarkEnd w:id="49"/>
      <w:bookmarkEnd w:id="50"/>
    </w:p>
    <w:p w14:paraId="0E13B1D0">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51" w:name="_Toc16035"/>
      <w:bookmarkStart w:id="52" w:name="_Toc17680"/>
      <w:r>
        <w:rPr>
          <w:rFonts w:hint="eastAsia" w:ascii="Times New Roman" w:hAnsi="Times New Roman" w:eastAsia="黑体" w:cs="黑体"/>
          <w:b w:val="0"/>
          <w:bCs w:val="0"/>
          <w:color w:val="auto"/>
          <w:kern w:val="0"/>
          <w:sz w:val="32"/>
          <w:szCs w:val="32"/>
          <w:lang w:val="en-US" w:eastAsia="zh-CN" w:bidi="ar"/>
        </w:rPr>
        <w:t>（一）企业基本信息</w:t>
      </w:r>
      <w:bookmarkEnd w:id="51"/>
      <w:bookmarkEnd w:id="52"/>
    </w:p>
    <w:p w14:paraId="3F31DA8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3" w:name="_Toc3924"/>
      <w:r>
        <w:rPr>
          <w:rFonts w:hint="eastAsia" w:ascii="Times New Roman" w:hAnsi="Times New Roman" w:eastAsia="方正仿宋_GBK"/>
          <w:kern w:val="2"/>
          <w:sz w:val="32"/>
          <w:szCs w:val="32"/>
          <w:lang w:val="en-US" w:eastAsia="zh-CN"/>
        </w:rPr>
        <w:t>1.企业概况</w:t>
      </w:r>
      <w:bookmarkEnd w:id="5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6A6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F2F2F2"/>
            <w:vAlign w:val="center"/>
          </w:tcPr>
          <w:p w14:paraId="7C652EE0">
            <w:pPr>
              <w:keepNext w:val="0"/>
              <w:keepLines w:val="0"/>
              <w:pageBreakBefore w:val="0"/>
              <w:widowControl/>
              <w:kinsoku/>
              <w:wordWrap/>
              <w:overflowPunct/>
              <w:topLinePunct w:val="0"/>
              <w:autoSpaceDE/>
              <w:autoSpaceDN/>
              <w:bidi w:val="0"/>
              <w:adjustRightInd/>
              <w:snapToGrid/>
              <w:spacing w:after="0"/>
              <w:jc w:val="center"/>
              <w:textAlignment w:val="auto"/>
            </w:pPr>
            <w:r>
              <w:rPr>
                <w:b/>
              </w:rPr>
              <w:t>项目</w:t>
            </w:r>
          </w:p>
        </w:tc>
        <w:tc>
          <w:tcPr>
            <w:tcW w:w="4156" w:type="dxa"/>
            <w:shd w:val="clear" w:color="auto" w:fill="F2F2F2"/>
            <w:vAlign w:val="center"/>
          </w:tcPr>
          <w:p w14:paraId="15C11CAC">
            <w:pPr>
              <w:keepNext w:val="0"/>
              <w:keepLines w:val="0"/>
              <w:pageBreakBefore w:val="0"/>
              <w:widowControl/>
              <w:kinsoku/>
              <w:wordWrap/>
              <w:overflowPunct/>
              <w:topLinePunct w:val="0"/>
              <w:autoSpaceDE/>
              <w:autoSpaceDN/>
              <w:bidi w:val="0"/>
              <w:adjustRightInd/>
              <w:snapToGrid/>
              <w:spacing w:after="0"/>
              <w:jc w:val="center"/>
              <w:textAlignment w:val="auto"/>
            </w:pPr>
            <w:r>
              <w:rPr>
                <w:b/>
              </w:rPr>
              <w:t>信息</w:t>
            </w:r>
          </w:p>
        </w:tc>
      </w:tr>
      <w:tr w14:paraId="68A5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528026D4">
            <w:pPr>
              <w:keepNext w:val="0"/>
              <w:keepLines w:val="0"/>
              <w:pageBreakBefore w:val="0"/>
              <w:widowControl/>
              <w:kinsoku/>
              <w:wordWrap/>
              <w:overflowPunct/>
              <w:topLinePunct w:val="0"/>
              <w:autoSpaceDE/>
              <w:autoSpaceDN/>
              <w:bidi w:val="0"/>
              <w:adjustRightInd/>
              <w:snapToGrid/>
              <w:spacing w:after="0"/>
              <w:jc w:val="center"/>
              <w:textAlignment w:val="auto"/>
            </w:pPr>
            <w:r>
              <w:rPr>
                <w:b/>
              </w:rPr>
              <w:t>英文名称</w:t>
            </w:r>
          </w:p>
        </w:tc>
        <w:tc>
          <w:tcPr>
            <w:tcW w:w="4156" w:type="dxa"/>
            <w:vAlign w:val="center"/>
          </w:tcPr>
          <w:p w14:paraId="732E4966">
            <w:pPr>
              <w:keepNext w:val="0"/>
              <w:keepLines w:val="0"/>
              <w:pageBreakBefore w:val="0"/>
              <w:widowControl/>
              <w:kinsoku/>
              <w:wordWrap/>
              <w:overflowPunct/>
              <w:topLinePunct w:val="0"/>
              <w:autoSpaceDE/>
              <w:autoSpaceDN/>
              <w:bidi w:val="0"/>
              <w:adjustRightInd/>
              <w:snapToGrid/>
              <w:spacing w:after="0"/>
              <w:jc w:val="center"/>
              <w:textAlignment w:val="auto"/>
            </w:pPr>
            <w:r>
              <w:t>YANO METALS CO., LTD.</w:t>
            </w:r>
          </w:p>
        </w:tc>
      </w:tr>
      <w:tr w14:paraId="5435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5B8AB1A1">
            <w:pPr>
              <w:keepNext w:val="0"/>
              <w:keepLines w:val="0"/>
              <w:pageBreakBefore w:val="0"/>
              <w:widowControl/>
              <w:kinsoku/>
              <w:wordWrap/>
              <w:overflowPunct/>
              <w:topLinePunct w:val="0"/>
              <w:autoSpaceDE/>
              <w:autoSpaceDN/>
              <w:bidi w:val="0"/>
              <w:adjustRightInd/>
              <w:snapToGrid/>
              <w:spacing w:after="0"/>
              <w:jc w:val="center"/>
              <w:textAlignment w:val="auto"/>
            </w:pPr>
            <w:r>
              <w:rPr>
                <w:b/>
              </w:rPr>
              <w:t>日文名称</w:t>
            </w:r>
          </w:p>
        </w:tc>
        <w:tc>
          <w:tcPr>
            <w:tcW w:w="4156" w:type="dxa"/>
            <w:vAlign w:val="center"/>
          </w:tcPr>
          <w:p w14:paraId="74C11BCF">
            <w:pPr>
              <w:keepNext w:val="0"/>
              <w:keepLines w:val="0"/>
              <w:pageBreakBefore w:val="0"/>
              <w:widowControl/>
              <w:kinsoku/>
              <w:wordWrap/>
              <w:overflowPunct/>
              <w:topLinePunct w:val="0"/>
              <w:autoSpaceDE/>
              <w:autoSpaceDN/>
              <w:bidi w:val="0"/>
              <w:adjustRightInd/>
              <w:snapToGrid/>
              <w:spacing w:after="0"/>
              <w:jc w:val="center"/>
              <w:textAlignment w:val="auto"/>
            </w:pPr>
            <w:r>
              <w:t>矢野金属株式会社</w:t>
            </w:r>
          </w:p>
        </w:tc>
      </w:tr>
      <w:tr w14:paraId="1009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6FE93C9B">
            <w:pPr>
              <w:keepNext w:val="0"/>
              <w:keepLines w:val="0"/>
              <w:pageBreakBefore w:val="0"/>
              <w:widowControl/>
              <w:kinsoku/>
              <w:wordWrap/>
              <w:overflowPunct/>
              <w:topLinePunct w:val="0"/>
              <w:autoSpaceDE/>
              <w:autoSpaceDN/>
              <w:bidi w:val="0"/>
              <w:adjustRightInd/>
              <w:snapToGrid/>
              <w:spacing w:after="0"/>
              <w:jc w:val="center"/>
              <w:textAlignment w:val="auto"/>
            </w:pPr>
            <w:r>
              <w:rPr>
                <w:b/>
              </w:rPr>
              <w:t>成立时间</w:t>
            </w:r>
          </w:p>
        </w:tc>
        <w:tc>
          <w:tcPr>
            <w:tcW w:w="4156" w:type="dxa"/>
            <w:vAlign w:val="center"/>
          </w:tcPr>
          <w:p w14:paraId="430723FC">
            <w:pPr>
              <w:keepNext w:val="0"/>
              <w:keepLines w:val="0"/>
              <w:pageBreakBefore w:val="0"/>
              <w:widowControl/>
              <w:kinsoku/>
              <w:wordWrap/>
              <w:overflowPunct/>
              <w:topLinePunct w:val="0"/>
              <w:autoSpaceDE/>
              <w:autoSpaceDN/>
              <w:bidi w:val="0"/>
              <w:adjustRightInd/>
              <w:snapToGrid/>
              <w:spacing w:after="0"/>
              <w:jc w:val="center"/>
              <w:textAlignment w:val="auto"/>
            </w:pPr>
            <w:r>
              <w:t>1973年3月1日</w:t>
            </w:r>
          </w:p>
        </w:tc>
      </w:tr>
      <w:tr w14:paraId="48B4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81DF4A7">
            <w:pPr>
              <w:keepNext w:val="0"/>
              <w:keepLines w:val="0"/>
              <w:pageBreakBefore w:val="0"/>
              <w:widowControl/>
              <w:kinsoku/>
              <w:wordWrap/>
              <w:overflowPunct/>
              <w:topLinePunct w:val="0"/>
              <w:autoSpaceDE/>
              <w:autoSpaceDN/>
              <w:bidi w:val="0"/>
              <w:adjustRightInd/>
              <w:snapToGrid/>
              <w:spacing w:after="0"/>
              <w:jc w:val="center"/>
              <w:textAlignment w:val="auto"/>
            </w:pPr>
            <w:r>
              <w:rPr>
                <w:b/>
              </w:rPr>
              <w:t>总部地址</w:t>
            </w:r>
          </w:p>
        </w:tc>
        <w:tc>
          <w:tcPr>
            <w:tcW w:w="4156" w:type="dxa"/>
            <w:vAlign w:val="center"/>
          </w:tcPr>
          <w:p w14:paraId="5F251D56">
            <w:pPr>
              <w:keepNext w:val="0"/>
              <w:keepLines w:val="0"/>
              <w:pageBreakBefore w:val="0"/>
              <w:widowControl/>
              <w:kinsoku/>
              <w:wordWrap/>
              <w:overflowPunct/>
              <w:topLinePunct w:val="0"/>
              <w:autoSpaceDE/>
              <w:autoSpaceDN/>
              <w:bidi w:val="0"/>
              <w:adjustRightInd/>
              <w:snapToGrid/>
              <w:spacing w:after="0"/>
              <w:jc w:val="center"/>
              <w:textAlignment w:val="auto"/>
            </w:pPr>
            <w:r>
              <w:t>大阪府堺市美原区真福寺89-1</w:t>
            </w:r>
          </w:p>
        </w:tc>
      </w:tr>
      <w:tr w14:paraId="5734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5179B1E">
            <w:pPr>
              <w:keepNext w:val="0"/>
              <w:keepLines w:val="0"/>
              <w:pageBreakBefore w:val="0"/>
              <w:widowControl/>
              <w:kinsoku/>
              <w:wordWrap/>
              <w:overflowPunct/>
              <w:topLinePunct w:val="0"/>
              <w:autoSpaceDE/>
              <w:autoSpaceDN/>
              <w:bidi w:val="0"/>
              <w:adjustRightInd/>
              <w:snapToGrid/>
              <w:spacing w:after="0"/>
              <w:jc w:val="center"/>
              <w:textAlignment w:val="auto"/>
            </w:pPr>
            <w:r>
              <w:rPr>
                <w:b/>
              </w:rPr>
              <w:t>东京支店</w:t>
            </w:r>
          </w:p>
        </w:tc>
        <w:tc>
          <w:tcPr>
            <w:tcW w:w="4156" w:type="dxa"/>
            <w:vAlign w:val="center"/>
          </w:tcPr>
          <w:p w14:paraId="22C2CBE9">
            <w:pPr>
              <w:keepNext w:val="0"/>
              <w:keepLines w:val="0"/>
              <w:pageBreakBefore w:val="0"/>
              <w:widowControl/>
              <w:kinsoku/>
              <w:wordWrap/>
              <w:overflowPunct/>
              <w:topLinePunct w:val="0"/>
              <w:autoSpaceDE/>
              <w:autoSpaceDN/>
              <w:bidi w:val="0"/>
              <w:adjustRightInd/>
              <w:snapToGrid/>
              <w:spacing w:after="0"/>
              <w:jc w:val="center"/>
              <w:textAlignment w:val="auto"/>
            </w:pPr>
            <w:r>
              <w:t>东京都渋谷区道玄坂1-19-11道玄坂セピアビル10F</w:t>
            </w:r>
          </w:p>
        </w:tc>
      </w:tr>
      <w:tr w14:paraId="3CE1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14B304EB">
            <w:pPr>
              <w:keepNext w:val="0"/>
              <w:keepLines w:val="0"/>
              <w:pageBreakBefore w:val="0"/>
              <w:widowControl/>
              <w:kinsoku/>
              <w:wordWrap/>
              <w:overflowPunct/>
              <w:topLinePunct w:val="0"/>
              <w:autoSpaceDE/>
              <w:autoSpaceDN/>
              <w:bidi w:val="0"/>
              <w:adjustRightInd/>
              <w:snapToGrid/>
              <w:spacing w:after="0"/>
              <w:jc w:val="center"/>
              <w:textAlignment w:val="auto"/>
            </w:pPr>
            <w:r>
              <w:rPr>
                <w:b/>
              </w:rPr>
              <w:t>企业形态</w:t>
            </w:r>
          </w:p>
        </w:tc>
        <w:tc>
          <w:tcPr>
            <w:tcW w:w="4156" w:type="dxa"/>
            <w:vAlign w:val="center"/>
          </w:tcPr>
          <w:p w14:paraId="34490296">
            <w:pPr>
              <w:keepNext w:val="0"/>
              <w:keepLines w:val="0"/>
              <w:pageBreakBefore w:val="0"/>
              <w:widowControl/>
              <w:kinsoku/>
              <w:wordWrap/>
              <w:overflowPunct/>
              <w:topLinePunct w:val="0"/>
              <w:autoSpaceDE/>
              <w:autoSpaceDN/>
              <w:bidi w:val="0"/>
              <w:adjustRightInd/>
              <w:snapToGrid/>
              <w:spacing w:after="0"/>
              <w:jc w:val="center"/>
              <w:textAlignment w:val="auto"/>
            </w:pPr>
            <w:r>
              <w:t>非上市企业（株式会社）</w:t>
            </w:r>
          </w:p>
        </w:tc>
      </w:tr>
      <w:tr w14:paraId="0E61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72346120">
            <w:pPr>
              <w:keepNext w:val="0"/>
              <w:keepLines w:val="0"/>
              <w:pageBreakBefore w:val="0"/>
              <w:widowControl/>
              <w:kinsoku/>
              <w:wordWrap/>
              <w:overflowPunct/>
              <w:topLinePunct w:val="0"/>
              <w:autoSpaceDE/>
              <w:autoSpaceDN/>
              <w:bidi w:val="0"/>
              <w:adjustRightInd/>
              <w:snapToGrid/>
              <w:spacing w:after="0"/>
              <w:jc w:val="center"/>
              <w:textAlignment w:val="auto"/>
            </w:pPr>
            <w:r>
              <w:rPr>
                <w:b/>
              </w:rPr>
              <w:t>资本金</w:t>
            </w:r>
          </w:p>
        </w:tc>
        <w:tc>
          <w:tcPr>
            <w:tcW w:w="4156" w:type="dxa"/>
            <w:vAlign w:val="center"/>
          </w:tcPr>
          <w:p w14:paraId="6711E030">
            <w:pPr>
              <w:keepNext w:val="0"/>
              <w:keepLines w:val="0"/>
              <w:pageBreakBefore w:val="0"/>
              <w:widowControl/>
              <w:kinsoku/>
              <w:wordWrap/>
              <w:overflowPunct/>
              <w:topLinePunct w:val="0"/>
              <w:autoSpaceDE/>
              <w:autoSpaceDN/>
              <w:bidi w:val="0"/>
              <w:adjustRightInd/>
              <w:snapToGrid/>
              <w:spacing w:after="0"/>
              <w:jc w:val="center"/>
              <w:textAlignment w:val="auto"/>
            </w:pPr>
            <w:r>
              <w:t>4,000万日元</w:t>
            </w:r>
          </w:p>
        </w:tc>
      </w:tr>
      <w:tr w14:paraId="6A23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090C3173">
            <w:pPr>
              <w:keepNext w:val="0"/>
              <w:keepLines w:val="0"/>
              <w:pageBreakBefore w:val="0"/>
              <w:widowControl/>
              <w:kinsoku/>
              <w:wordWrap/>
              <w:overflowPunct/>
              <w:topLinePunct w:val="0"/>
              <w:autoSpaceDE/>
              <w:autoSpaceDN/>
              <w:bidi w:val="0"/>
              <w:adjustRightInd/>
              <w:snapToGrid/>
              <w:spacing w:after="0"/>
              <w:jc w:val="center"/>
              <w:textAlignment w:val="auto"/>
            </w:pPr>
            <w:r>
              <w:rPr>
                <w:b/>
              </w:rPr>
              <w:t>员工规模</w:t>
            </w:r>
          </w:p>
        </w:tc>
        <w:tc>
          <w:tcPr>
            <w:tcW w:w="4156" w:type="dxa"/>
            <w:vAlign w:val="center"/>
          </w:tcPr>
          <w:p w14:paraId="2C65D9E0">
            <w:pPr>
              <w:keepNext w:val="0"/>
              <w:keepLines w:val="0"/>
              <w:pageBreakBefore w:val="0"/>
              <w:widowControl/>
              <w:kinsoku/>
              <w:wordWrap/>
              <w:overflowPunct/>
              <w:topLinePunct w:val="0"/>
              <w:autoSpaceDE/>
              <w:autoSpaceDN/>
              <w:bidi w:val="0"/>
              <w:adjustRightInd/>
              <w:snapToGrid/>
              <w:spacing w:after="0"/>
              <w:jc w:val="center"/>
              <w:textAlignment w:val="auto"/>
            </w:pPr>
            <w:r>
              <w:t>48人</w:t>
            </w:r>
          </w:p>
        </w:tc>
      </w:tr>
      <w:tr w14:paraId="46D3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vAlign w:val="center"/>
          </w:tcPr>
          <w:p w14:paraId="28E0C957">
            <w:pPr>
              <w:keepNext w:val="0"/>
              <w:keepLines w:val="0"/>
              <w:pageBreakBefore w:val="0"/>
              <w:widowControl/>
              <w:kinsoku/>
              <w:wordWrap/>
              <w:overflowPunct/>
              <w:topLinePunct w:val="0"/>
              <w:autoSpaceDE/>
              <w:autoSpaceDN/>
              <w:bidi w:val="0"/>
              <w:adjustRightInd/>
              <w:snapToGrid/>
              <w:spacing w:after="0"/>
              <w:jc w:val="center"/>
              <w:textAlignment w:val="auto"/>
            </w:pPr>
            <w:r>
              <w:rPr>
                <w:b/>
              </w:rPr>
              <w:t>年销售额</w:t>
            </w:r>
          </w:p>
        </w:tc>
        <w:tc>
          <w:tcPr>
            <w:tcW w:w="4156" w:type="dxa"/>
            <w:vAlign w:val="center"/>
          </w:tcPr>
          <w:p w14:paraId="15682E03">
            <w:pPr>
              <w:keepNext w:val="0"/>
              <w:keepLines w:val="0"/>
              <w:pageBreakBefore w:val="0"/>
              <w:widowControl/>
              <w:kinsoku/>
              <w:wordWrap/>
              <w:overflowPunct/>
              <w:topLinePunct w:val="0"/>
              <w:autoSpaceDE/>
              <w:autoSpaceDN/>
              <w:bidi w:val="0"/>
              <w:adjustRightInd/>
              <w:snapToGrid/>
              <w:spacing w:after="0"/>
              <w:jc w:val="center"/>
              <w:textAlignment w:val="auto"/>
            </w:pPr>
            <w:r>
              <w:t>2024年度 276亿日元</w:t>
            </w:r>
          </w:p>
        </w:tc>
      </w:tr>
    </w:tbl>
    <w:p w14:paraId="5A5691E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4" w:name="_Toc11124"/>
      <w:r>
        <w:rPr>
          <w:rFonts w:hint="eastAsia" w:ascii="Times New Roman" w:hAnsi="Times New Roman" w:eastAsia="方正仿宋_GBK"/>
          <w:kern w:val="2"/>
          <w:sz w:val="32"/>
          <w:szCs w:val="32"/>
          <w:lang w:val="en-US" w:eastAsia="zh-CN"/>
        </w:rPr>
        <w:t>2.发展历程</w:t>
      </w:r>
      <w:bookmarkEnd w:id="54"/>
    </w:p>
    <w:p w14:paraId="7F20B17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YANO METALS成立于1973年3月，至今已有50余年的历史。公司由现任社长矢野和义领导，始终专注于非铁金属（稀有金属）的贸易和回收业务。</w:t>
      </w:r>
    </w:p>
    <w:p w14:paraId="3F3443B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公司的发展沿革来看，企业在1992年10月加入超硬工具协会（现日本机械工具工业会）；2007年4月加入タングステン・モリブデン工業会；2009年1月在泰国设立子公司ヤノメタルズ・タイランド（已于2025年6月关闭）。公司从未进行大规模扩张，而是保持48人精英团队的紧凑运营模式，在特定金属品种的贸易和回收领域深耕细作。</w:t>
      </w:r>
    </w:p>
    <w:p w14:paraId="6289EDD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5" w:name="_Toc9771"/>
      <w:r>
        <w:rPr>
          <w:rFonts w:hint="eastAsia" w:ascii="Times New Roman" w:hAnsi="Times New Roman" w:eastAsia="方正仿宋_GBK"/>
          <w:kern w:val="2"/>
          <w:sz w:val="32"/>
          <w:szCs w:val="32"/>
          <w:lang w:val="en-US" w:eastAsia="zh-CN"/>
        </w:rPr>
        <w:t>3.经营模式与核心能力</w:t>
      </w:r>
      <w:bookmarkEnd w:id="55"/>
    </w:p>
    <w:p w14:paraId="5C4202F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zh-CN"/>
        </w:rPr>
      </w:pPr>
      <w:r>
        <w:rPr>
          <w:rFonts w:hint="eastAsia" w:ascii="Times New Roman" w:hAnsi="Times New Roman" w:eastAsia="方正仿宋_GBK"/>
          <w:kern w:val="2"/>
          <w:sz w:val="32"/>
          <w:szCs w:val="32"/>
          <w:lang w:val="en-US" w:eastAsia="en-US"/>
        </w:rPr>
        <w:t>YANO METALS定位为</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功能工厂を持つレアメタル専門商社</w:t>
      </w:r>
      <w:r>
        <w:rPr>
          <w:rFonts w:hint="default"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（拥有加工工厂的稀有金属专业贸易商），其商业模式具有鲜明的特点</w:t>
      </w:r>
      <w:r>
        <w:rPr>
          <w:rFonts w:hint="eastAsia" w:ascii="Times New Roman" w:hAnsi="Times New Roman" w:eastAsia="方正仿宋_GBK"/>
          <w:kern w:val="2"/>
          <w:sz w:val="32"/>
          <w:szCs w:val="32"/>
          <w:lang w:val="en-US" w:eastAsia="zh-CN"/>
        </w:rPr>
        <w:t>。</w:t>
      </w:r>
    </w:p>
    <w:p w14:paraId="633D150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一是</w:t>
      </w:r>
      <w:r>
        <w:rPr>
          <w:rFonts w:hint="eastAsia" w:ascii="Times New Roman" w:hAnsi="Times New Roman" w:eastAsia="方正仿宋_GBK"/>
          <w:kern w:val="2"/>
          <w:sz w:val="32"/>
          <w:szCs w:val="32"/>
          <w:lang w:val="en-US" w:eastAsia="en-US"/>
        </w:rPr>
        <w:t>双轮驱动业务模式</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公司将トレーディング（贸易）和リサイクル（回收）两大业务有机结合，形成独特的竞争力。贸易业务负责从全球采购稀有金属原料；回收业务则通过处理金属废料，获取再生原料并进行委托加工（コンバージョン），实现资源的循环利用。</w:t>
      </w:r>
    </w:p>
    <w:p w14:paraId="7379ECC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二是</w:t>
      </w:r>
      <w:r>
        <w:rPr>
          <w:rFonts w:hint="eastAsia" w:ascii="Times New Roman" w:hAnsi="Times New Roman" w:eastAsia="方正仿宋_GBK"/>
          <w:kern w:val="2"/>
          <w:sz w:val="32"/>
          <w:szCs w:val="32"/>
          <w:lang w:val="en-US" w:eastAsia="en-US"/>
        </w:rPr>
        <w:t>全球化采购网络</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YANO METALS在欧洲、美国、中国、韩国等众多国家和地区建立了合作伙伴网络，能够从全球范围内采购优质且具有价格竞争力的稀有金属原料。公司通过"Just-in-Time"的供应模式，将材料精准配送至客户工厂。</w:t>
      </w:r>
    </w:p>
    <w:p w14:paraId="59AD5E5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三是</w:t>
      </w:r>
      <w:r>
        <w:rPr>
          <w:rFonts w:hint="eastAsia" w:ascii="Times New Roman" w:hAnsi="Times New Roman" w:eastAsia="方正仿宋_GBK"/>
          <w:kern w:val="2"/>
          <w:sz w:val="32"/>
          <w:szCs w:val="32"/>
          <w:lang w:val="en-US" w:eastAsia="en-US"/>
        </w:rPr>
        <w:t>专业加工能力</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公司拥有自有工厂（堺工厂，位于大阪），配备金属材料加工设备，能够对采购的原料进行分选、加工和品质管控。堺工厂已获得ISO9001:2015（品质管理）和ISO14001:2015（环境管理）认证。</w:t>
      </w:r>
    </w:p>
    <w:p w14:paraId="4F18BF2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四是</w:t>
      </w:r>
      <w:r>
        <w:rPr>
          <w:rFonts w:hint="eastAsia" w:ascii="Times New Roman" w:hAnsi="Times New Roman" w:eastAsia="方正仿宋_GBK"/>
          <w:kern w:val="2"/>
          <w:sz w:val="32"/>
          <w:szCs w:val="32"/>
          <w:lang w:val="en-US" w:eastAsia="en-US"/>
        </w:rPr>
        <w:t>客户群体</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YANO METALS的客户涵盖日本主要钢铁企业（非铁金属部门）、非铁金属制造商（JX金属、住友电工、三井金属矿业、三菱制鋼、三菱材料等）、材料和化工企业（AGC、関東電化工業、中央硝子等）、以及电子/航空领域企业（Proterial株式会社、京瓷、IHI master metal等）。这些客户均为各自行业的龙头企业，对供应商的产品质量和稳定性要求极高。</w:t>
      </w:r>
    </w:p>
    <w:p w14:paraId="35EE6D7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6" w:name="_Toc7088"/>
      <w:r>
        <w:rPr>
          <w:rFonts w:hint="eastAsia" w:ascii="Times New Roman" w:hAnsi="Times New Roman" w:eastAsia="方正仿宋_GBK"/>
          <w:kern w:val="2"/>
          <w:sz w:val="32"/>
          <w:szCs w:val="32"/>
          <w:lang w:val="en-US" w:eastAsia="zh-CN"/>
        </w:rPr>
        <w:t>4.经营金属品种</w:t>
      </w:r>
      <w:bookmarkEnd w:id="56"/>
    </w:p>
    <w:p w14:paraId="112AF61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从业务经营范围来看，YANO METALS经营的金属品种涵盖稀有金属和有色金属的多个品类：</w:t>
      </w:r>
    </w:p>
    <w:p w14:paraId="5984A60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在难熔金属品类方面，企业主要经营钨（W）、钼（Mo）、钽（Ta）、铌（Nb）材料</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这些金属具有高熔点、高硬度等特性，广泛用于切削工具、电极材料、高温合金等。</w:t>
      </w:r>
    </w:p>
    <w:p w14:paraId="0390521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在有色金属品类方面，主要包含 镍（Ni）、钴（Co）、铬（Cr）、钛（Ti）材料</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这些是钢铁合金和有色合金的重要成分，也用于电池、航空航天等领域。</w:t>
      </w:r>
    </w:p>
    <w:p w14:paraId="0DC2F23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在稀有金属品类方面，业务布局涵盖锗（Ge）、钒（V）、镓（Ga）、铟（In）材料</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这些金属在半导体、光纤通信、新能源等领域具有关键应用。</w:t>
      </w:r>
    </w:p>
    <w:p w14:paraId="528F4C0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除此之外，企业同时还经营 锆（Zr）、铼（Re）等特种金属材料，相关产品主要服务于核能、航空等特殊专业领域。</w:t>
      </w:r>
    </w:p>
    <w:p w14:paraId="7393580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需要重点关注的是，YANO METALS经营的上述金属品种中，多种被中国列入对日出口管制物项清单，包括但不限于：钨、钼、镓、锗、铟、钒等。</w:t>
      </w:r>
    </w:p>
    <w:p w14:paraId="2F9791E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57" w:name="_Toc20824"/>
      <w:r>
        <w:rPr>
          <w:rFonts w:hint="eastAsia" w:ascii="Times New Roman" w:hAnsi="Times New Roman" w:eastAsia="方正仿宋_GBK"/>
          <w:kern w:val="2"/>
          <w:sz w:val="32"/>
          <w:szCs w:val="32"/>
          <w:lang w:val="en-US" w:eastAsia="zh-CN"/>
        </w:rPr>
        <w:t>5.行业地位</w:t>
      </w:r>
      <w:bookmarkEnd w:id="57"/>
    </w:p>
    <w:p w14:paraId="21BE936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YANO METALS在日本稀有金属贸易行业中占有重要地位。作为拥有50余年历史的稀有金属专业贸易商，公司在特定金属品种的贸易和回收领域积累了丰富的经验和专业知识。</w:t>
      </w:r>
    </w:p>
    <w:p w14:paraId="6CAA091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从市场定位来看，YANO METALS并非追求规模扩张的大型综合贸易商，而是专注于特定品种的精品型贸易公司。48名员工的精英团队创造276亿日元的年销售额，人均产值高达5.75亿日元，体现了极高的运营效率和专业能力。</w:t>
      </w:r>
    </w:p>
    <w:p w14:paraId="2E0163B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从行业影响力来看，YANO METALS是日本机械工具工业会正会员、タングステン・モリブデン工業会準会员、Tantalum-Niobium International Study Center会员、新金属协会賛助会员，在行业协会中发挥重要作用。</w:t>
      </w:r>
    </w:p>
    <w:p w14:paraId="6C8206F6">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58" w:name="_Toc15642"/>
      <w:bookmarkStart w:id="59" w:name="_Toc22567"/>
      <w:r>
        <w:rPr>
          <w:rFonts w:hint="eastAsia" w:ascii="Times New Roman" w:hAnsi="Times New Roman" w:eastAsia="黑体" w:cs="黑体"/>
          <w:b w:val="0"/>
          <w:bCs w:val="0"/>
          <w:color w:val="auto"/>
          <w:kern w:val="0"/>
          <w:sz w:val="32"/>
          <w:szCs w:val="32"/>
          <w:lang w:val="en-US" w:eastAsia="zh-CN" w:bidi="ar"/>
        </w:rPr>
        <w:t>（二）日本军工关联分析</w:t>
      </w:r>
      <w:bookmarkEnd w:id="58"/>
      <w:bookmarkEnd w:id="59"/>
    </w:p>
    <w:p w14:paraId="4CEE535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0" w:name="_Toc19730"/>
      <w:r>
        <w:rPr>
          <w:rFonts w:hint="eastAsia" w:ascii="Times New Roman" w:hAnsi="Times New Roman" w:eastAsia="方正仿宋_GBK"/>
          <w:kern w:val="2"/>
          <w:sz w:val="32"/>
          <w:szCs w:val="32"/>
          <w:lang w:val="en-US" w:eastAsia="zh-CN"/>
        </w:rPr>
        <w:t>1.防卫产业供应链地位</w:t>
      </w:r>
      <w:bookmarkEnd w:id="60"/>
    </w:p>
    <w:p w14:paraId="62A0EB9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YANO METALS作为稀有金属贸易商，在防卫产业供应链中属于关键原材料供应商，具有较高的战略重要性。</w:t>
      </w:r>
    </w:p>
    <w:p w14:paraId="2B37CB1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钨（W）：钨具有极高的熔点和硬度，是穿甲弹、导弹弹头的理想材料。钨基合金可用于航空发动机涂层，提高叶片在高温环境下的耐久性。此外，钨在硬质合金刀具中的应用对精密制造至关重要。</w:t>
      </w:r>
    </w:p>
    <w:p w14:paraId="67CB460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钼（Mo）：钼是重要的合金元素，用于生产装甲钢、高温合金钢。这些材料是制造装甲车辆、舰船结构件、导弹结构件的关键原材料。</w:t>
      </w:r>
    </w:p>
    <w:p w14:paraId="1A63A52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钽（Ta）：钽电容是军用电子元件的重要组成部分，被广泛应用于雷达、通信设备等军事电子产品。钽还用于火箭发动机喷嘴等高温部件。</w:t>
      </w:r>
    </w:p>
    <w:p w14:paraId="5495BCC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镍（Ni）：镍基高温合金是航空发动机叶片和燃气轮机的核心材料。日本防卫产业对航空发动机用镍合金的需求主要通过IHI株式会社等企业实现。</w:t>
      </w:r>
    </w:p>
    <w:p w14:paraId="0DBBC67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钴（Co）：钴用于制造硬质合金刀具，刀具是精密加工和武器制造的关键工具。钴也是高性能磁性材料的重要成分。</w:t>
      </w:r>
    </w:p>
    <w:p w14:paraId="20FB498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钛（Ti）：钛合金具有高强度、低密度的特性，广泛用于战斗机机体、舰船结构、导弹壳体等防卫装备。F-2战斗机使用大量钛合金材料。</w:t>
      </w:r>
    </w:p>
    <w:p w14:paraId="78CE073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锗（Ge）：锗是重要的半导体材料，在红外探测器、太阳能电池等领域具有不可替代的作用。军事领域用于夜视设备和红外制导系统。</w:t>
      </w:r>
    </w:p>
    <w:p w14:paraId="1247717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镓（Ga）：镓是半导体工业的关键材料，氮化镓（GaN）是先进雷达TR组件的核心材料。日本海上自卫队宙斯盾舰的AN/SPY系列雷达大量使用GaN半导体。</w:t>
      </w:r>
    </w:p>
    <w:p w14:paraId="6D6B9E7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铟（In）：铟用于制造焊料和光学透镜，是电子组装和光学仪器的重要材料。</w:t>
      </w:r>
    </w:p>
    <w:p w14:paraId="552CF02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在与防卫产业核心企业的供应关系方面，IHI master metal（IHI集团特殊金属公司）作为防卫产业核心企业IHI株式会社的关联公司，专注于高温合金材料的生产，用于航空发动机和火箭发动机。YANO METALS为其供应高温合金的原料（镍、钴、钼等），间接参与防卫产业。YANO METALS 同时为三菱制钢供应合金元素原料，三菱制钢生产的特殊钢包含武器用钢，属于防卫产业重要材料供应商。YANO METALS还为Proterial株式会社供应稀土和合金原料，Proterial是磁性材料和航空材料领域的领先制造商，与防卫产业存在密切关联。</w:t>
      </w:r>
    </w:p>
    <w:p w14:paraId="56BFDE6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1" w:name="_Toc4157"/>
      <w:r>
        <w:rPr>
          <w:rFonts w:hint="eastAsia" w:ascii="Times New Roman" w:hAnsi="Times New Roman" w:eastAsia="方正仿宋_GBK"/>
          <w:kern w:val="2"/>
          <w:sz w:val="32"/>
          <w:szCs w:val="32"/>
          <w:lang w:val="en-US" w:eastAsia="zh-CN"/>
        </w:rPr>
        <w:t>2.防卫装备采购参与情况</w:t>
      </w:r>
      <w:bookmarkEnd w:id="61"/>
    </w:p>
    <w:p w14:paraId="4362569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从直接参与情况来看，经查询日本防卫装备厅官网公布的取引企業名单，未发现YANO METALS被列入直接取引企業名单的记录。这符合贸易商的商业特性——YANO METALS主要向材料制造商供货，而非直接向防卫省供货。</w:t>
      </w:r>
    </w:p>
    <w:p w14:paraId="7815541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从间接参与情况来看，YANO METALS通过向IHI master metal、三菱制鋼、Proterial等防卫关联企业供应关键材料，深度嵌入防卫产业供应链。根据日本防卫产业</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寓军于民</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的特点，这些企业在防卫项目中使用YANO METALS供应的原材料制造装备部件，YANO METALS实际上已成为防卫供应链的重要环节。</w:t>
      </w:r>
    </w:p>
    <w:p w14:paraId="76F7647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2" w:name="_Toc26409"/>
      <w:r>
        <w:rPr>
          <w:rFonts w:hint="eastAsia" w:ascii="Times New Roman" w:hAnsi="Times New Roman" w:eastAsia="方正仿宋_GBK"/>
          <w:kern w:val="2"/>
          <w:sz w:val="32"/>
          <w:szCs w:val="32"/>
          <w:lang w:val="en-US" w:eastAsia="zh-CN"/>
        </w:rPr>
        <w:t>3.防卫产业政策中的战略定位</w:t>
      </w:r>
      <w:bookmarkEnd w:id="62"/>
    </w:p>
    <w:p w14:paraId="349E4F7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稀有金属贸易商在日本防卫产业政策中具有特殊的战略地位。《防衛産業基盤強化施策》明确将关键材料供应链的稳定列为重要政策目标。</w:t>
      </w:r>
    </w:p>
    <w:p w14:paraId="483C1EC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稀土和稀有金属的战略价值来看，2026年初中国对日实施的两用物项出口管制升级措施，充分暴露了日本在稀土和稀有金属领域对中国的结构性依赖。根据日本经济产业省数据，2024年日本稀土进口总量的71.9%来自中国，在重稀土领域近乎完全依赖。YANO METALS作为日本稀有金属的主要贸易商之一，在维护国内材料供应链稳定方面发挥着重要作用。公司通过全球采购网络和回收业务，为客户提供多元化的原材料来源，在一定程度上缓解了供应集中风险。</w:t>
      </w:r>
    </w:p>
    <w:p w14:paraId="5DB7BE3C">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从政策支持情况来看，日本政府近年来加大对关键矿产供应链的政策支持，包括通过JOGMEC（日本石油天然气金属矿物资源机构）为海外资源开发项目提供融资和担保，支持国内回收技术研发等。YANO METALS的回收业务符合日本国家资源循环战略方向。</w:t>
      </w:r>
    </w:p>
    <w:p w14:paraId="364E33A9">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63" w:name="_Toc8538"/>
      <w:bookmarkStart w:id="64" w:name="_Toc11917"/>
      <w:r>
        <w:rPr>
          <w:rFonts w:hint="eastAsia" w:ascii="Times New Roman" w:hAnsi="Times New Roman" w:eastAsia="黑体" w:cs="黑体"/>
          <w:b w:val="0"/>
          <w:bCs w:val="0"/>
          <w:color w:val="auto"/>
          <w:kern w:val="0"/>
          <w:sz w:val="32"/>
          <w:szCs w:val="32"/>
          <w:lang w:val="en-US" w:eastAsia="zh-CN" w:bidi="ar"/>
        </w:rPr>
        <w:t>（三）出口管制合规情况</w:t>
      </w:r>
      <w:bookmarkEnd w:id="63"/>
      <w:bookmarkEnd w:id="64"/>
    </w:p>
    <w:p w14:paraId="61FDC35A">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5" w:name="_Toc11155"/>
      <w:r>
        <w:rPr>
          <w:rFonts w:hint="eastAsia" w:ascii="Times New Roman" w:hAnsi="Times New Roman" w:eastAsia="方正仿宋_GBK"/>
          <w:kern w:val="2"/>
          <w:sz w:val="32"/>
          <w:szCs w:val="32"/>
          <w:lang w:val="en-US" w:eastAsia="zh-CN"/>
        </w:rPr>
        <w:t>1.美国BIS实体清单</w:t>
      </w:r>
      <w:bookmarkEnd w:id="65"/>
    </w:p>
    <w:p w14:paraId="520CD10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经查询美国商务部工业和安全局（BIS）实体清单等官方网站相关页面，YANO METALS未</w:t>
      </w:r>
      <w:r>
        <w:rPr>
          <w:rFonts w:hint="eastAsia" w:ascii="Times New Roman" w:hAnsi="Times New Roman" w:eastAsia="方正仿宋_GBK"/>
          <w:kern w:val="2"/>
          <w:sz w:val="32"/>
          <w:szCs w:val="32"/>
          <w:lang w:val="en-US" w:eastAsia="zh-CN"/>
        </w:rPr>
        <w:t>发现</w:t>
      </w:r>
      <w:r>
        <w:rPr>
          <w:rFonts w:hint="eastAsia" w:ascii="Times New Roman" w:hAnsi="Times New Roman" w:eastAsia="方正仿宋_GBK"/>
          <w:kern w:val="2"/>
          <w:sz w:val="32"/>
          <w:szCs w:val="32"/>
          <w:lang w:val="en-US" w:eastAsia="en-US"/>
        </w:rPr>
        <w:t>被列入美国BIS实体清单。</w:t>
      </w:r>
    </w:p>
    <w:p w14:paraId="38175E6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6" w:name="_Toc21468"/>
      <w:r>
        <w:rPr>
          <w:rFonts w:hint="eastAsia" w:ascii="Times New Roman" w:hAnsi="Times New Roman" w:eastAsia="方正仿宋_GBK"/>
          <w:kern w:val="2"/>
          <w:sz w:val="32"/>
          <w:szCs w:val="32"/>
          <w:lang w:val="en-US" w:eastAsia="zh-CN"/>
        </w:rPr>
        <w:t>2.日本出口管制清单</w:t>
      </w:r>
      <w:bookmarkEnd w:id="66"/>
    </w:p>
    <w:p w14:paraId="6D62938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通过对官方管控名录核查</w:t>
      </w:r>
      <w:r>
        <w:rPr>
          <w:rFonts w:hint="eastAsia" w:ascii="Times New Roman" w:hAnsi="Times New Roman" w:eastAsia="方正仿宋_GBK"/>
          <w:kern w:val="2"/>
          <w:sz w:val="32"/>
          <w:szCs w:val="32"/>
          <w:lang w:val="en-US" w:eastAsia="zh-CN"/>
        </w:rPr>
        <w:t>发现</w:t>
      </w:r>
      <w:r>
        <w:rPr>
          <w:rFonts w:hint="eastAsia" w:ascii="Times New Roman" w:hAnsi="Times New Roman" w:eastAsia="方正仿宋_GBK"/>
          <w:kern w:val="2"/>
          <w:sz w:val="32"/>
          <w:szCs w:val="32"/>
          <w:lang w:val="en-US" w:eastAsia="en-US"/>
        </w:rPr>
        <w:t>，YANO METALS未被列入日本经产省出口管制单独清单。</w:t>
      </w:r>
    </w:p>
    <w:p w14:paraId="631DAC9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作为两用物项贸易商，YANO METALS需严格遵守日本《外汇及外国貿易法》下的出口管制规定。根据该法律，出口商在出口特定物项时需确认最终用户和最终用途，不得将受管制物项出口至可能用于军事用途的目的地。YANO METALS的合规体系对于防止物资流入军事用途至关重要。</w:t>
      </w:r>
    </w:p>
    <w:p w14:paraId="5002FE2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67" w:name="_Toc29215"/>
      <w:r>
        <w:rPr>
          <w:rFonts w:hint="eastAsia" w:ascii="Times New Roman" w:hAnsi="Times New Roman" w:eastAsia="方正仿宋_GBK"/>
          <w:kern w:val="2"/>
          <w:sz w:val="32"/>
          <w:szCs w:val="32"/>
          <w:lang w:val="en-US" w:eastAsia="zh-CN"/>
        </w:rPr>
        <w:t>3.中国出口管制名单</w:t>
      </w:r>
      <w:bookmarkEnd w:id="67"/>
    </w:p>
    <w:p w14:paraId="28863A6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结合国内最新管控公告完成信息核查，YANO METALS未出现在2026年2月24日公布的中国对日出口管制管控名单或关注名单中。</w:t>
      </w:r>
    </w:p>
    <w:p w14:paraId="560EC36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尽管YANO METALS本身未被列入中国管制名单，但公司的经营活动可能受到间接影响。中国2026年第1号公告明确禁止向日本军事用户、军事用途，以及一切有助于提升日本军事实力的最终用户和用途出口两用物项。这意味着，YANO METALS从中国采购镓、锗、钨、钼、铟等管制物项时，将面临更加严格的审批程序。</w:t>
      </w:r>
    </w:p>
    <w:p w14:paraId="2A7C72B6">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68" w:name="_Toc32687"/>
      <w:bookmarkStart w:id="69" w:name="_Toc12912"/>
      <w:r>
        <w:rPr>
          <w:rFonts w:hint="eastAsia" w:ascii="Times New Roman" w:hAnsi="Times New Roman" w:eastAsia="黑体" w:cs="黑体"/>
          <w:b w:val="0"/>
          <w:bCs w:val="0"/>
          <w:color w:val="auto"/>
          <w:kern w:val="0"/>
          <w:sz w:val="32"/>
          <w:szCs w:val="32"/>
          <w:lang w:val="en-US" w:eastAsia="zh-CN" w:bidi="ar"/>
        </w:rPr>
        <w:t>（四）转运风险评估</w:t>
      </w:r>
      <w:bookmarkEnd w:id="68"/>
      <w:bookmarkEnd w:id="69"/>
    </w:p>
    <w:p w14:paraId="49650A9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0" w:name="_Toc16100"/>
      <w:r>
        <w:rPr>
          <w:rFonts w:hint="eastAsia" w:ascii="Times New Roman" w:hAnsi="Times New Roman" w:eastAsia="方正仿宋_GBK"/>
          <w:kern w:val="2"/>
          <w:sz w:val="32"/>
          <w:szCs w:val="32"/>
          <w:lang w:val="en-US" w:eastAsia="zh-CN"/>
        </w:rPr>
        <w:t>1.经营物项与中国管制物项清单对照分析</w:t>
      </w:r>
      <w:bookmarkEnd w:id="70"/>
    </w:p>
    <w:p w14:paraId="1F2C12FE">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YANO METALS经营品种与2026年管制物项详细对照：</w:t>
      </w:r>
    </w:p>
    <w:p w14:paraId="6A8CB2D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钨（W）：中国对钨实施全年严格出口许可制度。根据2026年度《两用物项和技术进出口许可证管理目录》，钨（包括钨矿、钨氧化物、钨酸盐、钨粉、钨材、废钨等）属于管制物项。YANO METALS作为钨的贸易商，若从中国采购钨相关产品，将受到严格管制。</w:t>
      </w:r>
    </w:p>
    <w:p w14:paraId="73175A9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钼（Mo）：钼及其化合物同样被列入中国出口管制范围。YANO METALS经营的钼产品（钼矿、钼氧化物、钼粉、钼材等）属于管制物项。</w:t>
      </w:r>
    </w:p>
    <w:p w14:paraId="7033935B">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镓（Ga）：镓、氧化镓、氮化镓等镓化物被列入严格管制。镓是半导体工业和军事雷达的关键材料，2026年管制政策对其出口实施重点管控。</w:t>
      </w:r>
    </w:p>
    <w:p w14:paraId="7D4CE4C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锗（Ge）：锗、氧化锗、锗制品属于管制物项。锗在红外探测和军事光学领域具有重要应用。</w:t>
      </w:r>
    </w:p>
    <w:p w14:paraId="784E49B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铟（In）：铟、氧化铟、铟化合物被列入管制范围。</w:t>
      </w:r>
    </w:p>
    <w:p w14:paraId="7A79ACD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钒（V）：钒及其化合物属于管制物项。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9C4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shd w:val="clear" w:color="auto" w:fill="F2F2F2"/>
            <w:vAlign w:val="center"/>
          </w:tcPr>
          <w:p w14:paraId="3F985883">
            <w:pPr>
              <w:keepNext w:val="0"/>
              <w:keepLines w:val="0"/>
              <w:pageBreakBefore w:val="0"/>
              <w:widowControl/>
              <w:kinsoku/>
              <w:wordWrap/>
              <w:overflowPunct/>
              <w:topLinePunct w:val="0"/>
              <w:autoSpaceDE/>
              <w:autoSpaceDN/>
              <w:bidi w:val="0"/>
              <w:adjustRightInd/>
              <w:snapToGrid/>
              <w:spacing w:after="0"/>
              <w:jc w:val="center"/>
              <w:textAlignment w:val="auto"/>
            </w:pPr>
            <w:r>
              <w:rPr>
                <w:b/>
              </w:rPr>
              <w:t>金属品种</w:t>
            </w:r>
          </w:p>
        </w:tc>
        <w:tc>
          <w:tcPr>
            <w:tcW w:w="2078" w:type="dxa"/>
            <w:shd w:val="clear" w:color="auto" w:fill="F2F2F2"/>
            <w:vAlign w:val="center"/>
          </w:tcPr>
          <w:p w14:paraId="55D20CF6">
            <w:pPr>
              <w:keepNext w:val="0"/>
              <w:keepLines w:val="0"/>
              <w:pageBreakBefore w:val="0"/>
              <w:widowControl/>
              <w:kinsoku/>
              <w:wordWrap/>
              <w:overflowPunct/>
              <w:topLinePunct w:val="0"/>
              <w:autoSpaceDE/>
              <w:autoSpaceDN/>
              <w:bidi w:val="0"/>
              <w:adjustRightInd/>
              <w:snapToGrid/>
              <w:spacing w:after="0"/>
              <w:jc w:val="center"/>
              <w:textAlignment w:val="auto"/>
            </w:pPr>
            <w:r>
              <w:rPr>
                <w:b/>
              </w:rPr>
              <w:t>管制状态</w:t>
            </w:r>
          </w:p>
        </w:tc>
        <w:tc>
          <w:tcPr>
            <w:tcW w:w="2078" w:type="dxa"/>
            <w:shd w:val="clear" w:color="auto" w:fill="F2F2F2"/>
            <w:vAlign w:val="center"/>
          </w:tcPr>
          <w:p w14:paraId="6B7FAE66">
            <w:pPr>
              <w:keepNext w:val="0"/>
              <w:keepLines w:val="0"/>
              <w:pageBreakBefore w:val="0"/>
              <w:widowControl/>
              <w:kinsoku/>
              <w:wordWrap/>
              <w:overflowPunct/>
              <w:topLinePunct w:val="0"/>
              <w:autoSpaceDE/>
              <w:autoSpaceDN/>
              <w:bidi w:val="0"/>
              <w:adjustRightInd/>
              <w:snapToGrid/>
              <w:spacing w:after="0"/>
              <w:jc w:val="center"/>
              <w:textAlignment w:val="auto"/>
            </w:pPr>
            <w:r>
              <w:rPr>
                <w:b/>
              </w:rPr>
              <w:t>YANO使用/贸易情况</w:t>
            </w:r>
          </w:p>
        </w:tc>
        <w:tc>
          <w:tcPr>
            <w:tcW w:w="2078" w:type="dxa"/>
            <w:shd w:val="clear" w:color="auto" w:fill="F2F2F2"/>
            <w:vAlign w:val="center"/>
          </w:tcPr>
          <w:p w14:paraId="5FE1EB58">
            <w:pPr>
              <w:keepNext w:val="0"/>
              <w:keepLines w:val="0"/>
              <w:pageBreakBefore w:val="0"/>
              <w:widowControl/>
              <w:kinsoku/>
              <w:wordWrap/>
              <w:overflowPunct/>
              <w:topLinePunct w:val="0"/>
              <w:autoSpaceDE/>
              <w:autoSpaceDN/>
              <w:bidi w:val="0"/>
              <w:adjustRightInd/>
              <w:snapToGrid/>
              <w:spacing w:after="0"/>
              <w:jc w:val="center"/>
              <w:textAlignment w:val="auto"/>
            </w:pPr>
            <w:r>
              <w:rPr>
                <w:b/>
              </w:rPr>
              <w:t>风险等级</w:t>
            </w:r>
          </w:p>
        </w:tc>
      </w:tr>
      <w:tr w14:paraId="08D9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151786BE">
            <w:pPr>
              <w:keepNext w:val="0"/>
              <w:keepLines w:val="0"/>
              <w:pageBreakBefore w:val="0"/>
              <w:widowControl/>
              <w:kinsoku/>
              <w:wordWrap/>
              <w:overflowPunct/>
              <w:topLinePunct w:val="0"/>
              <w:autoSpaceDE/>
              <w:autoSpaceDN/>
              <w:bidi w:val="0"/>
              <w:adjustRightInd/>
              <w:snapToGrid/>
              <w:spacing w:after="0"/>
              <w:jc w:val="center"/>
              <w:textAlignment w:val="auto"/>
            </w:pPr>
            <w:r>
              <w:t>钨（W）</w:t>
            </w:r>
          </w:p>
        </w:tc>
        <w:tc>
          <w:tcPr>
            <w:tcW w:w="2078" w:type="dxa"/>
            <w:vAlign w:val="center"/>
          </w:tcPr>
          <w:p w14:paraId="6DD1163D">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219AF208">
            <w:pPr>
              <w:keepNext w:val="0"/>
              <w:keepLines w:val="0"/>
              <w:pageBreakBefore w:val="0"/>
              <w:widowControl/>
              <w:kinsoku/>
              <w:wordWrap/>
              <w:overflowPunct/>
              <w:topLinePunct w:val="0"/>
              <w:autoSpaceDE/>
              <w:autoSpaceDN/>
              <w:bidi w:val="0"/>
              <w:adjustRightInd/>
              <w:snapToGrid/>
              <w:spacing w:after="0"/>
              <w:jc w:val="center"/>
              <w:textAlignment w:val="auto"/>
            </w:pPr>
            <w:r>
              <w:t>核心经营品种</w:t>
            </w:r>
          </w:p>
        </w:tc>
        <w:tc>
          <w:tcPr>
            <w:tcW w:w="2078" w:type="dxa"/>
            <w:vAlign w:val="center"/>
          </w:tcPr>
          <w:p w14:paraId="0663608C">
            <w:pPr>
              <w:keepNext w:val="0"/>
              <w:keepLines w:val="0"/>
              <w:pageBreakBefore w:val="0"/>
              <w:widowControl/>
              <w:kinsoku/>
              <w:wordWrap/>
              <w:overflowPunct/>
              <w:topLinePunct w:val="0"/>
              <w:autoSpaceDE/>
              <w:autoSpaceDN/>
              <w:bidi w:val="0"/>
              <w:adjustRightInd/>
              <w:snapToGrid/>
              <w:spacing w:after="0"/>
              <w:jc w:val="center"/>
              <w:textAlignment w:val="auto"/>
            </w:pPr>
            <w:r>
              <w:t>高</w:t>
            </w:r>
          </w:p>
        </w:tc>
      </w:tr>
      <w:tr w14:paraId="6BB47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13DF087E">
            <w:pPr>
              <w:keepNext w:val="0"/>
              <w:keepLines w:val="0"/>
              <w:pageBreakBefore w:val="0"/>
              <w:widowControl/>
              <w:kinsoku/>
              <w:wordWrap/>
              <w:overflowPunct/>
              <w:topLinePunct w:val="0"/>
              <w:autoSpaceDE/>
              <w:autoSpaceDN/>
              <w:bidi w:val="0"/>
              <w:adjustRightInd/>
              <w:snapToGrid/>
              <w:spacing w:after="0"/>
              <w:jc w:val="center"/>
              <w:textAlignment w:val="auto"/>
            </w:pPr>
            <w:r>
              <w:t>钼（Mo）</w:t>
            </w:r>
          </w:p>
        </w:tc>
        <w:tc>
          <w:tcPr>
            <w:tcW w:w="2078" w:type="dxa"/>
            <w:vAlign w:val="center"/>
          </w:tcPr>
          <w:p w14:paraId="17714A67">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52ACCB31">
            <w:pPr>
              <w:keepNext w:val="0"/>
              <w:keepLines w:val="0"/>
              <w:pageBreakBefore w:val="0"/>
              <w:widowControl/>
              <w:kinsoku/>
              <w:wordWrap/>
              <w:overflowPunct/>
              <w:topLinePunct w:val="0"/>
              <w:autoSpaceDE/>
              <w:autoSpaceDN/>
              <w:bidi w:val="0"/>
              <w:adjustRightInd/>
              <w:snapToGrid/>
              <w:spacing w:after="0"/>
              <w:jc w:val="center"/>
              <w:textAlignment w:val="auto"/>
            </w:pPr>
            <w:r>
              <w:t>核心经营品种</w:t>
            </w:r>
          </w:p>
        </w:tc>
        <w:tc>
          <w:tcPr>
            <w:tcW w:w="2078" w:type="dxa"/>
            <w:vAlign w:val="center"/>
          </w:tcPr>
          <w:p w14:paraId="6DF8ABB3">
            <w:pPr>
              <w:keepNext w:val="0"/>
              <w:keepLines w:val="0"/>
              <w:pageBreakBefore w:val="0"/>
              <w:widowControl/>
              <w:kinsoku/>
              <w:wordWrap/>
              <w:overflowPunct/>
              <w:topLinePunct w:val="0"/>
              <w:autoSpaceDE/>
              <w:autoSpaceDN/>
              <w:bidi w:val="0"/>
              <w:adjustRightInd/>
              <w:snapToGrid/>
              <w:spacing w:after="0"/>
              <w:jc w:val="center"/>
              <w:textAlignment w:val="auto"/>
            </w:pPr>
            <w:r>
              <w:t>高</w:t>
            </w:r>
          </w:p>
        </w:tc>
      </w:tr>
      <w:tr w14:paraId="4348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586BA7F6">
            <w:pPr>
              <w:keepNext w:val="0"/>
              <w:keepLines w:val="0"/>
              <w:pageBreakBefore w:val="0"/>
              <w:widowControl/>
              <w:kinsoku/>
              <w:wordWrap/>
              <w:overflowPunct/>
              <w:topLinePunct w:val="0"/>
              <w:autoSpaceDE/>
              <w:autoSpaceDN/>
              <w:bidi w:val="0"/>
              <w:adjustRightInd/>
              <w:snapToGrid/>
              <w:spacing w:after="0"/>
              <w:jc w:val="center"/>
              <w:textAlignment w:val="auto"/>
            </w:pPr>
            <w:r>
              <w:t>镓（Ga）</w:t>
            </w:r>
          </w:p>
        </w:tc>
        <w:tc>
          <w:tcPr>
            <w:tcW w:w="2078" w:type="dxa"/>
            <w:vAlign w:val="center"/>
          </w:tcPr>
          <w:p w14:paraId="399D9A2A">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74CA6FBE">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2DA111E0">
            <w:pPr>
              <w:keepNext w:val="0"/>
              <w:keepLines w:val="0"/>
              <w:pageBreakBefore w:val="0"/>
              <w:widowControl/>
              <w:kinsoku/>
              <w:wordWrap/>
              <w:overflowPunct/>
              <w:topLinePunct w:val="0"/>
              <w:autoSpaceDE/>
              <w:autoSpaceDN/>
              <w:bidi w:val="0"/>
              <w:adjustRightInd/>
              <w:snapToGrid/>
              <w:spacing w:after="0"/>
              <w:jc w:val="center"/>
              <w:textAlignment w:val="auto"/>
            </w:pPr>
            <w:r>
              <w:t>高</w:t>
            </w:r>
          </w:p>
        </w:tc>
      </w:tr>
      <w:tr w14:paraId="7B31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41B878E2">
            <w:pPr>
              <w:keepNext w:val="0"/>
              <w:keepLines w:val="0"/>
              <w:pageBreakBefore w:val="0"/>
              <w:widowControl/>
              <w:kinsoku/>
              <w:wordWrap/>
              <w:overflowPunct/>
              <w:topLinePunct w:val="0"/>
              <w:autoSpaceDE/>
              <w:autoSpaceDN/>
              <w:bidi w:val="0"/>
              <w:adjustRightInd/>
              <w:snapToGrid/>
              <w:spacing w:after="0"/>
              <w:jc w:val="center"/>
              <w:textAlignment w:val="auto"/>
            </w:pPr>
            <w:r>
              <w:t>锗（Ge）</w:t>
            </w:r>
          </w:p>
        </w:tc>
        <w:tc>
          <w:tcPr>
            <w:tcW w:w="2078" w:type="dxa"/>
            <w:vAlign w:val="center"/>
          </w:tcPr>
          <w:p w14:paraId="66E7F262">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2E1CF8B1">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28294720">
            <w:pPr>
              <w:keepNext w:val="0"/>
              <w:keepLines w:val="0"/>
              <w:pageBreakBefore w:val="0"/>
              <w:widowControl/>
              <w:kinsoku/>
              <w:wordWrap/>
              <w:overflowPunct/>
              <w:topLinePunct w:val="0"/>
              <w:autoSpaceDE/>
              <w:autoSpaceDN/>
              <w:bidi w:val="0"/>
              <w:adjustRightInd/>
              <w:snapToGrid/>
              <w:spacing w:after="0"/>
              <w:jc w:val="center"/>
              <w:textAlignment w:val="auto"/>
            </w:pPr>
            <w:r>
              <w:t>高</w:t>
            </w:r>
          </w:p>
        </w:tc>
      </w:tr>
      <w:tr w14:paraId="4694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15C4E1BA">
            <w:pPr>
              <w:keepNext w:val="0"/>
              <w:keepLines w:val="0"/>
              <w:pageBreakBefore w:val="0"/>
              <w:widowControl/>
              <w:kinsoku/>
              <w:wordWrap/>
              <w:overflowPunct/>
              <w:topLinePunct w:val="0"/>
              <w:autoSpaceDE/>
              <w:autoSpaceDN/>
              <w:bidi w:val="0"/>
              <w:adjustRightInd/>
              <w:snapToGrid/>
              <w:spacing w:after="0"/>
              <w:jc w:val="center"/>
              <w:textAlignment w:val="auto"/>
            </w:pPr>
            <w:r>
              <w:t>铟（In）</w:t>
            </w:r>
          </w:p>
        </w:tc>
        <w:tc>
          <w:tcPr>
            <w:tcW w:w="2078" w:type="dxa"/>
            <w:vAlign w:val="center"/>
          </w:tcPr>
          <w:p w14:paraId="5B9304A3">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28E1F910">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38642216">
            <w:pPr>
              <w:keepNext w:val="0"/>
              <w:keepLines w:val="0"/>
              <w:pageBreakBefore w:val="0"/>
              <w:widowControl/>
              <w:kinsoku/>
              <w:wordWrap/>
              <w:overflowPunct/>
              <w:topLinePunct w:val="0"/>
              <w:autoSpaceDE/>
              <w:autoSpaceDN/>
              <w:bidi w:val="0"/>
              <w:adjustRightInd/>
              <w:snapToGrid/>
              <w:spacing w:after="0"/>
              <w:jc w:val="center"/>
              <w:textAlignment w:val="auto"/>
            </w:pPr>
            <w:r>
              <w:t>中高</w:t>
            </w:r>
          </w:p>
        </w:tc>
      </w:tr>
      <w:tr w14:paraId="213F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5E3E0C46">
            <w:pPr>
              <w:keepNext w:val="0"/>
              <w:keepLines w:val="0"/>
              <w:pageBreakBefore w:val="0"/>
              <w:widowControl/>
              <w:kinsoku/>
              <w:wordWrap/>
              <w:overflowPunct/>
              <w:topLinePunct w:val="0"/>
              <w:autoSpaceDE/>
              <w:autoSpaceDN/>
              <w:bidi w:val="0"/>
              <w:adjustRightInd/>
              <w:snapToGrid/>
              <w:spacing w:after="0"/>
              <w:jc w:val="center"/>
              <w:textAlignment w:val="auto"/>
            </w:pPr>
            <w:r>
              <w:t>钒（V）</w:t>
            </w:r>
          </w:p>
        </w:tc>
        <w:tc>
          <w:tcPr>
            <w:tcW w:w="2078" w:type="dxa"/>
            <w:vAlign w:val="center"/>
          </w:tcPr>
          <w:p w14:paraId="28983970">
            <w:pPr>
              <w:keepNext w:val="0"/>
              <w:keepLines w:val="0"/>
              <w:pageBreakBefore w:val="0"/>
              <w:widowControl/>
              <w:kinsoku/>
              <w:wordWrap/>
              <w:overflowPunct/>
              <w:topLinePunct w:val="0"/>
              <w:autoSpaceDE/>
              <w:autoSpaceDN/>
              <w:bidi w:val="0"/>
              <w:adjustRightInd/>
              <w:snapToGrid/>
              <w:spacing w:after="0"/>
              <w:jc w:val="center"/>
              <w:textAlignment w:val="auto"/>
            </w:pPr>
            <w:r>
              <w:t>严格管制</w:t>
            </w:r>
          </w:p>
        </w:tc>
        <w:tc>
          <w:tcPr>
            <w:tcW w:w="2078" w:type="dxa"/>
            <w:vAlign w:val="center"/>
          </w:tcPr>
          <w:p w14:paraId="6D98D5A2">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17E2D6E9">
            <w:pPr>
              <w:keepNext w:val="0"/>
              <w:keepLines w:val="0"/>
              <w:pageBreakBefore w:val="0"/>
              <w:widowControl/>
              <w:kinsoku/>
              <w:wordWrap/>
              <w:overflowPunct/>
              <w:topLinePunct w:val="0"/>
              <w:autoSpaceDE/>
              <w:autoSpaceDN/>
              <w:bidi w:val="0"/>
              <w:adjustRightInd/>
              <w:snapToGrid/>
              <w:spacing w:after="0"/>
              <w:jc w:val="center"/>
              <w:textAlignment w:val="auto"/>
            </w:pPr>
            <w:r>
              <w:t>中高</w:t>
            </w:r>
          </w:p>
        </w:tc>
      </w:tr>
      <w:tr w14:paraId="4853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0ED58C2E">
            <w:pPr>
              <w:keepNext w:val="0"/>
              <w:keepLines w:val="0"/>
              <w:pageBreakBefore w:val="0"/>
              <w:widowControl/>
              <w:kinsoku/>
              <w:wordWrap/>
              <w:overflowPunct/>
              <w:topLinePunct w:val="0"/>
              <w:autoSpaceDE/>
              <w:autoSpaceDN/>
              <w:bidi w:val="0"/>
              <w:adjustRightInd/>
              <w:snapToGrid/>
              <w:spacing w:after="0"/>
              <w:jc w:val="center"/>
              <w:textAlignment w:val="auto"/>
            </w:pPr>
            <w:r>
              <w:t>钽（Ta）</w:t>
            </w:r>
          </w:p>
        </w:tc>
        <w:tc>
          <w:tcPr>
            <w:tcW w:w="2078" w:type="dxa"/>
            <w:vAlign w:val="center"/>
          </w:tcPr>
          <w:p w14:paraId="212B7246">
            <w:pPr>
              <w:keepNext w:val="0"/>
              <w:keepLines w:val="0"/>
              <w:pageBreakBefore w:val="0"/>
              <w:widowControl/>
              <w:kinsoku/>
              <w:wordWrap/>
              <w:overflowPunct/>
              <w:topLinePunct w:val="0"/>
              <w:autoSpaceDE/>
              <w:autoSpaceDN/>
              <w:bidi w:val="0"/>
              <w:adjustRightInd/>
              <w:snapToGrid/>
              <w:spacing w:after="0"/>
              <w:jc w:val="center"/>
              <w:textAlignment w:val="auto"/>
            </w:pPr>
            <w:r>
              <w:t>管制</w:t>
            </w:r>
          </w:p>
        </w:tc>
        <w:tc>
          <w:tcPr>
            <w:tcW w:w="2078" w:type="dxa"/>
            <w:vAlign w:val="center"/>
          </w:tcPr>
          <w:p w14:paraId="18EC2D91">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30EB62D5">
            <w:pPr>
              <w:keepNext w:val="0"/>
              <w:keepLines w:val="0"/>
              <w:pageBreakBefore w:val="0"/>
              <w:widowControl/>
              <w:kinsoku/>
              <w:wordWrap/>
              <w:overflowPunct/>
              <w:topLinePunct w:val="0"/>
              <w:autoSpaceDE/>
              <w:autoSpaceDN/>
              <w:bidi w:val="0"/>
              <w:adjustRightInd/>
              <w:snapToGrid/>
              <w:spacing w:after="0"/>
              <w:jc w:val="center"/>
              <w:textAlignment w:val="auto"/>
            </w:pPr>
            <w:r>
              <w:t>中</w:t>
            </w:r>
          </w:p>
        </w:tc>
      </w:tr>
      <w:tr w14:paraId="4BE0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6B01B7F5">
            <w:pPr>
              <w:keepNext w:val="0"/>
              <w:keepLines w:val="0"/>
              <w:pageBreakBefore w:val="0"/>
              <w:widowControl/>
              <w:kinsoku/>
              <w:wordWrap/>
              <w:overflowPunct/>
              <w:topLinePunct w:val="0"/>
              <w:autoSpaceDE/>
              <w:autoSpaceDN/>
              <w:bidi w:val="0"/>
              <w:adjustRightInd/>
              <w:snapToGrid/>
              <w:spacing w:after="0"/>
              <w:jc w:val="center"/>
              <w:textAlignment w:val="auto"/>
            </w:pPr>
            <w:r>
              <w:t>镍（Ni）</w:t>
            </w:r>
          </w:p>
        </w:tc>
        <w:tc>
          <w:tcPr>
            <w:tcW w:w="2078" w:type="dxa"/>
            <w:vAlign w:val="center"/>
          </w:tcPr>
          <w:p w14:paraId="588AC4B9">
            <w:pPr>
              <w:keepNext w:val="0"/>
              <w:keepLines w:val="0"/>
              <w:pageBreakBefore w:val="0"/>
              <w:widowControl/>
              <w:kinsoku/>
              <w:wordWrap/>
              <w:overflowPunct/>
              <w:topLinePunct w:val="0"/>
              <w:autoSpaceDE/>
              <w:autoSpaceDN/>
              <w:bidi w:val="0"/>
              <w:adjustRightInd/>
              <w:snapToGrid/>
              <w:spacing w:after="0"/>
              <w:jc w:val="center"/>
              <w:textAlignment w:val="auto"/>
            </w:pPr>
            <w:r>
              <w:t>部分管制</w:t>
            </w:r>
          </w:p>
        </w:tc>
        <w:tc>
          <w:tcPr>
            <w:tcW w:w="2078" w:type="dxa"/>
            <w:vAlign w:val="center"/>
          </w:tcPr>
          <w:p w14:paraId="00E20F5E">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6F26D8C7">
            <w:pPr>
              <w:keepNext w:val="0"/>
              <w:keepLines w:val="0"/>
              <w:pageBreakBefore w:val="0"/>
              <w:widowControl/>
              <w:kinsoku/>
              <w:wordWrap/>
              <w:overflowPunct/>
              <w:topLinePunct w:val="0"/>
              <w:autoSpaceDE/>
              <w:autoSpaceDN/>
              <w:bidi w:val="0"/>
              <w:adjustRightInd/>
              <w:snapToGrid/>
              <w:spacing w:after="0"/>
              <w:jc w:val="center"/>
              <w:textAlignment w:val="auto"/>
            </w:pPr>
            <w:r>
              <w:t>中低</w:t>
            </w:r>
          </w:p>
        </w:tc>
      </w:tr>
      <w:tr w14:paraId="0721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34388362">
            <w:pPr>
              <w:keepNext w:val="0"/>
              <w:keepLines w:val="0"/>
              <w:pageBreakBefore w:val="0"/>
              <w:widowControl/>
              <w:kinsoku/>
              <w:wordWrap/>
              <w:overflowPunct/>
              <w:topLinePunct w:val="0"/>
              <w:autoSpaceDE/>
              <w:autoSpaceDN/>
              <w:bidi w:val="0"/>
              <w:adjustRightInd/>
              <w:snapToGrid/>
              <w:spacing w:after="0"/>
              <w:jc w:val="center"/>
              <w:textAlignment w:val="auto"/>
            </w:pPr>
            <w:r>
              <w:t>钴（Co）</w:t>
            </w:r>
          </w:p>
        </w:tc>
        <w:tc>
          <w:tcPr>
            <w:tcW w:w="2078" w:type="dxa"/>
            <w:vAlign w:val="center"/>
          </w:tcPr>
          <w:p w14:paraId="3BCAC73C">
            <w:pPr>
              <w:keepNext w:val="0"/>
              <w:keepLines w:val="0"/>
              <w:pageBreakBefore w:val="0"/>
              <w:widowControl/>
              <w:kinsoku/>
              <w:wordWrap/>
              <w:overflowPunct/>
              <w:topLinePunct w:val="0"/>
              <w:autoSpaceDE/>
              <w:autoSpaceDN/>
              <w:bidi w:val="0"/>
              <w:adjustRightInd/>
              <w:snapToGrid/>
              <w:spacing w:after="0"/>
              <w:jc w:val="center"/>
              <w:textAlignment w:val="auto"/>
            </w:pPr>
            <w:r>
              <w:t>管制</w:t>
            </w:r>
          </w:p>
        </w:tc>
        <w:tc>
          <w:tcPr>
            <w:tcW w:w="2078" w:type="dxa"/>
            <w:vAlign w:val="center"/>
          </w:tcPr>
          <w:p w14:paraId="2AFD7904">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7A01055B">
            <w:pPr>
              <w:keepNext w:val="0"/>
              <w:keepLines w:val="0"/>
              <w:pageBreakBefore w:val="0"/>
              <w:widowControl/>
              <w:kinsoku/>
              <w:wordWrap/>
              <w:overflowPunct/>
              <w:topLinePunct w:val="0"/>
              <w:autoSpaceDE/>
              <w:autoSpaceDN/>
              <w:bidi w:val="0"/>
              <w:adjustRightInd/>
              <w:snapToGrid/>
              <w:spacing w:after="0"/>
              <w:jc w:val="center"/>
              <w:textAlignment w:val="auto"/>
            </w:pPr>
            <w:r>
              <w:t>中</w:t>
            </w:r>
          </w:p>
        </w:tc>
      </w:tr>
      <w:tr w14:paraId="11C5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1D4FADC8">
            <w:pPr>
              <w:keepNext w:val="0"/>
              <w:keepLines w:val="0"/>
              <w:pageBreakBefore w:val="0"/>
              <w:widowControl/>
              <w:kinsoku/>
              <w:wordWrap/>
              <w:overflowPunct/>
              <w:topLinePunct w:val="0"/>
              <w:autoSpaceDE/>
              <w:autoSpaceDN/>
              <w:bidi w:val="0"/>
              <w:adjustRightInd/>
              <w:snapToGrid/>
              <w:spacing w:after="0"/>
              <w:jc w:val="center"/>
              <w:textAlignment w:val="auto"/>
            </w:pPr>
            <w:r>
              <w:t>铬（Cr）</w:t>
            </w:r>
          </w:p>
        </w:tc>
        <w:tc>
          <w:tcPr>
            <w:tcW w:w="2078" w:type="dxa"/>
            <w:vAlign w:val="center"/>
          </w:tcPr>
          <w:p w14:paraId="62838D42">
            <w:pPr>
              <w:keepNext w:val="0"/>
              <w:keepLines w:val="0"/>
              <w:pageBreakBefore w:val="0"/>
              <w:widowControl/>
              <w:kinsoku/>
              <w:wordWrap/>
              <w:overflowPunct/>
              <w:topLinePunct w:val="0"/>
              <w:autoSpaceDE/>
              <w:autoSpaceDN/>
              <w:bidi w:val="0"/>
              <w:adjustRightInd/>
              <w:snapToGrid/>
              <w:spacing w:after="0"/>
              <w:jc w:val="center"/>
              <w:textAlignment w:val="auto"/>
            </w:pPr>
            <w:r>
              <w:t>非管制</w:t>
            </w:r>
          </w:p>
        </w:tc>
        <w:tc>
          <w:tcPr>
            <w:tcW w:w="2078" w:type="dxa"/>
            <w:vAlign w:val="center"/>
          </w:tcPr>
          <w:p w14:paraId="3EFC5E3D">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05A2A51A">
            <w:pPr>
              <w:keepNext w:val="0"/>
              <w:keepLines w:val="0"/>
              <w:pageBreakBefore w:val="0"/>
              <w:widowControl/>
              <w:kinsoku/>
              <w:wordWrap/>
              <w:overflowPunct/>
              <w:topLinePunct w:val="0"/>
              <w:autoSpaceDE/>
              <w:autoSpaceDN/>
              <w:bidi w:val="0"/>
              <w:adjustRightInd/>
              <w:snapToGrid/>
              <w:spacing w:after="0"/>
              <w:jc w:val="center"/>
              <w:textAlignment w:val="auto"/>
            </w:pPr>
            <w:r>
              <w:t>无</w:t>
            </w:r>
          </w:p>
        </w:tc>
      </w:tr>
      <w:tr w14:paraId="3577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09153BC1">
            <w:pPr>
              <w:keepNext w:val="0"/>
              <w:keepLines w:val="0"/>
              <w:pageBreakBefore w:val="0"/>
              <w:widowControl/>
              <w:kinsoku/>
              <w:wordWrap/>
              <w:overflowPunct/>
              <w:topLinePunct w:val="0"/>
              <w:autoSpaceDE/>
              <w:autoSpaceDN/>
              <w:bidi w:val="0"/>
              <w:adjustRightInd/>
              <w:snapToGrid/>
              <w:spacing w:after="0"/>
              <w:jc w:val="center"/>
              <w:textAlignment w:val="auto"/>
            </w:pPr>
            <w:r>
              <w:t>钛（Ti）</w:t>
            </w:r>
          </w:p>
        </w:tc>
        <w:tc>
          <w:tcPr>
            <w:tcW w:w="2078" w:type="dxa"/>
            <w:vAlign w:val="center"/>
          </w:tcPr>
          <w:p w14:paraId="6F4ED821">
            <w:pPr>
              <w:keepNext w:val="0"/>
              <w:keepLines w:val="0"/>
              <w:pageBreakBefore w:val="0"/>
              <w:widowControl/>
              <w:kinsoku/>
              <w:wordWrap/>
              <w:overflowPunct/>
              <w:topLinePunct w:val="0"/>
              <w:autoSpaceDE/>
              <w:autoSpaceDN/>
              <w:bidi w:val="0"/>
              <w:adjustRightInd/>
              <w:snapToGrid/>
              <w:spacing w:after="0"/>
              <w:jc w:val="center"/>
              <w:textAlignment w:val="auto"/>
            </w:pPr>
            <w:r>
              <w:t>部分管制</w:t>
            </w:r>
          </w:p>
        </w:tc>
        <w:tc>
          <w:tcPr>
            <w:tcW w:w="2078" w:type="dxa"/>
            <w:vAlign w:val="center"/>
          </w:tcPr>
          <w:p w14:paraId="3F90BCDE">
            <w:pPr>
              <w:keepNext w:val="0"/>
              <w:keepLines w:val="0"/>
              <w:pageBreakBefore w:val="0"/>
              <w:widowControl/>
              <w:kinsoku/>
              <w:wordWrap/>
              <w:overflowPunct/>
              <w:topLinePunct w:val="0"/>
              <w:autoSpaceDE/>
              <w:autoSpaceDN/>
              <w:bidi w:val="0"/>
              <w:adjustRightInd/>
              <w:snapToGrid/>
              <w:spacing w:after="0"/>
              <w:jc w:val="center"/>
              <w:textAlignment w:val="auto"/>
            </w:pPr>
            <w:r>
              <w:t>经营品种</w:t>
            </w:r>
          </w:p>
        </w:tc>
        <w:tc>
          <w:tcPr>
            <w:tcW w:w="2078" w:type="dxa"/>
            <w:vAlign w:val="center"/>
          </w:tcPr>
          <w:p w14:paraId="1B6C5854">
            <w:pPr>
              <w:keepNext w:val="0"/>
              <w:keepLines w:val="0"/>
              <w:pageBreakBefore w:val="0"/>
              <w:widowControl/>
              <w:kinsoku/>
              <w:wordWrap/>
              <w:overflowPunct/>
              <w:topLinePunct w:val="0"/>
              <w:autoSpaceDE/>
              <w:autoSpaceDN/>
              <w:bidi w:val="0"/>
              <w:adjustRightInd/>
              <w:snapToGrid/>
              <w:spacing w:after="0"/>
              <w:jc w:val="center"/>
              <w:textAlignment w:val="auto"/>
            </w:pPr>
            <w:r>
              <w:t>中低</w:t>
            </w:r>
          </w:p>
        </w:tc>
      </w:tr>
    </w:tbl>
    <w:p w14:paraId="1645D59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综合对比分析， YANO METALS的核心风险点</w:t>
      </w:r>
      <w:r>
        <w:rPr>
          <w:rFonts w:hint="eastAsia" w:ascii="Times New Roman" w:hAnsi="Times New Roman" w:eastAsia="方正仿宋_GBK"/>
          <w:kern w:val="2"/>
          <w:sz w:val="32"/>
          <w:szCs w:val="32"/>
          <w:lang w:val="en-US" w:eastAsia="zh-CN"/>
        </w:rPr>
        <w:t>在于其</w:t>
      </w:r>
      <w:r>
        <w:rPr>
          <w:rFonts w:hint="eastAsia" w:ascii="Times New Roman" w:hAnsi="Times New Roman" w:eastAsia="方正仿宋_GBK"/>
          <w:kern w:val="2"/>
          <w:sz w:val="32"/>
          <w:szCs w:val="32"/>
          <w:lang w:val="en-US" w:eastAsia="en-US"/>
        </w:rPr>
        <w:t>经营品种高度集中于中国管制的稀有金属品类。公司276亿日元的年销售额中，相当比例涉及上述管制物项。</w:t>
      </w:r>
    </w:p>
    <w:p w14:paraId="3B5557F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1" w:name="_Toc5439"/>
      <w:r>
        <w:rPr>
          <w:rFonts w:hint="eastAsia" w:ascii="Times New Roman" w:hAnsi="Times New Roman" w:eastAsia="方正仿宋_GBK"/>
          <w:kern w:val="2"/>
          <w:sz w:val="32"/>
          <w:szCs w:val="32"/>
          <w:lang w:val="en-US" w:eastAsia="zh-CN"/>
        </w:rPr>
        <w:t>2.转运路径可能性分析</w:t>
      </w:r>
      <w:bookmarkEnd w:id="71"/>
    </w:p>
    <w:p w14:paraId="2CFE6FD0">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作为稀有金属专业贸易商，YANO METALS在供应链中具有贸易商特有的灵活性，这既是其商业模式的核心，也是潜在的转运风险点。</w:t>
      </w:r>
    </w:p>
    <w:p w14:paraId="4AB4486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在直接转运风险</w:t>
      </w:r>
      <w:r>
        <w:rPr>
          <w:rFonts w:hint="eastAsia" w:ascii="Times New Roman" w:hAnsi="Times New Roman" w:eastAsia="方正仿宋_GBK"/>
          <w:kern w:val="2"/>
          <w:sz w:val="32"/>
          <w:szCs w:val="32"/>
          <w:lang w:val="en-US" w:eastAsia="zh-CN"/>
        </w:rPr>
        <w:t>方面，</w:t>
      </w:r>
      <w:r>
        <w:rPr>
          <w:rFonts w:hint="eastAsia" w:ascii="Times New Roman" w:hAnsi="Times New Roman" w:eastAsia="方正仿宋_GBK"/>
          <w:kern w:val="2"/>
          <w:sz w:val="32"/>
          <w:szCs w:val="32"/>
          <w:lang w:val="en-US" w:eastAsia="en-US"/>
        </w:rPr>
        <w:t>YANO METALS若从中国市场采购镓、锗、钨、钼等管制物项后，将这些材料转售给日本防卫产业关联企业（如IHI master metal、三菱制鋼、Proterial等），在2026年管制政策框架下可能面临合规挑战。尤其是当最终用户无法证明材料不用于军事用途时，贸易商需要承担尽职调查责任。</w:t>
      </w:r>
    </w:p>
    <w:p w14:paraId="26B7260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在间接转运风险</w:t>
      </w:r>
      <w:r>
        <w:rPr>
          <w:rFonts w:hint="eastAsia" w:ascii="Times New Roman" w:hAnsi="Times New Roman" w:eastAsia="方正仿宋_GBK"/>
          <w:kern w:val="2"/>
          <w:sz w:val="32"/>
          <w:szCs w:val="32"/>
          <w:lang w:val="en-US" w:eastAsia="zh-CN"/>
        </w:rPr>
        <w:t>方面，</w:t>
      </w:r>
      <w:r>
        <w:rPr>
          <w:rFonts w:hint="eastAsia" w:ascii="Times New Roman" w:hAnsi="Times New Roman" w:eastAsia="方正仿宋_GBK"/>
          <w:kern w:val="2"/>
          <w:sz w:val="32"/>
          <w:szCs w:val="32"/>
          <w:lang w:val="en-US" w:eastAsia="en-US"/>
        </w:rPr>
        <w:t>YANO METALS的客户群体涵盖众多防卫产业关联企业。在全球化供应链高度复杂的背景下，部分客户采购的材料可能通过多层供应链最终流向防卫领域。贸易商需要对最终用途保持审慎关注。</w:t>
      </w:r>
    </w:p>
    <w:p w14:paraId="1BFE59B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在</w:t>
      </w:r>
      <w:r>
        <w:rPr>
          <w:rFonts w:hint="eastAsia" w:ascii="Times New Roman" w:hAnsi="Times New Roman" w:eastAsia="方正仿宋_GBK"/>
          <w:kern w:val="2"/>
          <w:sz w:val="32"/>
          <w:szCs w:val="32"/>
          <w:lang w:val="en-US" w:eastAsia="en-US"/>
        </w:rPr>
        <w:t>历史合规记录</w:t>
      </w:r>
      <w:r>
        <w:rPr>
          <w:rFonts w:hint="eastAsia" w:ascii="Times New Roman" w:hAnsi="Times New Roman" w:eastAsia="方正仿宋_GBK"/>
          <w:kern w:val="2"/>
          <w:sz w:val="32"/>
          <w:szCs w:val="32"/>
          <w:lang w:val="en-US" w:eastAsia="zh-CN"/>
        </w:rPr>
        <w:t>方面，</w:t>
      </w:r>
      <w:r>
        <w:rPr>
          <w:rFonts w:hint="eastAsia" w:ascii="Times New Roman" w:hAnsi="Times New Roman" w:eastAsia="方正仿宋_GBK"/>
          <w:kern w:val="2"/>
          <w:sz w:val="32"/>
          <w:szCs w:val="32"/>
          <w:lang w:val="en-US" w:eastAsia="en-US"/>
        </w:rPr>
        <w:t xml:space="preserve"> 经公开信息检索，未发现YANO METALS涉及违规转运或出口管制品至军事用途的历史记录。</w:t>
      </w:r>
    </w:p>
    <w:p w14:paraId="36CAE22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在</w:t>
      </w:r>
      <w:r>
        <w:rPr>
          <w:rFonts w:hint="eastAsia" w:ascii="Times New Roman" w:hAnsi="Times New Roman" w:eastAsia="方正仿宋_GBK"/>
          <w:kern w:val="2"/>
          <w:sz w:val="32"/>
          <w:szCs w:val="32"/>
          <w:lang w:val="en-US" w:eastAsia="en-US"/>
        </w:rPr>
        <w:t>泰国子公司的影响</w:t>
      </w:r>
      <w:r>
        <w:rPr>
          <w:rFonts w:hint="eastAsia" w:ascii="Times New Roman" w:hAnsi="Times New Roman" w:eastAsia="方正仿宋_GBK"/>
          <w:kern w:val="2"/>
          <w:sz w:val="32"/>
          <w:szCs w:val="32"/>
          <w:lang w:val="en-US" w:eastAsia="zh-CN"/>
        </w:rPr>
        <w:t>方面，</w:t>
      </w:r>
      <w:r>
        <w:rPr>
          <w:rFonts w:hint="eastAsia" w:ascii="Times New Roman" w:hAnsi="Times New Roman" w:eastAsia="方正仿宋_GBK"/>
          <w:kern w:val="2"/>
          <w:sz w:val="32"/>
          <w:szCs w:val="32"/>
          <w:lang w:val="en-US" w:eastAsia="en-US"/>
        </w:rPr>
        <w:t>YANO METALS曾于2009年1月在泰国设立子公司ヤノメタルズ・タイランド，但该子公司已于2025年6月关闭。子公司的设立和关闭时点值得关注——设立时间恰逢全球稀土供应紧张期（2010年中国对日限制稀土出口事件后），关闭时间则在中国2026年对日管制升级前夕。这种时序关联可能反映公司对供应链风险的战略调整。</w:t>
      </w:r>
    </w:p>
    <w:p w14:paraId="7FDB16B8">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2"/>
        <w:rPr>
          <w:rFonts w:hint="eastAsia" w:ascii="Times New Roman" w:hAnsi="Times New Roman" w:eastAsia="方正仿宋_GBK"/>
          <w:kern w:val="2"/>
          <w:sz w:val="32"/>
          <w:szCs w:val="32"/>
          <w:lang w:val="en-US" w:eastAsia="zh-CN"/>
        </w:rPr>
      </w:pPr>
      <w:bookmarkStart w:id="72" w:name="_Toc13112"/>
      <w:r>
        <w:rPr>
          <w:rFonts w:hint="eastAsia" w:ascii="Times New Roman" w:hAnsi="Times New Roman" w:eastAsia="方正仿宋_GBK"/>
          <w:kern w:val="2"/>
          <w:sz w:val="32"/>
          <w:szCs w:val="32"/>
          <w:lang w:val="en-US" w:eastAsia="zh-CN"/>
        </w:rPr>
        <w:t>3.综合风险评估</w:t>
      </w:r>
      <w:bookmarkEnd w:id="7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9B5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F2F2F2"/>
            <w:vAlign w:val="center"/>
          </w:tcPr>
          <w:p w14:paraId="61AB6EEC">
            <w:pPr>
              <w:keepNext w:val="0"/>
              <w:keepLines w:val="0"/>
              <w:pageBreakBefore w:val="0"/>
              <w:widowControl/>
              <w:kinsoku/>
              <w:wordWrap/>
              <w:overflowPunct/>
              <w:topLinePunct w:val="0"/>
              <w:autoSpaceDE/>
              <w:autoSpaceDN/>
              <w:bidi w:val="0"/>
              <w:adjustRightInd/>
              <w:snapToGrid/>
              <w:spacing w:after="0"/>
              <w:jc w:val="center"/>
              <w:textAlignment w:val="auto"/>
            </w:pPr>
            <w:r>
              <w:rPr>
                <w:b/>
              </w:rPr>
              <w:t>风险因素</w:t>
            </w:r>
          </w:p>
        </w:tc>
        <w:tc>
          <w:tcPr>
            <w:tcW w:w="2771" w:type="dxa"/>
            <w:shd w:val="clear" w:color="auto" w:fill="F2F2F2"/>
            <w:vAlign w:val="center"/>
          </w:tcPr>
          <w:p w14:paraId="07A54E01">
            <w:pPr>
              <w:keepNext w:val="0"/>
              <w:keepLines w:val="0"/>
              <w:pageBreakBefore w:val="0"/>
              <w:widowControl/>
              <w:kinsoku/>
              <w:wordWrap/>
              <w:overflowPunct/>
              <w:topLinePunct w:val="0"/>
              <w:autoSpaceDE/>
              <w:autoSpaceDN/>
              <w:bidi w:val="0"/>
              <w:adjustRightInd/>
              <w:snapToGrid/>
              <w:spacing w:after="0"/>
              <w:jc w:val="center"/>
              <w:textAlignment w:val="auto"/>
            </w:pPr>
            <w:r>
              <w:rPr>
                <w:b/>
              </w:rPr>
              <w:t>评估</w:t>
            </w:r>
          </w:p>
        </w:tc>
        <w:tc>
          <w:tcPr>
            <w:tcW w:w="2771" w:type="dxa"/>
            <w:shd w:val="clear" w:color="auto" w:fill="F2F2F2"/>
            <w:vAlign w:val="center"/>
          </w:tcPr>
          <w:p w14:paraId="3C286448">
            <w:pPr>
              <w:keepNext w:val="0"/>
              <w:keepLines w:val="0"/>
              <w:pageBreakBefore w:val="0"/>
              <w:widowControl/>
              <w:kinsoku/>
              <w:wordWrap/>
              <w:overflowPunct/>
              <w:topLinePunct w:val="0"/>
              <w:autoSpaceDE/>
              <w:autoSpaceDN/>
              <w:bidi w:val="0"/>
              <w:adjustRightInd/>
              <w:snapToGrid/>
              <w:spacing w:after="0"/>
              <w:jc w:val="center"/>
              <w:textAlignment w:val="auto"/>
            </w:pPr>
            <w:r>
              <w:rPr>
                <w:b/>
              </w:rPr>
              <w:t>说明</w:t>
            </w:r>
          </w:p>
        </w:tc>
      </w:tr>
      <w:tr w14:paraId="34E8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02E55FCB">
            <w:pPr>
              <w:keepNext w:val="0"/>
              <w:keepLines w:val="0"/>
              <w:pageBreakBefore w:val="0"/>
              <w:widowControl/>
              <w:kinsoku/>
              <w:wordWrap/>
              <w:overflowPunct/>
              <w:topLinePunct w:val="0"/>
              <w:autoSpaceDE/>
              <w:autoSpaceDN/>
              <w:bidi w:val="0"/>
              <w:adjustRightInd/>
              <w:snapToGrid/>
              <w:spacing w:after="0"/>
              <w:jc w:val="center"/>
              <w:textAlignment w:val="auto"/>
            </w:pPr>
            <w:r>
              <w:t>经营品种敏感性</w:t>
            </w:r>
          </w:p>
        </w:tc>
        <w:tc>
          <w:tcPr>
            <w:tcW w:w="2771" w:type="dxa"/>
            <w:vAlign w:val="center"/>
          </w:tcPr>
          <w:p w14:paraId="2DDCBFF3">
            <w:pPr>
              <w:keepNext w:val="0"/>
              <w:keepLines w:val="0"/>
              <w:pageBreakBefore w:val="0"/>
              <w:widowControl/>
              <w:kinsoku/>
              <w:wordWrap/>
              <w:overflowPunct/>
              <w:topLinePunct w:val="0"/>
              <w:autoSpaceDE/>
              <w:autoSpaceDN/>
              <w:bidi w:val="0"/>
              <w:adjustRightInd/>
              <w:snapToGrid/>
              <w:spacing w:after="0"/>
              <w:jc w:val="center"/>
              <w:textAlignment w:val="auto"/>
            </w:pPr>
            <w:r>
              <w:t>高</w:t>
            </w:r>
          </w:p>
        </w:tc>
        <w:tc>
          <w:tcPr>
            <w:tcW w:w="2771" w:type="dxa"/>
            <w:vAlign w:val="center"/>
          </w:tcPr>
          <w:p w14:paraId="6887A258">
            <w:pPr>
              <w:keepNext w:val="0"/>
              <w:keepLines w:val="0"/>
              <w:pageBreakBefore w:val="0"/>
              <w:widowControl/>
              <w:kinsoku/>
              <w:wordWrap/>
              <w:overflowPunct/>
              <w:topLinePunct w:val="0"/>
              <w:autoSpaceDE/>
              <w:autoSpaceDN/>
              <w:bidi w:val="0"/>
              <w:adjustRightInd/>
              <w:snapToGrid/>
              <w:spacing w:after="0"/>
              <w:jc w:val="center"/>
              <w:textAlignment w:val="auto"/>
            </w:pPr>
            <w:r>
              <w:t>钨、钼、钛、镓等均为军民两用关键材料</w:t>
            </w:r>
          </w:p>
        </w:tc>
      </w:tr>
      <w:tr w14:paraId="0C53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455A5EA6">
            <w:pPr>
              <w:keepNext w:val="0"/>
              <w:keepLines w:val="0"/>
              <w:pageBreakBefore w:val="0"/>
              <w:widowControl/>
              <w:kinsoku/>
              <w:wordWrap/>
              <w:overflowPunct/>
              <w:topLinePunct w:val="0"/>
              <w:autoSpaceDE/>
              <w:autoSpaceDN/>
              <w:bidi w:val="0"/>
              <w:adjustRightInd/>
              <w:snapToGrid/>
              <w:spacing w:after="0"/>
              <w:jc w:val="center"/>
              <w:textAlignment w:val="auto"/>
            </w:pPr>
            <w:r>
              <w:t>贸易规模</w:t>
            </w:r>
          </w:p>
        </w:tc>
        <w:tc>
          <w:tcPr>
            <w:tcW w:w="2771" w:type="dxa"/>
            <w:vAlign w:val="center"/>
          </w:tcPr>
          <w:p w14:paraId="5F01E704">
            <w:pPr>
              <w:keepNext w:val="0"/>
              <w:keepLines w:val="0"/>
              <w:pageBreakBefore w:val="0"/>
              <w:widowControl/>
              <w:kinsoku/>
              <w:wordWrap/>
              <w:overflowPunct/>
              <w:topLinePunct w:val="0"/>
              <w:autoSpaceDE/>
              <w:autoSpaceDN/>
              <w:bidi w:val="0"/>
              <w:adjustRightInd/>
              <w:snapToGrid/>
              <w:spacing w:after="0"/>
              <w:jc w:val="center"/>
              <w:textAlignment w:val="auto"/>
            </w:pPr>
            <w:r>
              <w:t>276亿日元（中高规模）</w:t>
            </w:r>
          </w:p>
        </w:tc>
        <w:tc>
          <w:tcPr>
            <w:tcW w:w="2771" w:type="dxa"/>
            <w:vAlign w:val="center"/>
          </w:tcPr>
          <w:p w14:paraId="022B96EB">
            <w:pPr>
              <w:keepNext w:val="0"/>
              <w:keepLines w:val="0"/>
              <w:pageBreakBefore w:val="0"/>
              <w:widowControl/>
              <w:kinsoku/>
              <w:wordWrap/>
              <w:overflowPunct/>
              <w:topLinePunct w:val="0"/>
              <w:autoSpaceDE/>
              <w:autoSpaceDN/>
              <w:bidi w:val="0"/>
              <w:adjustRightInd/>
              <w:snapToGrid/>
              <w:spacing w:after="0"/>
              <w:jc w:val="center"/>
              <w:textAlignment w:val="auto"/>
            </w:pPr>
            <w:r>
              <w:t>在同业中属中等规模</w:t>
            </w:r>
          </w:p>
        </w:tc>
      </w:tr>
      <w:tr w14:paraId="7BDB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0FF6D1AC">
            <w:pPr>
              <w:keepNext w:val="0"/>
              <w:keepLines w:val="0"/>
              <w:pageBreakBefore w:val="0"/>
              <w:widowControl/>
              <w:kinsoku/>
              <w:wordWrap/>
              <w:overflowPunct/>
              <w:topLinePunct w:val="0"/>
              <w:autoSpaceDE/>
              <w:autoSpaceDN/>
              <w:bidi w:val="0"/>
              <w:adjustRightInd/>
              <w:snapToGrid/>
              <w:spacing w:after="0"/>
              <w:jc w:val="center"/>
              <w:textAlignment w:val="auto"/>
            </w:pPr>
            <w:r>
              <w:t>监管历史</w:t>
            </w:r>
          </w:p>
        </w:tc>
        <w:tc>
          <w:tcPr>
            <w:tcW w:w="2771" w:type="dxa"/>
            <w:vAlign w:val="center"/>
          </w:tcPr>
          <w:p w14:paraId="780CDFE4">
            <w:pPr>
              <w:keepNext w:val="0"/>
              <w:keepLines w:val="0"/>
              <w:pageBreakBefore w:val="0"/>
              <w:widowControl/>
              <w:kinsoku/>
              <w:wordWrap/>
              <w:overflowPunct/>
              <w:topLinePunct w:val="0"/>
              <w:autoSpaceDE/>
              <w:autoSpaceDN/>
              <w:bidi w:val="0"/>
              <w:adjustRightInd/>
              <w:snapToGrid/>
              <w:spacing w:after="0"/>
              <w:jc w:val="center"/>
              <w:textAlignment w:val="auto"/>
            </w:pPr>
            <w:r>
              <w:t>未查询到违规记录</w:t>
            </w:r>
          </w:p>
        </w:tc>
        <w:tc>
          <w:tcPr>
            <w:tcW w:w="2771" w:type="dxa"/>
            <w:vAlign w:val="center"/>
          </w:tcPr>
          <w:p w14:paraId="64E4A0BE">
            <w:pPr>
              <w:keepNext w:val="0"/>
              <w:keepLines w:val="0"/>
              <w:pageBreakBefore w:val="0"/>
              <w:widowControl/>
              <w:kinsoku/>
              <w:wordWrap/>
              <w:overflowPunct/>
              <w:topLinePunct w:val="0"/>
              <w:autoSpaceDE/>
              <w:autoSpaceDN/>
              <w:bidi w:val="0"/>
              <w:adjustRightInd/>
              <w:snapToGrid/>
              <w:spacing w:after="0"/>
              <w:jc w:val="center"/>
              <w:textAlignment w:val="auto"/>
            </w:pPr>
            <w:r>
              <w:t>经营50年无重大违规</w:t>
            </w:r>
          </w:p>
        </w:tc>
      </w:tr>
      <w:tr w14:paraId="3EF5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173716A7">
            <w:pPr>
              <w:keepNext w:val="0"/>
              <w:keepLines w:val="0"/>
              <w:pageBreakBefore w:val="0"/>
              <w:widowControl/>
              <w:kinsoku/>
              <w:wordWrap/>
              <w:overflowPunct/>
              <w:topLinePunct w:val="0"/>
              <w:autoSpaceDE/>
              <w:autoSpaceDN/>
              <w:bidi w:val="0"/>
              <w:adjustRightInd/>
              <w:snapToGrid/>
              <w:spacing w:after="0"/>
              <w:jc w:val="center"/>
              <w:textAlignment w:val="auto"/>
            </w:pPr>
            <w:r>
              <w:t>客户覆盖防卫产业</w:t>
            </w:r>
          </w:p>
        </w:tc>
        <w:tc>
          <w:tcPr>
            <w:tcW w:w="2771" w:type="dxa"/>
            <w:vAlign w:val="center"/>
          </w:tcPr>
          <w:p w14:paraId="295457AA">
            <w:pPr>
              <w:keepNext w:val="0"/>
              <w:keepLines w:val="0"/>
              <w:pageBreakBefore w:val="0"/>
              <w:widowControl/>
              <w:kinsoku/>
              <w:wordWrap/>
              <w:overflowPunct/>
              <w:topLinePunct w:val="0"/>
              <w:autoSpaceDE/>
              <w:autoSpaceDN/>
              <w:bidi w:val="0"/>
              <w:adjustRightInd/>
              <w:snapToGrid/>
              <w:spacing w:after="0"/>
              <w:jc w:val="center"/>
              <w:textAlignment w:val="auto"/>
            </w:pPr>
            <w:r>
              <w:t>是（IHI master metal、三菱制鋼、Proterial）</w:t>
            </w:r>
          </w:p>
        </w:tc>
        <w:tc>
          <w:tcPr>
            <w:tcW w:w="2771" w:type="dxa"/>
            <w:vAlign w:val="center"/>
          </w:tcPr>
          <w:p w14:paraId="049C21D4">
            <w:pPr>
              <w:keepNext w:val="0"/>
              <w:keepLines w:val="0"/>
              <w:pageBreakBefore w:val="0"/>
              <w:widowControl/>
              <w:kinsoku/>
              <w:wordWrap/>
              <w:overflowPunct/>
              <w:topLinePunct w:val="0"/>
              <w:autoSpaceDE/>
              <w:autoSpaceDN/>
              <w:bidi w:val="0"/>
              <w:adjustRightInd/>
              <w:snapToGrid/>
              <w:spacing w:after="0"/>
              <w:jc w:val="center"/>
              <w:textAlignment w:val="auto"/>
            </w:pPr>
            <w:r>
              <w:t>核心客户均为防卫关联企业</w:t>
            </w:r>
          </w:p>
        </w:tc>
      </w:tr>
      <w:tr w14:paraId="73C7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2B858109">
            <w:pPr>
              <w:keepNext w:val="0"/>
              <w:keepLines w:val="0"/>
              <w:pageBreakBefore w:val="0"/>
              <w:widowControl/>
              <w:kinsoku/>
              <w:wordWrap/>
              <w:overflowPunct/>
              <w:topLinePunct w:val="0"/>
              <w:autoSpaceDE/>
              <w:autoSpaceDN/>
              <w:bidi w:val="0"/>
              <w:adjustRightInd/>
              <w:snapToGrid/>
              <w:spacing w:after="0"/>
              <w:jc w:val="center"/>
              <w:textAlignment w:val="auto"/>
            </w:pPr>
            <w:r>
              <w:t>在华采购依存度</w:t>
            </w:r>
          </w:p>
        </w:tc>
        <w:tc>
          <w:tcPr>
            <w:tcW w:w="2771" w:type="dxa"/>
            <w:vAlign w:val="center"/>
          </w:tcPr>
          <w:p w14:paraId="2B011A03">
            <w:pPr>
              <w:keepNext w:val="0"/>
              <w:keepLines w:val="0"/>
              <w:pageBreakBefore w:val="0"/>
              <w:widowControl/>
              <w:kinsoku/>
              <w:wordWrap/>
              <w:overflowPunct/>
              <w:topLinePunct w:val="0"/>
              <w:autoSpaceDE/>
              <w:autoSpaceDN/>
              <w:bidi w:val="0"/>
              <w:adjustRightInd/>
              <w:snapToGrid/>
              <w:spacing w:after="0"/>
              <w:jc w:val="center"/>
              <w:textAlignment w:val="auto"/>
            </w:pPr>
            <w:r>
              <w:t>不明（高可能性）</w:t>
            </w:r>
          </w:p>
        </w:tc>
        <w:tc>
          <w:tcPr>
            <w:tcW w:w="2771" w:type="dxa"/>
            <w:vAlign w:val="center"/>
          </w:tcPr>
          <w:p w14:paraId="6247609E">
            <w:pPr>
              <w:keepNext w:val="0"/>
              <w:keepLines w:val="0"/>
              <w:pageBreakBefore w:val="0"/>
              <w:widowControl/>
              <w:kinsoku/>
              <w:wordWrap/>
              <w:overflowPunct/>
              <w:topLinePunct w:val="0"/>
              <w:autoSpaceDE/>
              <w:autoSpaceDN/>
              <w:bidi w:val="0"/>
              <w:adjustRightInd/>
              <w:snapToGrid/>
              <w:spacing w:after="0"/>
              <w:jc w:val="center"/>
              <w:textAlignment w:val="auto"/>
            </w:pPr>
            <w:r>
              <w:t>作为专业贸易商，中国是主要采购来源地之一</w:t>
            </w:r>
          </w:p>
        </w:tc>
      </w:tr>
      <w:tr w14:paraId="0D6D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vAlign w:val="center"/>
          </w:tcPr>
          <w:p w14:paraId="36467066">
            <w:pPr>
              <w:keepNext w:val="0"/>
              <w:keepLines w:val="0"/>
              <w:pageBreakBefore w:val="0"/>
              <w:widowControl/>
              <w:kinsoku/>
              <w:wordWrap/>
              <w:overflowPunct/>
              <w:topLinePunct w:val="0"/>
              <w:autoSpaceDE/>
              <w:autoSpaceDN/>
              <w:bidi w:val="0"/>
              <w:adjustRightInd/>
              <w:snapToGrid/>
              <w:spacing w:after="0"/>
              <w:jc w:val="center"/>
              <w:textAlignment w:val="auto"/>
            </w:pPr>
            <w:r>
              <w:t>中国管制名单状态</w:t>
            </w:r>
          </w:p>
        </w:tc>
        <w:tc>
          <w:tcPr>
            <w:tcW w:w="2771" w:type="dxa"/>
            <w:vAlign w:val="center"/>
          </w:tcPr>
          <w:p w14:paraId="56F9D39C">
            <w:pPr>
              <w:keepNext w:val="0"/>
              <w:keepLines w:val="0"/>
              <w:pageBreakBefore w:val="0"/>
              <w:widowControl/>
              <w:kinsoku/>
              <w:wordWrap/>
              <w:overflowPunct/>
              <w:topLinePunct w:val="0"/>
              <w:autoSpaceDE/>
              <w:autoSpaceDN/>
              <w:bidi w:val="0"/>
              <w:adjustRightInd/>
              <w:snapToGrid/>
              <w:spacing w:after="0"/>
              <w:jc w:val="center"/>
              <w:textAlignment w:val="auto"/>
            </w:pPr>
            <w:r>
              <w:t>未列入</w:t>
            </w:r>
          </w:p>
        </w:tc>
        <w:tc>
          <w:tcPr>
            <w:tcW w:w="2771" w:type="dxa"/>
            <w:vAlign w:val="center"/>
          </w:tcPr>
          <w:p w14:paraId="3E915270">
            <w:pPr>
              <w:keepNext w:val="0"/>
              <w:keepLines w:val="0"/>
              <w:pageBreakBefore w:val="0"/>
              <w:widowControl/>
              <w:kinsoku/>
              <w:wordWrap/>
              <w:overflowPunct/>
              <w:topLinePunct w:val="0"/>
              <w:autoSpaceDE/>
              <w:autoSpaceDN/>
              <w:bidi w:val="0"/>
              <w:adjustRightInd/>
              <w:snapToGrid/>
              <w:spacing w:after="0"/>
              <w:jc w:val="center"/>
              <w:textAlignment w:val="auto"/>
            </w:pPr>
            <w:r>
              <w:t>暂不受直接管制约束</w:t>
            </w:r>
          </w:p>
        </w:tc>
      </w:tr>
    </w:tbl>
    <w:p w14:paraId="659677E4">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从转运风险评估结论来看，YANO METALS经营的稀有金属品种高度集中于中国对日管制物项清单。公司与防卫产业核心企业存在密切的供应关系。尽管目前未被列入中国管制名单，但公司的经营活动面临较高的政策敏感性和合规风险。</w:t>
      </w:r>
    </w:p>
    <w:p w14:paraId="41F88DEF">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从企业风险画像来看，YANO METALS的核心风险在于其经营的钨、钼、镓、锗等金属是日本防卫产业的关键原材料。在中国实施严格出口管制的背景下，YANO METALS获取这些材料的渠道可能收窄，同时其向下游防卫关联企业的供应也可能受到更严格的审查。建议持续关注公司的供应链调整动态和合规政策执行情况。</w:t>
      </w:r>
    </w:p>
    <w:p w14:paraId="5C4E0BF2">
      <w:pPr>
        <w:pStyle w:val="4"/>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640" w:firstLineChars="200"/>
        <w:jc w:val="both"/>
        <w:textAlignment w:val="auto"/>
        <w:outlineLvl w:val="0"/>
        <w:rPr>
          <w:rFonts w:hint="eastAsia" w:ascii="Segoe UI" w:hAnsi="Segoe UI" w:eastAsia="Segoe UI" w:cs="Segoe UI"/>
          <w:b/>
          <w:bCs/>
          <w:i w:val="0"/>
          <w:iCs w:val="0"/>
          <w:caps w:val="0"/>
          <w:color w:val="auto"/>
          <w:spacing w:val="0"/>
          <w:kern w:val="2"/>
          <w:sz w:val="32"/>
          <w:szCs w:val="32"/>
          <w:shd w:val="clear" w:fill="FFFFFF"/>
          <w:lang w:val="en-US" w:eastAsia="zh-CN" w:bidi="ar-SA"/>
        </w:rPr>
      </w:pPr>
      <w:bookmarkStart w:id="73" w:name="_Toc31135"/>
      <w:bookmarkStart w:id="74" w:name="_Toc13026"/>
      <w:r>
        <w:rPr>
          <w:rFonts w:hint="eastAsia" w:ascii="Segoe UI" w:hAnsi="Segoe UI" w:eastAsia="Segoe UI" w:cs="Segoe UI"/>
          <w:b/>
          <w:bCs/>
          <w:i w:val="0"/>
          <w:iCs w:val="0"/>
          <w:caps w:val="0"/>
          <w:color w:val="auto"/>
          <w:spacing w:val="0"/>
          <w:kern w:val="2"/>
          <w:sz w:val="32"/>
          <w:szCs w:val="32"/>
          <w:shd w:val="clear" w:fill="FFFFFF"/>
          <w:lang w:val="en-US" w:eastAsia="zh-CN" w:bidi="ar-SA"/>
        </w:rPr>
        <w:t>四、中国对日出口管制政策背景综合分析</w:t>
      </w:r>
      <w:bookmarkEnd w:id="73"/>
      <w:bookmarkEnd w:id="74"/>
    </w:p>
    <w:p w14:paraId="6F7710F8">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75" w:name="_Toc8295"/>
      <w:bookmarkStart w:id="76" w:name="_Toc31524"/>
      <w:r>
        <w:rPr>
          <w:rFonts w:hint="eastAsia" w:ascii="Times New Roman" w:hAnsi="Times New Roman" w:eastAsia="黑体" w:cs="黑体"/>
          <w:b w:val="0"/>
          <w:bCs w:val="0"/>
          <w:color w:val="auto"/>
          <w:kern w:val="0"/>
          <w:sz w:val="32"/>
          <w:szCs w:val="32"/>
          <w:lang w:val="en-US" w:eastAsia="zh-CN" w:bidi="ar"/>
        </w:rPr>
        <w:t>（一）政策演进与最新动态</w:t>
      </w:r>
      <w:bookmarkEnd w:id="75"/>
      <w:bookmarkEnd w:id="76"/>
    </w:p>
    <w:p w14:paraId="145D440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中国对日本的两用物项出口管制经历了一个逐步升级的过程，这一过程与日本推进</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再军事化</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的政策轨迹高度吻合。</w:t>
      </w:r>
    </w:p>
    <w:p w14:paraId="1FA06342">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2026年1月6日，中国商务部正式发布2026年第1号公告，宣布对日出口管制全面升级。公告明确三点核心要求：一是禁止所有两用物项对日本军事用户出口；二是禁止所有两用物项对日本军事用途出口；三是禁止所有两用物项对一切有助于提升日本军事实力的其他最终用户用途出口。公告措辞严厉，明确任何国家和地区的组织和个人，若违反规定将中国原产物项转移或提供给日本相关主体，将被依法追究法律责任。该公告无过渡期，自公布之日起实施。</w:t>
      </w:r>
    </w:p>
    <w:p w14:paraId="797BBE8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2026年2月24日商务部接连发布第11号与第12号公告</w:t>
      </w:r>
      <w:r>
        <w:rPr>
          <w:rFonts w:hint="eastAsia" w:ascii="Times New Roman" w:hAnsi="Times New Roman" w:eastAsia="方正仿宋_GBK"/>
          <w:kern w:val="2"/>
          <w:sz w:val="32"/>
          <w:szCs w:val="32"/>
          <w:lang w:val="en-US" w:eastAsia="zh-CN"/>
        </w:rPr>
        <w:t>。</w:t>
      </w:r>
      <w:r>
        <w:rPr>
          <w:rFonts w:hint="eastAsia" w:ascii="Times New Roman" w:hAnsi="Times New Roman" w:eastAsia="方正仿宋_GBK"/>
          <w:kern w:val="2"/>
          <w:sz w:val="32"/>
          <w:szCs w:val="32"/>
          <w:lang w:val="en-US" w:eastAsia="en-US"/>
        </w:rPr>
        <w:t>商务部公告2026年第11号将20家日本实体列入管控名单，包括：三菱造船株式会社、川崎重工航空宇宙系统公司、三菱重工航空发动机株式会社、三菱重工海洋机械株式会社、三菱重工发动机与涡轮增压器株式会社、三菱重工海事系统株式会社（以上三菱系6家）、IHI宇航株式会社、IHI Star Ltd.、IHI航空航天服务株式会社、IHI机械动力株式会社、IHI原动机株式会社、IHIihi-Aerospace Co., Ltd.（以上IHI系6家）、NEC网络传感器株式会社、NEC航空航天系统株式会社（NEC系2家）、日本海洋联合株式会社（JMU）、富士通防卫与国家安全株式会社、防卫大学、JAXA（日本宇宙航空研究开发机构）等。商务部公告2026年第12号将20家日本实体列入关注名单，包括斯巴鲁株式会社（ Subaru）等。</w:t>
      </w:r>
    </w:p>
    <w:p w14:paraId="4596EF30">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77" w:name="_Toc11629"/>
      <w:bookmarkStart w:id="78" w:name="_Toc5974"/>
      <w:r>
        <w:rPr>
          <w:rFonts w:hint="eastAsia" w:ascii="Times New Roman" w:hAnsi="Times New Roman" w:eastAsia="黑体" w:cs="黑体"/>
          <w:b w:val="0"/>
          <w:bCs w:val="0"/>
          <w:color w:val="auto"/>
          <w:kern w:val="0"/>
          <w:sz w:val="32"/>
          <w:szCs w:val="32"/>
          <w:lang w:val="en-US" w:eastAsia="zh-CN" w:bidi="ar"/>
        </w:rPr>
        <w:t>（二）日本防卫产业的稀土依赖结构</w:t>
      </w:r>
      <w:bookmarkEnd w:id="77"/>
      <w:bookmarkEnd w:id="78"/>
    </w:p>
    <w:p w14:paraId="53093DF1">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从整体进口依赖层面分析，根据日本经济产业省数据，2024年日本稀土进口总量的71.9%来自中国。尽管2010年钓鱼岛事件后日本持续推进供应多元化，但中国在稀土供应链中的主导地位并未根本改变。</w:t>
      </w:r>
    </w:p>
    <w:p w14:paraId="23CEE51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聚焦重稀土细分领域，镝（Dy）、铽（Tb）等重稀土元素，日本对其依赖度接近100%。这些元素是制造耐高温钕铁硼永磁体的关键添加剂，后者是导弹制导电机、军用雷达驱动马达、战机飞控系统等军事装备的核心部件。</w:t>
      </w:r>
    </w:p>
    <w:p w14:paraId="665F561D">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在产业链核心技术层面，中国不仅控制稀土矿源，更垄断了稀土冶炼和分离技术。全球重稀土分离提纯产能中，中国占比高达98.7%；轻稀土高纯加工份额同样稳居90%以上。这意味着即使日本从澳大利亚、越南等国采购稀土矿，最终仍需运往中国进行精炼加工。</w:t>
      </w:r>
    </w:p>
    <w:p w14:paraId="7F1F5AB9">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zh-CN"/>
        </w:rPr>
        <w:t>以下是各</w:t>
      </w:r>
      <w:r>
        <w:rPr>
          <w:rFonts w:hint="eastAsia" w:ascii="Times New Roman" w:hAnsi="Times New Roman" w:eastAsia="方正仿宋_GBK"/>
          <w:kern w:val="2"/>
          <w:sz w:val="32"/>
          <w:szCs w:val="32"/>
          <w:lang w:val="en-US" w:eastAsia="en-US"/>
        </w:rPr>
        <w:t>类管制物项的军事应用</w:t>
      </w:r>
      <w:r>
        <w:rPr>
          <w:rFonts w:hint="eastAsia" w:ascii="Times New Roman" w:hAnsi="Times New Roman" w:eastAsia="方正仿宋_GBK"/>
          <w:kern w:val="2"/>
          <w:sz w:val="32"/>
          <w:szCs w:val="32"/>
          <w:lang w:val="en-US" w:eastAsia="zh-CN"/>
        </w:rPr>
        <w:t>情况</w:t>
      </w:r>
      <w:r>
        <w:rPr>
          <w:rFonts w:hint="eastAsia" w:ascii="Times New Roman" w:hAnsi="Times New Roman" w:eastAsia="方正仿宋_GBK"/>
          <w:kern w:val="2"/>
          <w:sz w:val="32"/>
          <w:szCs w:val="32"/>
          <w:lang w:val="en-US" w:eastAsia="en-US"/>
        </w:rPr>
        <w:t>：</w:t>
      </w:r>
    </w:p>
    <w:p w14:paraId="3166033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镓和锗——半导体工业的关键：镓用于制造氮化镓（GaN）半导体，后者是先进相控阵雷达TR组件的核心材料，日本宙斯盾舰的AN/SPY系列雷达高度依赖GaN技术。锗用于红外探测器和夜视设备，是精确制导导弹导引头的关键材料。</w:t>
      </w:r>
    </w:p>
    <w:p w14:paraId="35C3CD56">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钨——穿甲弹和高温合金：钨的高熔点、高硬度特性使其成为穿甲弹的理想材料；钨基涂层可提高航空发动机叶片在极端高温环境下的耐久性。</w:t>
      </w:r>
    </w:p>
    <w:p w14:paraId="69AE2EA7">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钇——热障涂层：氧化钇稳定的氧化锆热障涂层（TBC）是航空发动机涡轮叶片的保护层，可承受1,300℃以上高温，直接影响发动机寿命和性能。日本F-2改进型战机和参与研发的第六代战机（GCAP项目）均依赖钇基涂层材料。</w:t>
      </w:r>
    </w:p>
    <w:p w14:paraId="77301A63">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r>
        <w:rPr>
          <w:rFonts w:hint="eastAsia" w:ascii="Times New Roman" w:hAnsi="Times New Roman" w:eastAsia="方正仿宋_GBK"/>
          <w:kern w:val="2"/>
          <w:sz w:val="32"/>
          <w:szCs w:val="32"/>
          <w:lang w:val="en-US" w:eastAsia="en-US"/>
        </w:rPr>
        <w:t>铽、镝——永磁体性能增强剂：这些重稀土元素添加到钕铁硼磁体中，可显著提高磁材的高温抗退磁性能，是军用电机和雷达系统的关键材料。</w:t>
      </w:r>
    </w:p>
    <w:p w14:paraId="43A1A5EA">
      <w:pPr>
        <w:pStyle w:val="5"/>
        <w:keepNext w:val="0"/>
        <w:keepLines w:val="0"/>
        <w:pageBreakBefore w:val="0"/>
        <w:widowControl w:val="0"/>
        <w:numPr>
          <w:ilvl w:val="0"/>
          <w:numId w:val="0"/>
        </w:numPr>
        <w:kinsoku/>
        <w:wordWrap w:val="0"/>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eastAsia" w:ascii="Times New Roman" w:hAnsi="Times New Roman" w:eastAsia="黑体" w:cs="黑体"/>
          <w:b w:val="0"/>
          <w:bCs w:val="0"/>
          <w:color w:val="auto"/>
          <w:kern w:val="0"/>
          <w:sz w:val="32"/>
          <w:szCs w:val="32"/>
          <w:lang w:val="en-US" w:eastAsia="zh-CN" w:bidi="ar"/>
        </w:rPr>
      </w:pPr>
      <w:bookmarkStart w:id="79" w:name="_Toc1226"/>
      <w:bookmarkStart w:id="80" w:name="_Toc17329"/>
      <w:r>
        <w:rPr>
          <w:rFonts w:hint="eastAsia" w:ascii="Times New Roman" w:hAnsi="Times New Roman" w:eastAsia="黑体" w:cs="黑体"/>
          <w:b w:val="0"/>
          <w:bCs w:val="0"/>
          <w:color w:val="auto"/>
          <w:kern w:val="0"/>
          <w:sz w:val="32"/>
          <w:szCs w:val="32"/>
          <w:lang w:val="en-US" w:eastAsia="zh-CN" w:bidi="ar"/>
        </w:rPr>
        <w:t>（三）本次调研企业与管制物项清单对照</w:t>
      </w:r>
      <w:bookmarkEnd w:id="79"/>
      <w:bookmarkEnd w:id="8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C69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shd w:val="clear" w:color="auto" w:fill="F2F2F2"/>
            <w:vAlign w:val="center"/>
          </w:tcPr>
          <w:p w14:paraId="48583A2D">
            <w:pPr>
              <w:keepNext w:val="0"/>
              <w:keepLines w:val="0"/>
              <w:pageBreakBefore w:val="0"/>
              <w:widowControl/>
              <w:kinsoku/>
              <w:wordWrap/>
              <w:overflowPunct/>
              <w:topLinePunct w:val="0"/>
              <w:autoSpaceDE/>
              <w:autoSpaceDN/>
              <w:bidi w:val="0"/>
              <w:adjustRightInd/>
              <w:snapToGrid/>
              <w:spacing w:after="0"/>
              <w:jc w:val="center"/>
              <w:textAlignment w:val="auto"/>
            </w:pPr>
            <w:r>
              <w:rPr>
                <w:b/>
              </w:rPr>
              <w:t>企业名称</w:t>
            </w:r>
          </w:p>
        </w:tc>
        <w:tc>
          <w:tcPr>
            <w:tcW w:w="2078" w:type="dxa"/>
            <w:shd w:val="clear" w:color="auto" w:fill="F2F2F2"/>
            <w:vAlign w:val="center"/>
          </w:tcPr>
          <w:p w14:paraId="2A9ECE16">
            <w:pPr>
              <w:keepNext w:val="0"/>
              <w:keepLines w:val="0"/>
              <w:pageBreakBefore w:val="0"/>
              <w:widowControl/>
              <w:kinsoku/>
              <w:wordWrap/>
              <w:overflowPunct/>
              <w:topLinePunct w:val="0"/>
              <w:autoSpaceDE/>
              <w:autoSpaceDN/>
              <w:bidi w:val="0"/>
              <w:adjustRightInd/>
              <w:snapToGrid/>
              <w:spacing w:after="0"/>
              <w:jc w:val="center"/>
              <w:textAlignment w:val="auto"/>
            </w:pPr>
            <w:r>
              <w:rPr>
                <w:b/>
              </w:rPr>
              <w:t>主要管制物项经营</w:t>
            </w:r>
          </w:p>
        </w:tc>
        <w:tc>
          <w:tcPr>
            <w:tcW w:w="2078" w:type="dxa"/>
            <w:shd w:val="clear" w:color="auto" w:fill="F2F2F2"/>
            <w:vAlign w:val="center"/>
          </w:tcPr>
          <w:p w14:paraId="681F43A7">
            <w:pPr>
              <w:keepNext w:val="0"/>
              <w:keepLines w:val="0"/>
              <w:pageBreakBefore w:val="0"/>
              <w:widowControl/>
              <w:kinsoku/>
              <w:wordWrap/>
              <w:overflowPunct/>
              <w:topLinePunct w:val="0"/>
              <w:autoSpaceDE/>
              <w:autoSpaceDN/>
              <w:bidi w:val="0"/>
              <w:adjustRightInd/>
              <w:snapToGrid/>
              <w:spacing w:after="0"/>
              <w:jc w:val="center"/>
              <w:textAlignment w:val="auto"/>
            </w:pPr>
            <w:r>
              <w:rPr>
                <w:b/>
              </w:rPr>
              <w:t>防卫产业关联</w:t>
            </w:r>
          </w:p>
        </w:tc>
        <w:tc>
          <w:tcPr>
            <w:tcW w:w="2078" w:type="dxa"/>
            <w:shd w:val="clear" w:color="auto" w:fill="F2F2F2"/>
            <w:vAlign w:val="center"/>
          </w:tcPr>
          <w:p w14:paraId="6C280244">
            <w:pPr>
              <w:keepNext w:val="0"/>
              <w:keepLines w:val="0"/>
              <w:pageBreakBefore w:val="0"/>
              <w:widowControl/>
              <w:kinsoku/>
              <w:wordWrap/>
              <w:overflowPunct/>
              <w:topLinePunct w:val="0"/>
              <w:autoSpaceDE/>
              <w:autoSpaceDN/>
              <w:bidi w:val="0"/>
              <w:adjustRightInd/>
              <w:snapToGrid/>
              <w:spacing w:after="0"/>
              <w:jc w:val="center"/>
              <w:textAlignment w:val="auto"/>
            </w:pPr>
            <w:r>
              <w:rPr>
                <w:b/>
              </w:rPr>
              <w:t>综合风险</w:t>
            </w:r>
          </w:p>
        </w:tc>
      </w:tr>
      <w:tr w14:paraId="18AEF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58980506">
            <w:pPr>
              <w:keepNext w:val="0"/>
              <w:keepLines w:val="0"/>
              <w:pageBreakBefore w:val="0"/>
              <w:widowControl/>
              <w:kinsoku/>
              <w:wordWrap/>
              <w:overflowPunct/>
              <w:topLinePunct w:val="0"/>
              <w:autoSpaceDE/>
              <w:autoSpaceDN/>
              <w:bidi w:val="0"/>
              <w:adjustRightInd/>
              <w:snapToGrid/>
              <w:spacing w:after="0"/>
              <w:jc w:val="center"/>
              <w:textAlignment w:val="auto"/>
            </w:pPr>
            <w:r>
              <w:t>Proterial Ltd</w:t>
            </w:r>
          </w:p>
        </w:tc>
        <w:tc>
          <w:tcPr>
            <w:tcW w:w="2078" w:type="dxa"/>
            <w:vAlign w:val="center"/>
          </w:tcPr>
          <w:p w14:paraId="23FB84D8">
            <w:pPr>
              <w:keepNext w:val="0"/>
              <w:keepLines w:val="0"/>
              <w:pageBreakBefore w:val="0"/>
              <w:widowControl/>
              <w:kinsoku/>
              <w:wordWrap/>
              <w:overflowPunct/>
              <w:topLinePunct w:val="0"/>
              <w:autoSpaceDE/>
              <w:autoSpaceDN/>
              <w:bidi w:val="0"/>
              <w:adjustRightInd/>
              <w:snapToGrid/>
              <w:spacing w:after="0"/>
              <w:jc w:val="center"/>
              <w:textAlignment w:val="auto"/>
            </w:pPr>
            <w:r>
              <w:t>钕铁硼磁体（需用稀土）</w:t>
            </w:r>
          </w:p>
        </w:tc>
        <w:tc>
          <w:tcPr>
            <w:tcW w:w="2078" w:type="dxa"/>
            <w:vAlign w:val="center"/>
          </w:tcPr>
          <w:p w14:paraId="3CD8CBA4">
            <w:pPr>
              <w:keepNext w:val="0"/>
              <w:keepLines w:val="0"/>
              <w:pageBreakBefore w:val="0"/>
              <w:widowControl/>
              <w:kinsoku/>
              <w:wordWrap/>
              <w:overflowPunct/>
              <w:topLinePunct w:val="0"/>
              <w:autoSpaceDE/>
              <w:autoSpaceDN/>
              <w:bidi w:val="0"/>
              <w:adjustRightInd/>
              <w:snapToGrid/>
              <w:spacing w:after="0"/>
              <w:jc w:val="center"/>
              <w:textAlignment w:val="auto"/>
            </w:pPr>
            <w:r>
              <w:t>供应IHI、三菱重工等</w:t>
            </w:r>
          </w:p>
        </w:tc>
        <w:tc>
          <w:tcPr>
            <w:tcW w:w="2078" w:type="dxa"/>
            <w:vAlign w:val="center"/>
          </w:tcPr>
          <w:p w14:paraId="42124256">
            <w:pPr>
              <w:keepNext w:val="0"/>
              <w:keepLines w:val="0"/>
              <w:pageBreakBefore w:val="0"/>
              <w:widowControl/>
              <w:kinsoku/>
              <w:wordWrap/>
              <w:overflowPunct/>
              <w:topLinePunct w:val="0"/>
              <w:autoSpaceDE/>
              <w:autoSpaceDN/>
              <w:bidi w:val="0"/>
              <w:adjustRightInd/>
              <w:snapToGrid/>
              <w:spacing w:after="0"/>
              <w:jc w:val="center"/>
              <w:textAlignment w:val="auto"/>
            </w:pPr>
            <w:r>
              <w:t>中低</w:t>
            </w:r>
          </w:p>
        </w:tc>
      </w:tr>
      <w:tr w14:paraId="277D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1A184973">
            <w:pPr>
              <w:keepNext w:val="0"/>
              <w:keepLines w:val="0"/>
              <w:pageBreakBefore w:val="0"/>
              <w:widowControl/>
              <w:kinsoku/>
              <w:wordWrap/>
              <w:overflowPunct/>
              <w:topLinePunct w:val="0"/>
              <w:autoSpaceDE/>
              <w:autoSpaceDN/>
              <w:bidi w:val="0"/>
              <w:adjustRightInd/>
              <w:snapToGrid/>
              <w:spacing w:after="0"/>
              <w:jc w:val="center"/>
              <w:textAlignment w:val="auto"/>
            </w:pPr>
            <w:r>
              <w:t>DAIDO KOGYO</w:t>
            </w:r>
          </w:p>
        </w:tc>
        <w:tc>
          <w:tcPr>
            <w:tcW w:w="2078" w:type="dxa"/>
            <w:vAlign w:val="center"/>
          </w:tcPr>
          <w:p w14:paraId="0C89EC58">
            <w:pPr>
              <w:keepNext w:val="0"/>
              <w:keepLines w:val="0"/>
              <w:pageBreakBefore w:val="0"/>
              <w:widowControl/>
              <w:kinsoku/>
              <w:wordWrap/>
              <w:overflowPunct/>
              <w:topLinePunct w:val="0"/>
              <w:autoSpaceDE/>
              <w:autoSpaceDN/>
              <w:bidi w:val="0"/>
              <w:adjustRightInd/>
              <w:snapToGrid/>
              <w:spacing w:after="0"/>
              <w:jc w:val="center"/>
              <w:textAlignment w:val="auto"/>
            </w:pPr>
            <w:r>
              <w:t>无</w:t>
            </w:r>
          </w:p>
        </w:tc>
        <w:tc>
          <w:tcPr>
            <w:tcW w:w="2078" w:type="dxa"/>
            <w:vAlign w:val="center"/>
          </w:tcPr>
          <w:p w14:paraId="05F3C6E0">
            <w:pPr>
              <w:keepNext w:val="0"/>
              <w:keepLines w:val="0"/>
              <w:pageBreakBefore w:val="0"/>
              <w:widowControl/>
              <w:kinsoku/>
              <w:wordWrap/>
              <w:overflowPunct/>
              <w:topLinePunct w:val="0"/>
              <w:autoSpaceDE/>
              <w:autoSpaceDN/>
              <w:bidi w:val="0"/>
              <w:adjustRightInd/>
              <w:snapToGrid/>
              <w:spacing w:after="0"/>
              <w:jc w:val="center"/>
              <w:textAlignment w:val="auto"/>
            </w:pPr>
            <w:r>
              <w:t>间接供应链条</w:t>
            </w:r>
          </w:p>
        </w:tc>
        <w:tc>
          <w:tcPr>
            <w:tcW w:w="2078" w:type="dxa"/>
            <w:vAlign w:val="center"/>
          </w:tcPr>
          <w:p w14:paraId="1129F114">
            <w:pPr>
              <w:keepNext w:val="0"/>
              <w:keepLines w:val="0"/>
              <w:pageBreakBefore w:val="0"/>
              <w:widowControl/>
              <w:kinsoku/>
              <w:wordWrap/>
              <w:overflowPunct/>
              <w:topLinePunct w:val="0"/>
              <w:autoSpaceDE/>
              <w:autoSpaceDN/>
              <w:bidi w:val="0"/>
              <w:adjustRightInd/>
              <w:snapToGrid/>
              <w:spacing w:after="0"/>
              <w:jc w:val="center"/>
              <w:textAlignment w:val="auto"/>
            </w:pPr>
            <w:r>
              <w:t>低</w:t>
            </w:r>
          </w:p>
        </w:tc>
      </w:tr>
      <w:tr w14:paraId="1AF7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vAlign w:val="center"/>
          </w:tcPr>
          <w:p w14:paraId="41E13215">
            <w:pPr>
              <w:keepNext w:val="0"/>
              <w:keepLines w:val="0"/>
              <w:pageBreakBefore w:val="0"/>
              <w:widowControl/>
              <w:kinsoku/>
              <w:wordWrap/>
              <w:overflowPunct/>
              <w:topLinePunct w:val="0"/>
              <w:autoSpaceDE/>
              <w:autoSpaceDN/>
              <w:bidi w:val="0"/>
              <w:adjustRightInd/>
              <w:snapToGrid/>
              <w:spacing w:after="0"/>
              <w:jc w:val="center"/>
              <w:textAlignment w:val="auto"/>
            </w:pPr>
            <w:r>
              <w:t>YANO METALS</w:t>
            </w:r>
          </w:p>
        </w:tc>
        <w:tc>
          <w:tcPr>
            <w:tcW w:w="2078" w:type="dxa"/>
            <w:vAlign w:val="center"/>
          </w:tcPr>
          <w:p w14:paraId="0435E64E">
            <w:pPr>
              <w:keepNext w:val="0"/>
              <w:keepLines w:val="0"/>
              <w:pageBreakBefore w:val="0"/>
              <w:widowControl/>
              <w:kinsoku/>
              <w:wordWrap/>
              <w:overflowPunct/>
              <w:topLinePunct w:val="0"/>
              <w:autoSpaceDE/>
              <w:autoSpaceDN/>
              <w:bidi w:val="0"/>
              <w:adjustRightInd/>
              <w:snapToGrid/>
              <w:spacing w:after="0"/>
              <w:jc w:val="center"/>
              <w:textAlignment w:val="auto"/>
            </w:pPr>
            <w:r>
              <w:t>钨、钼、镓、锗、铟等</w:t>
            </w:r>
          </w:p>
        </w:tc>
        <w:tc>
          <w:tcPr>
            <w:tcW w:w="2078" w:type="dxa"/>
            <w:vAlign w:val="center"/>
          </w:tcPr>
          <w:p w14:paraId="4C54FB3D">
            <w:pPr>
              <w:keepNext w:val="0"/>
              <w:keepLines w:val="0"/>
              <w:pageBreakBefore w:val="0"/>
              <w:widowControl/>
              <w:kinsoku/>
              <w:wordWrap/>
              <w:overflowPunct/>
              <w:topLinePunct w:val="0"/>
              <w:autoSpaceDE/>
              <w:autoSpaceDN/>
              <w:bidi w:val="0"/>
              <w:adjustRightInd/>
              <w:snapToGrid/>
              <w:spacing w:after="0"/>
              <w:jc w:val="center"/>
              <w:textAlignment w:val="auto"/>
            </w:pPr>
            <w:r>
              <w:t>供应IHI master metal、三菱制鋼、Proterial</w:t>
            </w:r>
          </w:p>
        </w:tc>
        <w:tc>
          <w:tcPr>
            <w:tcW w:w="2078" w:type="dxa"/>
            <w:vAlign w:val="center"/>
          </w:tcPr>
          <w:p w14:paraId="4C9EDADF">
            <w:pPr>
              <w:keepNext w:val="0"/>
              <w:keepLines w:val="0"/>
              <w:pageBreakBefore w:val="0"/>
              <w:widowControl/>
              <w:kinsoku/>
              <w:wordWrap/>
              <w:overflowPunct/>
              <w:topLinePunct w:val="0"/>
              <w:autoSpaceDE/>
              <w:autoSpaceDN/>
              <w:bidi w:val="0"/>
              <w:adjustRightInd/>
              <w:snapToGrid/>
              <w:spacing w:after="0"/>
              <w:jc w:val="center"/>
              <w:textAlignment w:val="auto"/>
            </w:pPr>
            <w:r>
              <w:t>中</w:t>
            </w:r>
          </w:p>
        </w:tc>
      </w:tr>
    </w:tbl>
    <w:p w14:paraId="06BE6C75">
      <w:pPr>
        <w:pageBreakBefore w:val="0"/>
        <w:widowControl w:val="0"/>
        <w:kinsoku/>
        <w:wordWrap w:val="0"/>
        <w:overflowPunct/>
        <w:topLinePunct w:val="0"/>
        <w:autoSpaceDE/>
        <w:autoSpaceDN/>
        <w:bidi w:val="0"/>
        <w:adjustRightInd/>
        <w:snapToGrid/>
        <w:spacing w:after="0" w:line="560" w:lineRule="exact"/>
        <w:ind w:firstLine="640" w:firstLineChars="200"/>
        <w:jc w:val="both"/>
        <w:textAlignment w:val="auto"/>
        <w:outlineLvl w:val="9"/>
        <w:rPr>
          <w:rFonts w:hint="eastAsia" w:ascii="Times New Roman" w:hAnsi="Times New Roman" w:eastAsia="方正仿宋_GBK"/>
          <w:kern w:val="2"/>
          <w:sz w:val="32"/>
          <w:szCs w:val="32"/>
          <w:lang w:val="en-US" w:eastAsia="en-US"/>
        </w:rPr>
      </w:pP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DF5CEDF-CF7F-4AB1-9C3A-FDB5B744100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embedRegular r:id="rId2" w:fontKey="{5E2847E7-F2C7-4F9E-A2C7-B25F283B0425}"/>
  </w:font>
  <w:font w:name="方正仿宋简体">
    <w:altName w:val="微软雅黑"/>
    <w:panose1 w:val="02000000000000000000"/>
    <w:charset w:val="86"/>
    <w:family w:val="auto"/>
    <w:pitch w:val="default"/>
    <w:sig w:usb0="00000000" w:usb1="00000000" w:usb2="00000012" w:usb3="00000000" w:csb0="00040001" w:csb1="00000000"/>
    <w:embedRegular r:id="rId3" w:fontKey="{EDD03916-9482-4EFD-BD77-346D1BCECB51}"/>
  </w:font>
  <w:font w:name="微软雅黑">
    <w:panose1 w:val="020B0503020204020204"/>
    <w:charset w:val="86"/>
    <w:family w:val="auto"/>
    <w:pitch w:val="default"/>
    <w:sig w:usb0="80000287" w:usb1="2ACF3C50" w:usb2="00000016" w:usb3="00000000" w:csb0="0004001F" w:csb1="00000000"/>
  </w:font>
  <w:font w:name="方正仿宋_GBK">
    <w:panose1 w:val="03000509000000000000"/>
    <w:charset w:val="86"/>
    <w:family w:val="auto"/>
    <w:pitch w:val="default"/>
    <w:sig w:usb0="00000001" w:usb1="080E0000" w:usb2="00000000" w:usb3="00000000" w:csb0="00040000" w:csb1="00000000"/>
    <w:embedRegular r:id="rId4" w:fontKey="{404E0A22-9300-49E3-AADF-5CD3796F0842}"/>
  </w:font>
  <w:font w:name="Segoe UI">
    <w:panose1 w:val="020B0502040204020203"/>
    <w:charset w:val="00"/>
    <w:family w:val="auto"/>
    <w:pitch w:val="default"/>
    <w:sig w:usb0="E4002EFF" w:usb1="C000E47F" w:usb2="00000009" w:usb3="00000000" w:csb0="200001FF" w:csb1="00000000"/>
    <w:embedRegular r:id="rId5" w:fontKey="{060192BF-6D43-4B55-9E60-F97F23B97FCB}"/>
  </w:font>
  <w:font w:name="WPSEMBED1">
    <w:panose1 w:val="02000000000000000000"/>
    <w:charset w:val="86"/>
    <w:family w:val="auto"/>
    <w:pitch w:val="default"/>
    <w:sig w:usb0="00000001" w:usb1="0800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9E5B69"/>
    <w:rsid w:val="04F7212A"/>
    <w:rsid w:val="0561152B"/>
    <w:rsid w:val="17D734C7"/>
    <w:rsid w:val="1A4563DB"/>
    <w:rsid w:val="1AFC4588"/>
    <w:rsid w:val="1BBE7839"/>
    <w:rsid w:val="1E54305E"/>
    <w:rsid w:val="1F2571EF"/>
    <w:rsid w:val="22602004"/>
    <w:rsid w:val="243A3AB5"/>
    <w:rsid w:val="27612A70"/>
    <w:rsid w:val="2CB8378A"/>
    <w:rsid w:val="2D940EA8"/>
    <w:rsid w:val="2F681A14"/>
    <w:rsid w:val="3106021B"/>
    <w:rsid w:val="311346E6"/>
    <w:rsid w:val="34EA789B"/>
    <w:rsid w:val="37A442EA"/>
    <w:rsid w:val="39932516"/>
    <w:rsid w:val="3A1219DE"/>
    <w:rsid w:val="3B194FEF"/>
    <w:rsid w:val="409E0DFA"/>
    <w:rsid w:val="457B2B2E"/>
    <w:rsid w:val="468A13A7"/>
    <w:rsid w:val="5477123F"/>
    <w:rsid w:val="57630DD2"/>
    <w:rsid w:val="5CB92AB1"/>
    <w:rsid w:val="61506FE6"/>
    <w:rsid w:val="63AB77C4"/>
    <w:rsid w:val="68D93CAA"/>
    <w:rsid w:val="6AEB718B"/>
    <w:rsid w:val="6B4D0219"/>
    <w:rsid w:val="6DE05374"/>
    <w:rsid w:val="6EE01B59"/>
    <w:rsid w:val="716A5491"/>
    <w:rsid w:val="72F416F0"/>
    <w:rsid w:val="738D1E4A"/>
    <w:rsid w:val="748968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qFormat/>
    <w:uiPriority w:val="0"/>
    <w:rPr>
      <w:rFonts w:ascii="Times New Roman" w:hAnsi="Times New Roman" w:eastAsia="黑体"/>
      <w:snapToGrid w:val="0"/>
      <w:sz w:val="21"/>
      <w:szCs w:val="22"/>
    </w:r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semiHidden/>
    <w:unhideWhenUsed/>
    <w:uiPriority w:val="99"/>
    <w:rPr>
      <w:color w:val="0000FF"/>
      <w:u w:val="single"/>
    </w:rPr>
  </w:style>
  <w:style w:type="character" w:customStyle="1" w:styleId="139">
    <w:name w:val="Header Char"/>
    <w:basedOn w:val="135"/>
    <w:link w:val="26"/>
    <w:qFormat/>
    <w:uiPriority w:val="99"/>
  </w:style>
  <w:style w:type="character" w:customStyle="1" w:styleId="140">
    <w:name w:val="Footer Char"/>
    <w:basedOn w:val="135"/>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1"/>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Blockquote"/>
    <w:basedOn w:val="1"/>
    <w:qFormat/>
    <w:uiPriority w:val="0"/>
    <w:rPr>
      <w:rFonts w:ascii="楷体" w:hAnsi="楷体" w:eastAsia="楷体"/>
      <w:color w:val="444444"/>
      <w:sz w:val="22"/>
    </w:rPr>
  </w:style>
  <w:style w:type="character" w:customStyle="1" w:styleId="169">
    <w:name w:val="CodeChar"/>
    <w:basedOn w:val="135"/>
    <w:qFormat/>
    <w:uiPriority w:val="0"/>
    <w:rPr>
      <w:rFonts w:ascii="Courier New" w:hAnsi="Courier New" w:eastAsia="Courier New"/>
      <w:color w:val="000000"/>
      <w:sz w:val="20"/>
    </w:rPr>
  </w:style>
  <w:style w:type="paragraph" w:customStyle="1" w:styleId="170">
    <w:name w:val="ListBullet"/>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71">
    <w:name w:val="ListNumber"/>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72">
    <w:name w:val="Table"/>
    <w:basedOn w:val="1"/>
    <w:qFormat/>
    <w:uiPriority w:val="0"/>
    <w:pPr>
      <w:jc w:val="center"/>
    </w:pPr>
    <w:rPr>
      <w:rFonts w:ascii="宋体" w:hAnsi="宋体" w:eastAsia="宋体"/>
      <w:sz w:val="20"/>
    </w:rPr>
  </w:style>
  <w:style w:type="paragraph" w:customStyle="1" w:styleId="173">
    <w:name w:val="HorizontalRule"/>
    <w:basedOn w:val="1"/>
    <w:qFormat/>
    <w:uiPriority w:val="0"/>
    <w:pPr>
      <w:spacing w:after="240"/>
    </w:pPr>
    <w:rPr>
      <w:color w:val="CCCCCC"/>
    </w:rPr>
  </w:style>
  <w:style w:type="paragraph" w:customStyle="1" w:styleId="174">
    <w:name w:val="Footnote"/>
    <w:basedOn w:val="1"/>
    <w:qFormat/>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1270</Words>
  <Characters>1536</Characters>
  <Lines>0</Lines>
  <Paragraphs>0</Paragraphs>
  <TotalTime>30</TotalTime>
  <ScaleCrop>false</ScaleCrop>
  <LinksUpToDate>false</LinksUpToDate>
  <CharactersWithSpaces>1741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MarkdownToDocx Converter</dc:creator>
  <dc:description>Converted from Markdown to DOCX</dc:description>
  <cp:lastModifiedBy>Mo</cp:lastModifiedBy>
  <dcterms:modified xsi:type="dcterms:W3CDTF">2026-04-27T02:20:54Z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eyJoZGlkIjoiNDE3ZjU4ZjUxZGY1ODljOGQzNzUyMDM2Y2M0ODM3ZWIiLCJ1c2VySWQiOiIzOTUyMjM1MTQifQ==</vt:lpwstr>
  </property>
  <property fmtid="{D5CDD505-2E9C-101B-9397-08002B2CF9AE}" pid="3" name="KSOProductBuildVer">
    <vt:lpwstr>2052-12.1.0.25225</vt:lpwstr>
  </property>
  <property fmtid="{D5CDD505-2E9C-101B-9397-08002B2CF9AE}" pid="4" name="ICV">
    <vt:lpwstr>8F1D6E057A3F4AC583645D610B203472_13</vt:lpwstr>
  </property>
</Properties>
</file>