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5A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kern w:val="2"/>
          <w:sz w:val="44"/>
          <w:szCs w:val="44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kern w:val="2"/>
          <w:sz w:val="44"/>
          <w:szCs w:val="44"/>
          <w:lang w:eastAsia="zh-CN"/>
        </w:rPr>
        <w:t>多国加速构建关键矿产“反管制”体系  出口管制监管面临新形势</w:t>
      </w:r>
    </w:p>
    <w:p w14:paraId="5F665CB5">
      <w:pPr>
        <w:widowControl w:val="0"/>
        <w:spacing w:before="0" w:after="0" w:line="560" w:lineRule="exact"/>
        <w:ind w:firstLine="64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</w:pPr>
    </w:p>
    <w:p w14:paraId="0314F281">
      <w:pPr>
        <w:widowControl w:val="0"/>
        <w:spacing w:after="0" w:line="560" w:lineRule="exact"/>
        <w:ind w:firstLine="640" w:firstLineChars="20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近年来，围绕镓、锗、锑、钨、石墨和中重稀土等关键矿产的管制与反制博弈持续升温。我国出口管制制度加快向清单化、许可化、精细化实施转变，美欧日韩则通过战略储备、替代供应、技术研发和国际联盟建设，构建关键矿产“反管制”体系。相关动向正在重塑全球关键矿产产业链供应链，对出口管制效能和海关监管能力提出新的挑战。</w:t>
      </w:r>
    </w:p>
    <w:p w14:paraId="71048CE4">
      <w:pPr>
        <w:widowControl w:val="0"/>
        <w:spacing w:after="0" w:line="560" w:lineRule="exact"/>
        <w:ind w:firstLine="640" w:firstLineChars="200"/>
        <w:jc w:val="both"/>
        <w:rPr>
          <w:rFonts w:hint="eastAsia" w:ascii="方正公文黑体" w:hAnsi="方正公文黑体" w:eastAsia="方正公文黑体" w:cs="方正公文黑体"/>
          <w:kern w:val="2"/>
          <w:sz w:val="32"/>
          <w:szCs w:val="32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kern w:val="2"/>
          <w:sz w:val="32"/>
          <w:szCs w:val="32"/>
          <w:lang w:val="en-US" w:eastAsia="zh-CN"/>
        </w:rPr>
        <w:t>一、我国管制措施效果显现，监管对象向产业链下游延伸</w:t>
      </w:r>
    </w:p>
    <w:p w14:paraId="7BDDC695">
      <w:pPr>
        <w:widowControl w:val="0"/>
        <w:spacing w:before="0" w:after="0" w:line="560" w:lineRule="exact"/>
        <w:ind w:firstLine="64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随着我国出口管制各项措施落地实施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出口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管制物项编码化、许可类型和实体清单管理进一步细化，2023年8月至2025年10月，我国分阶段对镓、锗、锑、钨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等关键矿产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实施出口管制。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据统计，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镓出口量骤降97%，欧洲价格上涨365%；锑出口下降97%，全球价格上涨437%；2025年4月重稀土管制后，欧洲市场价格一度达到中国国内价格的6倍。管制实施后，部分物项出口量明显下降，境内外价格显著分化，政策效果较快传导至国际市场。同时，监管范围逐步由原材料向合金、磁体、粉末、化合物、复合材料及设备零部件等下游产品延伸。传统依靠品名、税号和数量审核的监管方式，已难以完全适应新形势，亟须加强对成分含量、技术来源、最终用户、最终用途和交易背景的综合研判。</w:t>
      </w:r>
    </w:p>
    <w:p w14:paraId="548822CB">
      <w:pPr>
        <w:widowControl w:val="0"/>
        <w:numPr>
          <w:ilvl w:val="0"/>
          <w:numId w:val="2"/>
        </w:numPr>
        <w:spacing w:after="0" w:line="560" w:lineRule="exact"/>
        <w:ind w:firstLine="640" w:firstLineChars="200"/>
        <w:jc w:val="both"/>
        <w:rPr>
          <w:rFonts w:hint="eastAsia" w:ascii="方正公文黑体" w:hAnsi="方正公文黑体" w:eastAsia="方正公文黑体" w:cs="方正公文黑体"/>
          <w:kern w:val="2"/>
          <w:sz w:val="32"/>
          <w:szCs w:val="32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kern w:val="2"/>
          <w:sz w:val="32"/>
          <w:szCs w:val="32"/>
          <w:lang w:val="en-US" w:eastAsia="zh-CN"/>
        </w:rPr>
        <w:t>外部“反管制”体系加速成形，国家战略和海关监管风险上升</w:t>
      </w:r>
    </w:p>
    <w:p w14:paraId="4740102E">
      <w:pPr>
        <w:widowControl w:val="0"/>
        <w:numPr>
          <w:numId w:val="0"/>
        </w:numPr>
        <w:spacing w:after="0" w:line="560" w:lineRule="exact"/>
        <w:ind w:firstLine="640" w:firstLineChars="20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面对我国关键矿产出口管制措施，美欧日韩正通过政府投资、战略储备、价格支持和产业联盟等方式降低关键矿产对华依赖。美国运用《国防生产法》支持本土开采、分离和磁体制造，投资规模达120亿美元；欧盟依托《关键原材料法案》推进战略项目，设定本土开采、加工、回收和单一来源依赖目标，总投资达225亿欧元；日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韩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通过政府机构、商社和制造企业锁定海外资源，设立产业基金并扩大多边合作。</w:t>
      </w:r>
    </w:p>
    <w:p w14:paraId="611FF4FF">
      <w:pPr>
        <w:widowControl w:val="0"/>
        <w:spacing w:after="0" w:line="560" w:lineRule="exact"/>
        <w:ind w:firstLine="640" w:firstLineChars="20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相关措施可能带来三方面风险：一是供应链区域化重组加快。长期采购、价格托底和政府补贴将推动开采、加工及磁体制造环节向澳大利亚、非洲等地区转移，削弱我国在相关产业链中的市场影响力。二是技术替代效应逐步显现。铁氮磁体、外部励磁同步电机、晶界扩散和资源回收等技术加快应用，可能降低部分领域对我国关键矿产的需求，弱化出口管制的长期政策效应。三是国际规则竞争更加突出。有关国家可能依托矿产安全伙伴关系等机制，在供应链溯源、环境标准、补贴审查和“可信供应商”认证等方面制定排他性规则，对我国企业参与国际市场形成制度壁垒。</w:t>
      </w:r>
    </w:p>
    <w:p w14:paraId="7646EEAE">
      <w:pPr>
        <w:widowControl w:val="0"/>
        <w:spacing w:after="0" w:line="560" w:lineRule="exact"/>
        <w:ind w:firstLine="640" w:firstLineChars="200"/>
        <w:jc w:val="both"/>
        <w:rPr>
          <w:rFonts w:hint="default" w:ascii="方正公文黑体" w:hAnsi="方正公文黑体" w:eastAsia="方正公文黑体" w:cs="方正公文黑体"/>
          <w:kern w:val="2"/>
          <w:sz w:val="32"/>
          <w:szCs w:val="32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kern w:val="2"/>
          <w:sz w:val="32"/>
          <w:szCs w:val="32"/>
          <w:lang w:val="en-US" w:eastAsia="zh-CN"/>
        </w:rPr>
        <w:t>三、短期难以根本改变对华依赖，规避监管和走私风险仍需重点防控</w:t>
      </w:r>
    </w:p>
    <w:p w14:paraId="571F980D">
      <w:pPr>
        <w:widowControl w:val="0"/>
        <w:spacing w:before="0" w:after="0" w:line="560" w:lineRule="exact"/>
        <w:ind w:firstLine="64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当前，境外替代供应体系建设仍面临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诸多问题，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短期仍难以摆脱对我国关键矿产及加工能力的依赖，部分关键矿产境内外价格大幅分化，可能进一步强化市场囤货、绕道采购和走私套利动机。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2023年以来，全国海关查获XX，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出口管制执法正在由行政合规管理向行政执法与刑事打击并重转变，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但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企业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伪瞒报品名、模糊规格、夹藏走私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、借道第三国等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走私违规风险仍不可忽视，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仍需重点防范，特别是高价值、小批量、易转运的关键矿产及其下游制品，应加强许可证核验、实货查验、物流分析和后续稽核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。</w:t>
      </w:r>
    </w:p>
    <w:p w14:paraId="1C584657">
      <w:pPr>
        <w:widowControl w:val="0"/>
        <w:spacing w:before="0" w:after="0" w:line="560" w:lineRule="exact"/>
        <w:ind w:firstLine="64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对此，海关建议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一是建立全球信息监测矩阵，围绕“国家、政策、项目、企业、技术、商品”六类要素，持续采集境外政策法规、产业补贴、重大项目、价格波动和贸易流向信息；二是加强多源数据关联分析，综合运用海关业务数据和外部公开信息，及时识别目的国突变、主体切换和异常增长等风险信号；三是探索运用大模型开展多语种信息采集、实体识别、事件标签和趋势分析，建立“机器筛查、专家复核”机制，提高情报处理效率；四是将情报成果及时转化为风险参数、布控规则和专题预警，形成“监测、研判、预警、处置、反馈”闭环；五是加强风险、通关、稽查、缉私、企管和技术机构协同，提升出口管制整体监管效能。</w:t>
      </w:r>
    </w:p>
    <w:p w14:paraId="745BD321">
      <w:pPr>
        <w:widowControl w:val="0"/>
        <w:spacing w:before="0" w:after="0" w:line="560" w:lineRule="exact"/>
        <w:ind w:firstLine="640"/>
        <w:jc w:val="both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F4AB1668-B3B3-45EF-8741-94A9B4CF9CE6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4D8056D0-B3C5-4A1E-A6AA-B5AEC2D670C3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CCE9683E-ECAA-4B00-9048-0BDDD8BD69F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58995B"/>
    <w:multiLevelType w:val="singleLevel"/>
    <w:tmpl w:val="BC58995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F35744E"/>
    <w:multiLevelType w:val="singleLevel"/>
    <w:tmpl w:val="3F35744E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A5567"/>
    <w:rsid w:val="02DD2830"/>
    <w:rsid w:val="04505058"/>
    <w:rsid w:val="054662A6"/>
    <w:rsid w:val="06994BF1"/>
    <w:rsid w:val="06F75082"/>
    <w:rsid w:val="07A72149"/>
    <w:rsid w:val="0AB63037"/>
    <w:rsid w:val="0BC86D9E"/>
    <w:rsid w:val="0DB56AC0"/>
    <w:rsid w:val="0DD25F03"/>
    <w:rsid w:val="0E5F589F"/>
    <w:rsid w:val="0EB778B6"/>
    <w:rsid w:val="0EDC1099"/>
    <w:rsid w:val="0F71730E"/>
    <w:rsid w:val="10476D86"/>
    <w:rsid w:val="106B67E1"/>
    <w:rsid w:val="1110250F"/>
    <w:rsid w:val="11DC5449"/>
    <w:rsid w:val="157F02AA"/>
    <w:rsid w:val="158E2D2D"/>
    <w:rsid w:val="15B90B40"/>
    <w:rsid w:val="162740C3"/>
    <w:rsid w:val="1737343A"/>
    <w:rsid w:val="17A55EC8"/>
    <w:rsid w:val="18301C34"/>
    <w:rsid w:val="19DB6953"/>
    <w:rsid w:val="1A93626C"/>
    <w:rsid w:val="1BCF3B83"/>
    <w:rsid w:val="1C89563C"/>
    <w:rsid w:val="1E593E42"/>
    <w:rsid w:val="1E9E7030"/>
    <w:rsid w:val="200E1140"/>
    <w:rsid w:val="20864896"/>
    <w:rsid w:val="21A77F69"/>
    <w:rsid w:val="21FF11ED"/>
    <w:rsid w:val="220F2BBA"/>
    <w:rsid w:val="22AC3717"/>
    <w:rsid w:val="242D0782"/>
    <w:rsid w:val="243C4AE7"/>
    <w:rsid w:val="24E9613D"/>
    <w:rsid w:val="25480142"/>
    <w:rsid w:val="2552796B"/>
    <w:rsid w:val="258F6F13"/>
    <w:rsid w:val="27750620"/>
    <w:rsid w:val="28375792"/>
    <w:rsid w:val="2BBF286F"/>
    <w:rsid w:val="2BE6345E"/>
    <w:rsid w:val="2C4F32AD"/>
    <w:rsid w:val="2CA72541"/>
    <w:rsid w:val="2D0140DF"/>
    <w:rsid w:val="2E4F6C9E"/>
    <w:rsid w:val="2F9F15F6"/>
    <w:rsid w:val="30090724"/>
    <w:rsid w:val="306A702E"/>
    <w:rsid w:val="32794D16"/>
    <w:rsid w:val="32B925BE"/>
    <w:rsid w:val="32D43C89"/>
    <w:rsid w:val="33582979"/>
    <w:rsid w:val="35843BA3"/>
    <w:rsid w:val="370F7724"/>
    <w:rsid w:val="3727760C"/>
    <w:rsid w:val="380649D2"/>
    <w:rsid w:val="3860774C"/>
    <w:rsid w:val="38E50A13"/>
    <w:rsid w:val="39122F77"/>
    <w:rsid w:val="3AF730E8"/>
    <w:rsid w:val="3AFD5810"/>
    <w:rsid w:val="3C196E25"/>
    <w:rsid w:val="3C226F68"/>
    <w:rsid w:val="3CA64CDB"/>
    <w:rsid w:val="3F785B8F"/>
    <w:rsid w:val="40190466"/>
    <w:rsid w:val="4256542C"/>
    <w:rsid w:val="43873BD5"/>
    <w:rsid w:val="45017180"/>
    <w:rsid w:val="46714EE5"/>
    <w:rsid w:val="4785388B"/>
    <w:rsid w:val="49396FA4"/>
    <w:rsid w:val="4ABF7F93"/>
    <w:rsid w:val="4AC60CF7"/>
    <w:rsid w:val="4B7F60C7"/>
    <w:rsid w:val="4BA22CC6"/>
    <w:rsid w:val="4E760474"/>
    <w:rsid w:val="4E7C4B12"/>
    <w:rsid w:val="4F3F744E"/>
    <w:rsid w:val="50E97CD4"/>
    <w:rsid w:val="51E57EF7"/>
    <w:rsid w:val="52A74C79"/>
    <w:rsid w:val="52EF62C4"/>
    <w:rsid w:val="53585348"/>
    <w:rsid w:val="53A945AD"/>
    <w:rsid w:val="547E7F44"/>
    <w:rsid w:val="54853768"/>
    <w:rsid w:val="55917808"/>
    <w:rsid w:val="57094F71"/>
    <w:rsid w:val="57330A69"/>
    <w:rsid w:val="575538ED"/>
    <w:rsid w:val="583E42C3"/>
    <w:rsid w:val="58F359B6"/>
    <w:rsid w:val="5A594532"/>
    <w:rsid w:val="5AA12E96"/>
    <w:rsid w:val="5DF04075"/>
    <w:rsid w:val="61981AFE"/>
    <w:rsid w:val="61A25ECB"/>
    <w:rsid w:val="61A537E5"/>
    <w:rsid w:val="62592640"/>
    <w:rsid w:val="63A62B2F"/>
    <w:rsid w:val="64132471"/>
    <w:rsid w:val="65A3491E"/>
    <w:rsid w:val="66B873BB"/>
    <w:rsid w:val="66FA5552"/>
    <w:rsid w:val="68A85F24"/>
    <w:rsid w:val="691E7491"/>
    <w:rsid w:val="6A176302"/>
    <w:rsid w:val="6B1D6431"/>
    <w:rsid w:val="6D960D2A"/>
    <w:rsid w:val="6F237558"/>
    <w:rsid w:val="6FD80C34"/>
    <w:rsid w:val="705D6F14"/>
    <w:rsid w:val="709A5567"/>
    <w:rsid w:val="70B027BD"/>
    <w:rsid w:val="71B40D8A"/>
    <w:rsid w:val="724005ED"/>
    <w:rsid w:val="72F45E65"/>
    <w:rsid w:val="730C0965"/>
    <w:rsid w:val="74510F07"/>
    <w:rsid w:val="75B03F9C"/>
    <w:rsid w:val="76233324"/>
    <w:rsid w:val="766B6F01"/>
    <w:rsid w:val="78BA779B"/>
    <w:rsid w:val="78E94348"/>
    <w:rsid w:val="794550F5"/>
    <w:rsid w:val="79DA432A"/>
    <w:rsid w:val="7A9F4194"/>
    <w:rsid w:val="7B461677"/>
    <w:rsid w:val="7C457201"/>
    <w:rsid w:val="7F7B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2194</Words>
  <Characters>2297</Characters>
  <Lines>0</Lines>
  <Paragraphs>0</Paragraphs>
  <TotalTime>321</TotalTime>
  <ScaleCrop>false</ScaleCrop>
  <LinksUpToDate>false</LinksUpToDate>
  <CharactersWithSpaces>2302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2026-06-26T02:50:00Z</dcterms:created>
  <dc:creator>落花吹雪</dc:creator>
  <cp:lastModifiedBy>落花吹雪</cp:lastModifiedBy>
  <dcterms:modified xsi:type="dcterms:W3CDTF">2026-06-28T08:42:29Z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7354E7B493714092AFE1C1E6B8D0B25C_11</vt:lpwstr>
  </property>
  <property fmtid="{D5CDD505-2E9C-101B-9397-08002B2CF9AE}" pid="4" name="KSOTemplateDocerSaveRecord">
    <vt:lpwstr>eyJoZGlkIjoiYmUyZGUxNjlhMGViOWZmMGFlZGIyODMxNzY4NGFjMjIiLCJ1c2VySWQiOiI5MDI5MjkxMzUifQ==</vt:lpwstr>
  </property>
</Properties>
</file>