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AD52CA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AD52CA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AD52CA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AD52CA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AD52CA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AD52CA" w:rsidP="0062436D">
      <w:hyperlink r:id="rId20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AD52CA" w:rsidP="0062436D">
      <w:hyperlink r:id="rId21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rFonts w:hint="eastAsia"/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>
      <w:pPr>
        <w:rPr>
          <w:rFonts w:hint="eastAsia"/>
        </w:rPr>
      </w:pPr>
    </w:p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Default="00AD52CA" w:rsidP="0062436D">
      <w:bookmarkStart w:id="0" w:name="_GoBack"/>
      <w:bookmarkEnd w:id="0"/>
    </w:p>
    <w:p w:rsidR="00AD52CA" w:rsidRDefault="00AD52CA" w:rsidP="0062436D"/>
    <w:p w:rsidR="00AD52CA" w:rsidRDefault="00AD52CA" w:rsidP="0062436D">
      <w:pPr>
        <w:rPr>
          <w:rFonts w:hint="eastAsia"/>
        </w:rPr>
      </w:pPr>
    </w:p>
    <w:p w:rsidR="00187D28" w:rsidRPr="0075338C" w:rsidRDefault="00187D28" w:rsidP="0062436D">
      <w:pPr>
        <w:rPr>
          <w:rFonts w:hint="eastAsia"/>
        </w:rPr>
      </w:pPr>
    </w:p>
    <w:p w:rsidR="00D90B72" w:rsidRDefault="00D90B72" w:rsidP="0062436D">
      <w:pPr>
        <w:rPr>
          <w:rFonts w:hint="eastAsia"/>
        </w:rPr>
      </w:pPr>
    </w:p>
    <w:p w:rsidR="00A14BB6" w:rsidRDefault="00A14BB6" w:rsidP="0062436D"/>
    <w:p w:rsidR="009F1EC6" w:rsidRDefault="009F1EC6" w:rsidP="0062436D"/>
    <w:p w:rsidR="00A06CEB" w:rsidRPr="00A06CEB" w:rsidRDefault="00A06CEB" w:rsidP="0062436D"/>
    <w:sectPr w:rsidR="00A06CEB" w:rsidRPr="00A06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4"/>
  </w:num>
  <w:num w:numId="4">
    <w:abstractNumId w:val="30"/>
  </w:num>
  <w:num w:numId="5">
    <w:abstractNumId w:val="33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2"/>
  </w:num>
  <w:num w:numId="14">
    <w:abstractNumId w:val="9"/>
  </w:num>
  <w:num w:numId="15">
    <w:abstractNumId w:val="26"/>
  </w:num>
  <w:num w:numId="16">
    <w:abstractNumId w:val="29"/>
  </w:num>
  <w:num w:numId="17">
    <w:abstractNumId w:val="1"/>
  </w:num>
  <w:num w:numId="18">
    <w:abstractNumId w:val="23"/>
  </w:num>
  <w:num w:numId="19">
    <w:abstractNumId w:val="28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5"/>
  </w:num>
  <w:num w:numId="28">
    <w:abstractNumId w:val="6"/>
  </w:num>
  <w:num w:numId="29">
    <w:abstractNumId w:val="38"/>
  </w:num>
  <w:num w:numId="30">
    <w:abstractNumId w:val="18"/>
  </w:num>
  <w:num w:numId="31">
    <w:abstractNumId w:val="34"/>
  </w:num>
  <w:num w:numId="32">
    <w:abstractNumId w:val="8"/>
  </w:num>
  <w:num w:numId="33">
    <w:abstractNumId w:val="31"/>
  </w:num>
  <w:num w:numId="34">
    <w:abstractNumId w:val="14"/>
  </w:num>
  <w:num w:numId="35">
    <w:abstractNumId w:val="3"/>
  </w:num>
  <w:num w:numId="36">
    <w:abstractNumId w:val="22"/>
  </w:num>
  <w:num w:numId="37">
    <w:abstractNumId w:val="37"/>
  </w:num>
  <w:num w:numId="38">
    <w:abstractNumId w:val="1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4C9A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49F"/>
    <w:rsid w:val="00380364"/>
    <w:rsid w:val="003806B3"/>
    <w:rsid w:val="00380E1F"/>
    <w:rsid w:val="0038184C"/>
    <w:rsid w:val="00381DCA"/>
    <w:rsid w:val="0038390E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789"/>
    <w:rsid w:val="003F1B33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BAF"/>
    <w:rsid w:val="00463DAB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D1B"/>
    <w:rsid w:val="00B06403"/>
    <w:rsid w:val="00B06CC2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3BA9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412B"/>
    <w:rsid w:val="00CC462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C5C"/>
    <w:rsid w:val="00F07800"/>
    <w:rsid w:val="00F13228"/>
    <w:rsid w:val="00F1332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A97DD-2049-4041-B2B3-049F36CF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-@SecondaryTable.pkJoinColumns" TargetMode="Externa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hyperlink" Target="mailto:-@SecondaryTable.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23" Type="http://schemas.openxmlformats.org/officeDocument/2006/relationships/image" Target="media/image11.png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B6F09-3DC4-4EE2-9AD5-70010D81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106</Pages>
  <Words>13546</Words>
  <Characters>77213</Characters>
  <Application>Microsoft Office Word</Application>
  <DocSecurity>0</DocSecurity>
  <Lines>643</Lines>
  <Paragraphs>181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3986</cp:revision>
  <dcterms:created xsi:type="dcterms:W3CDTF">2019-06-10T11:11:00Z</dcterms:created>
  <dcterms:modified xsi:type="dcterms:W3CDTF">2019-07-11T04:29:00Z</dcterms:modified>
</cp:coreProperties>
</file>