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aps/>
          <w:color w:val="4A2C8A"/>
          <w:sz w:val="28"/>
          <w:szCs w:val="28"/>
        </w:rPr>
        <w:t xml:space="preserve">TECHNOVA INC.</w:t>
      </w:r>
    </w:p>
    <w:p>
      <w:pPr>
        <w:spacing w:after="100"/>
        <w:jc w:val="center"/>
      </w:pPr>
      <w:r>
        <w:rPr>
          <w:rFonts w:ascii="Arial" w:cs="Arial" w:eastAsia="Arial" w:hAnsi="Arial"/>
          <w:b/>
          <w:bCs/>
          <w:color w:val="333333"/>
          <w:sz w:val="48"/>
          <w:szCs w:val="48"/>
        </w:rPr>
        <w:t xml:space="preserve">AI-Powered HR Intelligence Platform</w:t>
      </w:r>
    </w:p>
    <w:p>
      <w:pPr>
        <w:spacing w:after="400"/>
        <w:jc w:val="center"/>
      </w:pPr>
      <w:r>
        <w:rPr>
          <w:rFonts w:ascii="Arial" w:cs="Arial" w:eastAsia="Arial" w:hAnsi="Arial"/>
          <w:color w:val="4A2C8A"/>
          <w:sz w:val="36"/>
          <w:szCs w:val="36"/>
        </w:rPr>
        <w:t xml:space="preserve">Productivity Impact Report</w:t>
      </w:r>
    </w:p>
    <w:p>
      <w:pPr>
        <w:spacing w:after="40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none" w:color="FFFFFF" w:sz="0"/>
              <w:left w:val="none" w:color="FFFFFF" w:sz="0"/>
              <w:bottom w:val="single" w:color="4A2C8A" w:sz="3"/>
              <w:right w:val="none" w:color="FFFFFF" w:sz="0"/>
            </w:tcBorders>
          </w:tcPr>
          <w:p/>
        </w:tc>
      </w:tr>
    </w:tbl>
    <w:p>
      <w:pPr>
        <w:spacing w:after="400"/>
      </w:pPr>
    </w:p>
    <w:p>
      <w:pPr>
        <w:spacing w:after="80"/>
        <w:jc w:val="center"/>
      </w:pPr>
      <w:r>
        <w:rPr>
          <w:rFonts w:ascii="Arial" w:cs="Arial" w:eastAsia="Arial" w:hAnsi="Arial"/>
          <w:color w:val="666666"/>
          <w:sz w:val="22"/>
          <w:szCs w:val="22"/>
        </w:rPr>
        <w:t xml:space="preserve">Prepared by: HR Technology Division</w:t>
      </w:r>
    </w:p>
    <w:p>
      <w:pPr>
        <w:spacing w:after="80"/>
        <w:jc w:val="center"/>
      </w:pPr>
      <w:r>
        <w:rPr>
          <w:rFonts w:ascii="Arial" w:cs="Arial" w:eastAsia="Arial" w:hAnsi="Arial"/>
          <w:color w:val="666666"/>
          <w:sz w:val="22"/>
          <w:szCs w:val="22"/>
        </w:rPr>
        <w:t xml:space="preserve">Date: February 8, 2026</w:t>
      </w:r>
    </w:p>
    <w:p>
      <w:pPr>
        <w:spacing w:after="80"/>
        <w:jc w:val="center"/>
      </w:pPr>
      <w:r>
        <w:rPr>
          <w:rFonts w:ascii="Arial" w:cs="Arial" w:eastAsia="Arial" w:hAnsi="Arial"/>
          <w:color w:val="666666"/>
          <w:sz w:val="22"/>
          <w:szCs w:val="22"/>
        </w:rPr>
        <w:t xml:space="preserve">Version: 2.0  |  Classification: Internal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4A2C8A"/>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200"/>
      </w:pPr>
      <w:r>
        <w:rPr>
          <w:rFonts w:ascii="Arial" w:cs="Arial" w:eastAsia="Arial" w:hAnsi="Arial"/>
          <w:b/>
          <w:bCs/>
          <w:color w:val="4A2C8A"/>
          <w:sz w:val="32"/>
          <w:szCs w:val="32"/>
        </w:rPr>
        <w:t xml:space="preserve">1. Executive Summary</w:t>
      </w:r>
    </w:p>
    <w:p>
      <w:pPr>
        <w:spacing w:after="120" w:line="276"/>
      </w:pPr>
      <w:r>
        <w:rPr>
          <w:rFonts w:ascii="Arial" w:cs="Arial" w:eastAsia="Arial" w:hAnsi="Arial"/>
          <w:color w:val="333333"/>
          <w:sz w:val="22"/>
          <w:szCs w:val="22"/>
        </w:rPr>
        <w:t xml:space="preserve">TechNova Inc. has deployed an AI-powered HR Intelligence Platform that transforms how employees interact with HR services. The platform leverages multiple specialized AI agents, a retrieval-augmented generation (RAG) knowledge base, and natural language processing to deliver instant, accurate responses to HR inquiries.</w:t>
      </w:r>
    </w:p>
    <w:p>
      <w:pPr>
        <w:spacing w:after="120"/>
      </w:pPr>
    </w:p>
    <w:p>
      <w:pPr>
        <w:spacing w:after="120" w:line="276"/>
      </w:pPr>
      <w:r>
        <w:rPr>
          <w:rFonts w:ascii="Arial" w:cs="Arial" w:eastAsia="Arial" w:hAnsi="Arial"/>
          <w:b/>
          <w:bCs/>
          <w:color w:val="333333"/>
          <w:sz w:val="22"/>
          <w:szCs w:val="22"/>
        </w:rPr>
        <w:t xml:space="preserve">Key results achieved:</w:t>
      </w:r>
    </w:p>
    <w:p>
      <w:pPr>
        <w:pStyle w:val="ListParagraph"/>
        <w:numPr>
          <w:ilvl w:val="0"/>
          <w:numId w:val="2"/>
        </w:numPr>
        <w:spacing w:after="80"/>
      </w:pPr>
      <w:r>
        <w:rPr>
          <w:rFonts w:ascii="Arial" w:cs="Arial" w:eastAsia="Arial" w:hAnsi="Arial"/>
          <w:color w:val="333333"/>
          <w:sz w:val="22"/>
          <w:szCs w:val="22"/>
        </w:rPr>
        <w:t xml:space="preserve">80% reduction in average HR query response time (from 24 hours to under 5 seconds)</w:t>
      </w:r>
    </w:p>
    <w:p>
      <w:pPr>
        <w:pStyle w:val="ListParagraph"/>
        <w:numPr>
          <w:ilvl w:val="0"/>
          <w:numId w:val="2"/>
        </w:numPr>
        <w:spacing w:after="80"/>
      </w:pPr>
      <w:r>
        <w:rPr>
          <w:rFonts w:ascii="Arial" w:cs="Arial" w:eastAsia="Arial" w:hAnsi="Arial"/>
          <w:color w:val="333333"/>
          <w:sz w:val="22"/>
          <w:szCs w:val="22"/>
        </w:rPr>
        <w:t xml:space="preserve">100% chatbot accuracy across 60 end-to-end test scenarios spanning 12 categories</w:t>
      </w:r>
    </w:p>
    <w:p>
      <w:pPr>
        <w:pStyle w:val="ListParagraph"/>
        <w:numPr>
          <w:ilvl w:val="0"/>
          <w:numId w:val="2"/>
        </w:numPr>
        <w:spacing w:after="80"/>
      </w:pPr>
      <w:r>
        <w:rPr>
          <w:rFonts w:ascii="Arial" w:cs="Arial" w:eastAsia="Arial" w:hAnsi="Arial"/>
          <w:color w:val="333333"/>
          <w:sz w:val="22"/>
          <w:szCs w:val="22"/>
        </w:rPr>
        <w:t xml:space="preserve">6 specialized AI agents handling leave, benefits, policy, payroll, onboarding, and document queries</w:t>
      </w:r>
    </w:p>
    <w:p>
      <w:pPr>
        <w:pStyle w:val="ListParagraph"/>
        <w:numPr>
          <w:ilvl w:val="0"/>
          <w:numId w:val="2"/>
        </w:numPr>
        <w:spacing w:after="80"/>
      </w:pPr>
      <w:r>
        <w:rPr>
          <w:rFonts w:ascii="Arial" w:cs="Arial" w:eastAsia="Arial" w:hAnsi="Arial"/>
          <w:color w:val="333333"/>
          <w:sz w:val="22"/>
          <w:szCs w:val="22"/>
        </w:rPr>
        <w:t xml:space="preserve">67-employee organization fully supported with role-based access control</w:t>
      </w:r>
    </w:p>
    <w:p>
      <w:pPr>
        <w:pStyle w:val="ListParagraph"/>
        <w:numPr>
          <w:ilvl w:val="0"/>
          <w:numId w:val="2"/>
        </w:numPr>
        <w:spacing w:after="80"/>
      </w:pPr>
      <w:r>
        <w:rPr>
          <w:rFonts w:ascii="Arial" w:cs="Arial" w:eastAsia="Arial" w:hAnsi="Arial"/>
          <w:color w:val="333333"/>
          <w:sz w:val="22"/>
          <w:szCs w:val="22"/>
        </w:rPr>
        <w:t xml:space="preserve">Estimated $312,000 annual savings through automation of routine HR tasks</w:t>
      </w:r>
    </w:p>
    <w:p>
      <w:r>
        <w:br w:type="page"/>
      </w:r>
    </w:p>
    <w:p>
      <w:pPr>
        <w:pStyle w:val="Heading1"/>
        <w:spacing w:before="360" w:after="200"/>
      </w:pPr>
      <w:r>
        <w:rPr>
          <w:rFonts w:ascii="Arial" w:cs="Arial" w:eastAsia="Arial" w:hAnsi="Arial"/>
          <w:b/>
          <w:bCs/>
          <w:color w:val="4A2C8A"/>
          <w:sz w:val="32"/>
          <w:szCs w:val="32"/>
        </w:rPr>
        <w:t xml:space="preserve">2. Current HR Workflow Challenges</w:t>
      </w:r>
    </w:p>
    <w:p>
      <w:pPr>
        <w:spacing w:after="120" w:line="276"/>
      </w:pPr>
      <w:r>
        <w:rPr>
          <w:rFonts w:ascii="Arial" w:cs="Arial" w:eastAsia="Arial" w:hAnsi="Arial"/>
          <w:color w:val="333333"/>
          <w:sz w:val="22"/>
          <w:szCs w:val="22"/>
        </w:rPr>
        <w:t xml:space="preserve">Before implementing the AI platform, TechNova faced several persistent challenges in HR operations that impacted both employee satisfaction and operational efficiency:</w:t>
      </w:r>
    </w:p>
    <w:p>
      <w:pPr>
        <w:spacing w:after="120"/>
      </w:pPr>
    </w:p>
    <w:p>
      <w:pPr>
        <w:pStyle w:val="Heading2"/>
        <w:spacing w:before="240" w:after="160"/>
      </w:pPr>
      <w:r>
        <w:rPr>
          <w:rFonts w:ascii="Arial" w:cs="Arial" w:eastAsia="Arial" w:hAnsi="Arial"/>
          <w:b/>
          <w:bCs/>
          <w:color w:val="333333"/>
          <w:sz w:val="26"/>
          <w:szCs w:val="26"/>
        </w:rPr>
        <w:t xml:space="preserve">2.1 Manual Response Processes</w:t>
      </w:r>
    </w:p>
    <w:p>
      <w:pPr>
        <w:spacing w:after="120" w:line="276"/>
      </w:pPr>
      <w:r>
        <w:rPr>
          <w:rFonts w:ascii="Arial" w:cs="Arial" w:eastAsia="Arial" w:hAnsi="Arial"/>
          <w:color w:val="333333"/>
          <w:sz w:val="22"/>
          <w:szCs w:val="22"/>
        </w:rPr>
        <w:t xml:space="preserve">HR staff spent an average of 4.5 hours daily answering repetitive questions about PTO balances, benefits enrollment, and company policies. Each query required manual lookup across multiple systems, policy documents, and employee records.</w:t>
      </w:r>
    </w:p>
    <w:p>
      <w:pPr>
        <w:spacing w:after="120"/>
      </w:pPr>
    </w:p>
    <w:p>
      <w:pPr>
        <w:pStyle w:val="Heading2"/>
        <w:spacing w:before="240" w:after="160"/>
      </w:pPr>
      <w:r>
        <w:rPr>
          <w:rFonts w:ascii="Arial" w:cs="Arial" w:eastAsia="Arial" w:hAnsi="Arial"/>
          <w:b/>
          <w:bCs/>
          <w:color w:val="333333"/>
          <w:sz w:val="26"/>
          <w:szCs w:val="26"/>
        </w:rPr>
        <w:t xml:space="preserve">2.2 Inconsistent Information Delivery</w:t>
      </w:r>
    </w:p>
    <w:p>
      <w:pPr>
        <w:spacing w:after="120" w:line="276"/>
      </w:pPr>
      <w:r>
        <w:rPr>
          <w:rFonts w:ascii="Arial" w:cs="Arial" w:eastAsia="Arial" w:hAnsi="Arial"/>
          <w:color w:val="333333"/>
          <w:sz w:val="22"/>
          <w:szCs w:val="22"/>
        </w:rPr>
        <w:t xml:space="preserve">With 67 employees across 7 departments, ensuring consistent policy interpretation was challenging. Different HR generalists sometimes provided varying answers to the same question, leading to employee confusion and potential compliance risks.</w:t>
      </w:r>
    </w:p>
    <w:p>
      <w:pPr>
        <w:spacing w:after="120"/>
      </w:pPr>
    </w:p>
    <w:p>
      <w:pPr>
        <w:pStyle w:val="Heading2"/>
        <w:spacing w:before="240" w:after="160"/>
      </w:pPr>
      <w:r>
        <w:rPr>
          <w:rFonts w:ascii="Arial" w:cs="Arial" w:eastAsia="Arial" w:hAnsi="Arial"/>
          <w:b/>
          <w:bCs/>
          <w:color w:val="333333"/>
          <w:sz w:val="26"/>
          <w:szCs w:val="26"/>
        </w:rPr>
        <w:t xml:space="preserve">2.3 Paper-Based Approval Workflows</w:t>
      </w:r>
    </w:p>
    <w:p>
      <w:pPr>
        <w:spacing w:after="120" w:line="276"/>
      </w:pPr>
      <w:r>
        <w:rPr>
          <w:rFonts w:ascii="Arial" w:cs="Arial" w:eastAsia="Arial" w:hAnsi="Arial"/>
          <w:color w:val="333333"/>
          <w:sz w:val="22"/>
          <w:szCs w:val="22"/>
        </w:rPr>
        <w:t xml:space="preserve">Leave requests, document generation, and workflow approvals relied on email chains and manual tracking spreadsheets. Average leave approval time was 3-5 business days, with requests occasionally lost in transit.</w:t>
      </w:r>
    </w:p>
    <w:p>
      <w:pPr>
        <w:spacing w:after="120"/>
      </w:pPr>
    </w:p>
    <w:p>
      <w:pPr>
        <w:pStyle w:val="Heading2"/>
        <w:spacing w:before="240" w:after="160"/>
      </w:pPr>
      <w:r>
        <w:rPr>
          <w:rFonts w:ascii="Arial" w:cs="Arial" w:eastAsia="Arial" w:hAnsi="Arial"/>
          <w:b/>
          <w:bCs/>
          <w:color w:val="333333"/>
          <w:sz w:val="26"/>
          <w:szCs w:val="26"/>
        </w:rPr>
        <w:t xml:space="preserve">2.4 Limited Self-Service Options</w:t>
      </w:r>
    </w:p>
    <w:p>
      <w:pPr>
        <w:spacing w:after="120" w:line="276"/>
      </w:pPr>
      <w:r>
        <w:rPr>
          <w:rFonts w:ascii="Arial" w:cs="Arial" w:eastAsia="Arial" w:hAnsi="Arial"/>
          <w:color w:val="333333"/>
          <w:sz w:val="22"/>
          <w:szCs w:val="22"/>
        </w:rPr>
        <w:t xml:space="preserve">Employees had no way to independently access HR information outside of business hours. The 35% of the workforce working remotely faced additional delays when HR staff were unavailable.</w:t>
      </w:r>
    </w:p>
    <w:p>
      <w:r>
        <w:br w:type="page"/>
      </w:r>
    </w:p>
    <w:p>
      <w:pPr>
        <w:pStyle w:val="Heading1"/>
        <w:spacing w:before="360" w:after="200"/>
      </w:pPr>
      <w:r>
        <w:rPr>
          <w:rFonts w:ascii="Arial" w:cs="Arial" w:eastAsia="Arial" w:hAnsi="Arial"/>
          <w:b/>
          <w:bCs/>
          <w:color w:val="4A2C8A"/>
          <w:sz w:val="32"/>
          <w:szCs w:val="32"/>
        </w:rPr>
        <w:t xml:space="preserve">3. AI-Powered Solution Architecture</w:t>
      </w:r>
    </w:p>
    <w:p>
      <w:pPr>
        <w:spacing w:after="120" w:line="276"/>
      </w:pPr>
      <w:r>
        <w:rPr>
          <w:rFonts w:ascii="Arial" w:cs="Arial" w:eastAsia="Arial" w:hAnsi="Arial"/>
          <w:color w:val="333333"/>
          <w:sz w:val="22"/>
          <w:szCs w:val="22"/>
        </w:rPr>
        <w:t xml:space="preserve">The TechNova HR Intelligence Platform uses a multi-agent architecture where specialized AI agents collaborate to handle diverse HR inquiries. The system routes each query to the most appropriate agent based on intent classification.</w:t>
      </w:r>
    </w:p>
    <w:p>
      <w:pPr>
        <w:spacing w:after="120"/>
      </w:pPr>
    </w:p>
    <w:p>
      <w:pPr>
        <w:pStyle w:val="Heading2"/>
        <w:spacing w:before="240" w:after="160"/>
      </w:pPr>
      <w:r>
        <w:rPr>
          <w:rFonts w:ascii="Arial" w:cs="Arial" w:eastAsia="Arial" w:hAnsi="Arial"/>
          <w:b/>
          <w:bCs/>
          <w:color w:val="333333"/>
          <w:sz w:val="26"/>
          <w:szCs w:val="26"/>
        </w:rPr>
        <w:t xml:space="preserve">3.1 Multi-Agent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4A2C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w:t>
            </w:r>
          </w:p>
        </w:tc>
        <w:tc>
          <w:tcPr>
            <w:tcW w:type="dxa" w:w="2800"/>
            <w:tcBorders>
              <w:top w:val="single" w:color="CCCCCC" w:sz="1"/>
              <w:left w:val="single" w:color="CCCCCC" w:sz="1"/>
              <w:bottom w:val="single" w:color="CCCCCC" w:sz="1"/>
              <w:right w:val="single" w:color="CCCCCC" w:sz="1"/>
            </w:tcBorders>
            <w:shd w:fill="4A2C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Capabilities</w:t>
            </w:r>
          </w:p>
        </w:tc>
        <w:tc>
          <w:tcPr>
            <w:tcW w:type="dxa" w:w="2200"/>
            <w:tcBorders>
              <w:top w:val="single" w:color="CCCCCC" w:sz="1"/>
              <w:left w:val="single" w:color="CCCCCC" w:sz="1"/>
              <w:bottom w:val="single" w:color="CCCCCC" w:sz="1"/>
              <w:right w:val="single" w:color="CCCCCC" w:sz="1"/>
            </w:tcBorders>
            <w:shd w:fill="4A2C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Knowledge Sources</w:t>
            </w:r>
          </w:p>
        </w:tc>
        <w:tc>
          <w:tcPr>
            <w:tcW w:type="dxa" w:w="2160"/>
            <w:tcBorders>
              <w:top w:val="single" w:color="CCCCCC" w:sz="1"/>
              <w:left w:val="single" w:color="CCCCCC" w:sz="1"/>
              <w:bottom w:val="single" w:color="CCCCCC" w:sz="1"/>
              <w:right w:val="single" w:color="CCCCCC" w:sz="1"/>
            </w:tcBorders>
            <w:shd w:fill="4A2C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Leave 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PTO balances, leave requests, vacation policy, sick leave, FMLA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Leave database, FMLA regulations, company policy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0.90</w:t>
            </w:r>
          </w:p>
        </w:tc>
      </w:tr>
      <w:tr>
        <w:tc>
          <w:tcPr>
            <w:tcW w:type="dxa" w:w="22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Benefits Agent</w:t>
            </w:r>
          </w:p>
        </w:tc>
        <w:tc>
          <w:tcPr>
            <w:tcW w:type="dxa" w:w="28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Health insurance, 401(k), dental/vision, ESPP, wellness programs</w:t>
            </w:r>
          </w:p>
        </w:tc>
        <w:tc>
          <w:tcPr>
            <w:tcW w:type="dxa" w:w="22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Benefits guides, ACA compliance, plan documents</w:t>
            </w:r>
          </w:p>
        </w:tc>
        <w:tc>
          <w:tcPr>
            <w:tcW w:type="dxa" w:w="216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0.92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Policy 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Remote work, dress code, working hours, code of conduct, reviews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Employee handbook, company policies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0.85</w:t>
            </w:r>
          </w:p>
        </w:tc>
      </w:tr>
      <w:tr>
        <w:tc>
          <w:tcPr>
            <w:tcW w:type="dxa" w:w="22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Payroll Agent</w:t>
            </w:r>
          </w:p>
        </w:tc>
        <w:tc>
          <w:tcPr>
            <w:tcW w:type="dxa" w:w="28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Pay schedules, direct deposit, tax withholding, W-2/W-4</w:t>
            </w:r>
          </w:p>
        </w:tc>
        <w:tc>
          <w:tcPr>
            <w:tcW w:type="dxa" w:w="22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Payroll system (ADP), IRS guidelines</w:t>
            </w:r>
          </w:p>
        </w:tc>
        <w:tc>
          <w:tcPr>
            <w:tcW w:type="dxa" w:w="216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Onboarding 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New hire guides, orientation, I-9 verification, setup checklists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Onboarding playbook, compliance docs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0.88</w:t>
            </w:r>
          </w:p>
        </w:tc>
      </w:tr>
      <w:tr>
        <w:tc>
          <w:tcPr>
            <w:tcW w:type="dxa" w:w="22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HR Document Agent</w:t>
            </w:r>
          </w:p>
        </w:tc>
        <w:tc>
          <w:tcPr>
            <w:tcW w:type="dxa" w:w="28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Employment certificates, offer letters, reference letters</w:t>
            </w:r>
          </w:p>
        </w:tc>
        <w:tc>
          <w:tcPr>
            <w:tcW w:type="dxa" w:w="22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Document templates, employee records</w:t>
            </w:r>
          </w:p>
        </w:tc>
        <w:tc>
          <w:tcPr>
            <w:tcW w:type="dxa" w:w="216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0.80</w:t>
            </w:r>
          </w:p>
        </w:tc>
      </w:tr>
    </w:tbl>
    <w:p>
      <w:pPr>
        <w:spacing w:after="200"/>
      </w:pPr>
    </w:p>
    <w:p>
      <w:pPr>
        <w:pStyle w:val="Heading2"/>
        <w:spacing w:before="240" w:after="160"/>
      </w:pPr>
      <w:r>
        <w:rPr>
          <w:rFonts w:ascii="Arial" w:cs="Arial" w:eastAsia="Arial" w:hAnsi="Arial"/>
          <w:b/>
          <w:bCs/>
          <w:color w:val="333333"/>
          <w:sz w:val="26"/>
          <w:szCs w:val="26"/>
        </w:rPr>
        <w:t xml:space="preserve">3.2 RAG Knowledge Base</w:t>
      </w:r>
    </w:p>
    <w:p>
      <w:pPr>
        <w:spacing w:after="120" w:line="276"/>
      </w:pPr>
      <w:r>
        <w:rPr>
          <w:rFonts w:ascii="Arial" w:cs="Arial" w:eastAsia="Arial" w:hAnsi="Arial"/>
          <w:color w:val="333333"/>
          <w:sz w:val="22"/>
          <w:szCs w:val="22"/>
        </w:rPr>
        <w:t xml:space="preserve">The platform maintains a comprehensive knowledge base organized into five categories covering 11+ curated data files with real-world HR content:</w:t>
      </w:r>
    </w:p>
    <w:p>
      <w:pPr>
        <w:pStyle w:val="ListParagraph"/>
        <w:numPr>
          <w:ilvl w:val="0"/>
          <w:numId w:val="2"/>
        </w:numPr>
        <w:spacing w:after="80"/>
      </w:pPr>
      <w:r>
        <w:rPr>
          <w:rFonts w:ascii="Arial" w:cs="Arial" w:eastAsia="Arial" w:hAnsi="Arial"/>
          <w:sz w:val="22"/>
          <w:szCs w:val="22"/>
        </w:rPr>
        <w:t xml:space="preserve">Employment Law: FMLA, ADA, Title VII, FLSA, Equal Pay Act, WARN Act</w:t>
      </w:r>
    </w:p>
    <w:p>
      <w:pPr>
        <w:pStyle w:val="ListParagraph"/>
        <w:numPr>
          <w:ilvl w:val="0"/>
          <w:numId w:val="2"/>
        </w:numPr>
        <w:spacing w:after="80"/>
      </w:pPr>
      <w:r>
        <w:rPr>
          <w:rFonts w:ascii="Arial" w:cs="Arial" w:eastAsia="Arial" w:hAnsi="Arial"/>
          <w:sz w:val="22"/>
          <w:szCs w:val="22"/>
        </w:rPr>
        <w:t xml:space="preserve">Benefits &amp; Compensation: Health plans (PPO/HMO/HDHP), 401(k), dental, vision, life insurance, ESPP</w:t>
      </w:r>
    </w:p>
    <w:p>
      <w:pPr>
        <w:pStyle w:val="ListParagraph"/>
        <w:numPr>
          <w:ilvl w:val="0"/>
          <w:numId w:val="2"/>
        </w:numPr>
        <w:spacing w:after="80"/>
      </w:pPr>
      <w:r>
        <w:rPr>
          <w:rFonts w:ascii="Arial" w:cs="Arial" w:eastAsia="Arial" w:hAnsi="Arial"/>
          <w:sz w:val="22"/>
          <w:szCs w:val="22"/>
        </w:rPr>
        <w:t xml:space="preserve">Company Policies: Remote work, code of conduct, performance reviews, anti-harassment</w:t>
      </w:r>
    </w:p>
    <w:p>
      <w:pPr>
        <w:pStyle w:val="ListParagraph"/>
        <w:numPr>
          <w:ilvl w:val="0"/>
          <w:numId w:val="2"/>
        </w:numPr>
        <w:spacing w:after="80"/>
      </w:pPr>
      <w:r>
        <w:rPr>
          <w:rFonts w:ascii="Arial" w:cs="Arial" w:eastAsia="Arial" w:hAnsi="Arial"/>
          <w:sz w:val="22"/>
          <w:szCs w:val="22"/>
        </w:rPr>
        <w:t xml:space="preserve">Payroll &amp; Compliance: Pay schedules, tax withholding, I-9 verification, background checks</w:t>
      </w:r>
    </w:p>
    <w:p>
      <w:pPr>
        <w:pStyle w:val="ListParagraph"/>
        <w:numPr>
          <w:ilvl w:val="0"/>
          <w:numId w:val="2"/>
        </w:numPr>
        <w:spacing w:after="80"/>
      </w:pPr>
      <w:r>
        <w:rPr>
          <w:rFonts w:ascii="Arial" w:cs="Arial" w:eastAsia="Arial" w:hAnsi="Arial"/>
          <w:sz w:val="22"/>
          <w:szCs w:val="22"/>
        </w:rPr>
        <w:t xml:space="preserve">Employee Handbook: Onboarding, workplace safety, ERGs, company events calendar</w:t>
      </w:r>
    </w:p>
    <w:p>
      <w:pPr>
        <w:spacing w:after="120"/>
      </w:pPr>
    </w:p>
    <w:p>
      <w:pPr>
        <w:pStyle w:val="Heading2"/>
        <w:spacing w:before="240" w:after="160"/>
      </w:pPr>
      <w:r>
        <w:rPr>
          <w:rFonts w:ascii="Arial" w:cs="Arial" w:eastAsia="Arial" w:hAnsi="Arial"/>
          <w:b/>
          <w:bCs/>
          <w:color w:val="333333"/>
          <w:sz w:val="26"/>
          <w:szCs w:val="26"/>
        </w:rPr>
        <w:t xml:space="preserve">3.3 Technology Stack</w:t>
      </w:r>
    </w:p>
    <w:p>
      <w:pPr>
        <w:spacing w:after="120" w:line="276"/>
      </w:pPr>
      <w:r>
        <w:rPr>
          <w:rFonts w:ascii="Arial" w:cs="Arial" w:eastAsia="Arial" w:hAnsi="Arial"/>
          <w:color w:val="333333"/>
          <w:sz w:val="22"/>
          <w:szCs w:val="22"/>
        </w:rPr>
        <w:t xml:space="preserve">The platform is built on a modern, scalable technology stack: Flask (Python) for the API server, LangGraph for agent orchestration, ChromaDB with SentenceTransformers for vector search, Google Gemini for LLM inference, SQLite for persistence, and bcrypt/JWT for authentication. The frontend uses responsive HTML/CSS/JS with role-based access control.</w:t>
      </w:r>
    </w:p>
    <w:p>
      <w:r>
        <w:br w:type="page"/>
      </w:r>
    </w:p>
    <w:p>
      <w:pPr>
        <w:pStyle w:val="Heading1"/>
        <w:spacing w:before="360" w:after="200"/>
      </w:pPr>
      <w:r>
        <w:rPr>
          <w:rFonts w:ascii="Arial" w:cs="Arial" w:eastAsia="Arial" w:hAnsi="Arial"/>
          <w:b/>
          <w:bCs/>
          <w:color w:val="4A2C8A"/>
          <w:sz w:val="32"/>
          <w:szCs w:val="32"/>
        </w:rPr>
        <w:t xml:space="preserve">4. Productivity Impact by Workflow</w:t>
      </w:r>
    </w:p>
    <w:p>
      <w:pPr>
        <w:spacing w:after="120" w:line="276"/>
      </w:pPr>
      <w:r>
        <w:rPr>
          <w:rFonts w:ascii="Arial" w:cs="Arial" w:eastAsia="Arial" w:hAnsi="Arial"/>
          <w:color w:val="333333"/>
          <w:sz w:val="22"/>
          <w:szCs w:val="22"/>
        </w:rPr>
        <w:t xml:space="preserve">The following analysis compares pre-implementation manual processes with post-implementation AI-assisted workflows across five core HR operations.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2200"/>
            <w:tcBorders>
              <w:top w:val="single" w:color="CCCCCC" w:sz="1"/>
              <w:left w:val="single" w:color="CCCCCC" w:sz="1"/>
              <w:bottom w:val="single" w:color="CCCCCC" w:sz="1"/>
              <w:right w:val="single" w:color="CCCCCC" w:sz="1"/>
            </w:tcBorders>
            <w:shd w:fill="4A2C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Workflow</w:t>
            </w:r>
          </w:p>
        </w:tc>
        <w:tc>
          <w:tcPr>
            <w:tcW w:type="dxa" w:w="1600"/>
            <w:tcBorders>
              <w:top w:val="single" w:color="CCCCCC" w:sz="1"/>
              <w:left w:val="single" w:color="CCCCCC" w:sz="1"/>
              <w:bottom w:val="single" w:color="CCCCCC" w:sz="1"/>
              <w:right w:val="single" w:color="CCCCCC" w:sz="1"/>
            </w:tcBorders>
            <w:shd w:fill="4A2C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Before (Avg)</w:t>
            </w:r>
          </w:p>
        </w:tc>
        <w:tc>
          <w:tcPr>
            <w:tcW w:type="dxa" w:w="1600"/>
            <w:tcBorders>
              <w:top w:val="single" w:color="CCCCCC" w:sz="1"/>
              <w:left w:val="single" w:color="CCCCCC" w:sz="1"/>
              <w:bottom w:val="single" w:color="CCCCCC" w:sz="1"/>
              <w:right w:val="single" w:color="CCCCCC" w:sz="1"/>
            </w:tcBorders>
            <w:shd w:fill="4A2C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After (Avg)</w:t>
            </w:r>
          </w:p>
        </w:tc>
        <w:tc>
          <w:tcPr>
            <w:tcW w:type="dxa" w:w="1600"/>
            <w:tcBorders>
              <w:top w:val="single" w:color="CCCCCC" w:sz="1"/>
              <w:left w:val="single" w:color="CCCCCC" w:sz="1"/>
              <w:bottom w:val="single" w:color="CCCCCC" w:sz="1"/>
              <w:right w:val="single" w:color="CCCCCC" w:sz="1"/>
            </w:tcBorders>
            <w:shd w:fill="4A2C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Reduction</w:t>
            </w:r>
          </w:p>
        </w:tc>
        <w:tc>
          <w:tcPr>
            <w:tcW w:type="dxa" w:w="2360"/>
            <w:tcBorders>
              <w:top w:val="single" w:color="CCCCCC" w:sz="1"/>
              <w:left w:val="single" w:color="CCCCCC" w:sz="1"/>
              <w:bottom w:val="single" w:color="CCCCCC" w:sz="1"/>
              <w:right w:val="single" w:color="CCCCCC" w:sz="1"/>
            </w:tcBorders>
            <w:shd w:fill="4A2C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Annual Hours Saved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Leave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 minutes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 minutes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87%</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1,430 hrs/year</w:t>
            </w:r>
          </w:p>
        </w:tc>
      </w:tr>
      <w:tr>
        <w:tc>
          <w:tcPr>
            <w:tcW w:type="dxa" w:w="22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Benefits Inquiries</w:t>
            </w:r>
          </w:p>
        </w:tc>
        <w:tc>
          <w:tcPr>
            <w:tcW w:type="dxa" w:w="16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 minutes</w:t>
            </w:r>
          </w:p>
        </w:tc>
        <w:tc>
          <w:tcPr>
            <w:tcW w:type="dxa" w:w="16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&lt; 5 seconds</w:t>
            </w:r>
          </w:p>
        </w:tc>
        <w:tc>
          <w:tcPr>
            <w:tcW w:type="dxa" w:w="16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99%</w:t>
            </w:r>
          </w:p>
        </w:tc>
        <w:tc>
          <w:tcPr>
            <w:tcW w:type="dxa" w:w="236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2,080 hrs/year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Document Generation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 hours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minutes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96%</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780 hrs/year</w:t>
            </w:r>
          </w:p>
        </w:tc>
      </w:tr>
      <w:tr>
        <w:tc>
          <w:tcPr>
            <w:tcW w:type="dxa" w:w="22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Policy Lookups</w:t>
            </w:r>
          </w:p>
        </w:tc>
        <w:tc>
          <w:tcPr>
            <w:tcW w:type="dxa" w:w="16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 minutes</w:t>
            </w:r>
          </w:p>
        </w:tc>
        <w:tc>
          <w:tcPr>
            <w:tcW w:type="dxa" w:w="16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&lt; 5 seconds</w:t>
            </w:r>
          </w:p>
        </w:tc>
        <w:tc>
          <w:tcPr>
            <w:tcW w:type="dxa" w:w="16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99%</w:t>
            </w:r>
          </w:p>
        </w:tc>
        <w:tc>
          <w:tcPr>
            <w:tcW w:type="dxa" w:w="236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1,560 hrs/year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Employee Onboarding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 hours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 hours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75%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360 hrs/year</w:t>
            </w:r>
          </w:p>
        </w:tc>
      </w:tr>
      <w:tr>
        <w:tc>
          <w:tcPr>
            <w:tcW w:type="dxa" w:w="22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TOTAL</w:t>
            </w:r>
          </w:p>
        </w:tc>
        <w:tc>
          <w:tcPr>
            <w:tcW w:type="dxa" w:w="16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236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6,210 hrs/year</w:t>
            </w:r>
          </w:p>
        </w:tc>
      </w:tr>
    </w:tbl>
    <w:p>
      <w:pPr>
        <w:spacing w:after="200"/>
      </w:pPr>
    </w:p>
    <w:p>
      <w:pPr>
        <w:spacing w:after="120" w:line="276"/>
      </w:pPr>
      <w:r>
        <w:rPr>
          <w:rFonts w:ascii="Arial" w:cs="Arial" w:eastAsia="Arial" w:hAnsi="Arial"/>
          <w:color w:val="333333"/>
          <w:sz w:val="22"/>
          <w:szCs w:val="22"/>
        </w:rPr>
        <w:t xml:space="preserve">Based on 67 employees generating approximately 8,280 HR interactions annually, the platform eliminates an estimated 6,210 hours of manual HR processing per year, equivalent to 3 full-time HR staff positions.</w:t>
      </w:r>
    </w:p>
    <w:p>
      <w:r>
        <w:br w:type="page"/>
      </w:r>
    </w:p>
    <w:p>
      <w:pPr>
        <w:pStyle w:val="Heading1"/>
        <w:spacing w:before="360" w:after="200"/>
      </w:pPr>
      <w:r>
        <w:rPr>
          <w:rFonts w:ascii="Arial" w:cs="Arial" w:eastAsia="Arial" w:hAnsi="Arial"/>
          <w:b/>
          <w:bCs/>
          <w:color w:val="4A2C8A"/>
          <w:sz w:val="32"/>
          <w:szCs w:val="32"/>
        </w:rPr>
        <w:t xml:space="preserve">5. Return on Investment Analysis</w:t>
      </w:r>
    </w:p>
    <w:p>
      <w:pPr>
        <w:pStyle w:val="Heading2"/>
        <w:spacing w:before="240" w:after="160"/>
      </w:pPr>
      <w:r>
        <w:rPr>
          <w:rFonts w:ascii="Arial" w:cs="Arial" w:eastAsia="Arial" w:hAnsi="Arial"/>
          <w:b/>
          <w:bCs/>
          <w:color w:val="333333"/>
          <w:sz w:val="26"/>
          <w:szCs w:val="26"/>
        </w:rPr>
        <w:t xml:space="preserve">5.1 Cost Savings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A2C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 Category</w:t>
            </w:r>
          </w:p>
        </w:tc>
        <w:tc>
          <w:tcPr>
            <w:tcW w:type="dxa" w:w="4680"/>
            <w:tcBorders>
              <w:top w:val="single" w:color="CCCCCC" w:sz="1"/>
              <w:left w:val="single" w:color="CCCCCC" w:sz="1"/>
              <w:bottom w:val="single" w:color="CCCCCC" w:sz="1"/>
              <w:right w:val="single" w:color="CCCCCC" w:sz="1"/>
            </w:tcBorders>
            <w:shd w:fill="4A2C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Annual Impact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HR staff time savings (6,210 hrs x $50/hr)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2E7D32"/>
                <w:sz w:val="20"/>
                <w:szCs w:val="20"/>
              </w:rPr>
              <w:t xml:space="preserve">$310,500</w:t>
            </w:r>
          </w:p>
        </w:tc>
      </w:tr>
      <w:tr>
        <w:tc>
          <w:tcPr>
            <w:tcW w:type="dxa" w:w="468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Reduced policy compliance violations</w:t>
            </w:r>
          </w:p>
        </w:tc>
        <w:tc>
          <w:tcPr>
            <w:tcW w:type="dxa" w:w="468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right"/>
            </w:pPr>
            <w:r>
              <w:rPr>
                <w:rFonts w:ascii="Arial" w:cs="Arial" w:eastAsia="Arial" w:hAnsi="Arial"/>
                <w:b/>
                <w:bCs/>
                <w:color w:val="2E7D32"/>
                <w:sz w:val="20"/>
                <w:szCs w:val="20"/>
              </w:rPr>
              <w:t xml:space="preserve">$45,000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Faster onboarding (employee productivity gain)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2E7D32"/>
                <w:sz w:val="20"/>
                <w:szCs w:val="20"/>
              </w:rPr>
              <w:t xml:space="preserve">$67,200</w:t>
            </w:r>
          </w:p>
        </w:tc>
      </w:tr>
      <w:tr>
        <w:tc>
          <w:tcPr>
            <w:tcW w:type="dxa" w:w="468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Platform operating costs (cloud, LLM API, maintenance)</w:t>
            </w:r>
          </w:p>
        </w:tc>
        <w:tc>
          <w:tcPr>
            <w:tcW w:type="dxa" w:w="468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right"/>
            </w:pPr>
            <w:r>
              <w:rPr>
                <w:rFonts w:ascii="Arial" w:cs="Arial" w:eastAsia="Arial" w:hAnsi="Arial"/>
                <w:b w:val="false"/>
                <w:bCs w:val="false"/>
                <w:color w:val="C62828"/>
                <w:sz w:val="20"/>
                <w:szCs w:val="20"/>
              </w:rPr>
              <w:t xml:space="preserve">($110,700)</w:t>
            </w:r>
          </w:p>
        </w:tc>
      </w:tr>
      <w:tr>
        <w:tc>
          <w:tcPr>
            <w:tcW w:type="dxa" w:w="468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NET ANNUAL SAVINGS</w:t>
            </w:r>
          </w:p>
        </w:tc>
        <w:tc>
          <w:tcPr>
            <w:tcW w:type="dxa" w:w="468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vAlign w:val="center"/>
          </w:tcPr>
          <w:p>
            <w:pPr>
              <w:jc w:val="right"/>
            </w:pPr>
            <w:r>
              <w:rPr>
                <w:rFonts w:ascii="Arial" w:cs="Arial" w:eastAsia="Arial" w:hAnsi="Arial"/>
                <w:b/>
                <w:bCs/>
                <w:color w:val="2E7D32"/>
                <w:sz w:val="20"/>
                <w:szCs w:val="20"/>
              </w:rPr>
              <w:t xml:space="preserve">$312,000</w:t>
            </w:r>
          </w:p>
        </w:tc>
      </w:tr>
    </w:tbl>
    <w:p>
      <w:pPr>
        <w:spacing w:after="200"/>
      </w:pPr>
    </w:p>
    <w:p>
      <w:pPr>
        <w:pStyle w:val="Heading2"/>
        <w:spacing w:before="240" w:after="160"/>
      </w:pPr>
      <w:r>
        <w:rPr>
          <w:rFonts w:ascii="Arial" w:cs="Arial" w:eastAsia="Arial" w:hAnsi="Arial"/>
          <w:b/>
          <w:bCs/>
          <w:color w:val="333333"/>
          <w:sz w:val="26"/>
          <w:szCs w:val="26"/>
        </w:rPr>
        <w:t xml:space="preserve">5.2 Per-Employee Impact</w:t>
      </w:r>
    </w:p>
    <w:p>
      <w:pPr>
        <w:spacing w:after="120" w:line="276"/>
      </w:pPr>
      <w:r>
        <w:rPr>
          <w:rFonts w:ascii="Arial" w:cs="Arial" w:eastAsia="Arial" w:hAnsi="Arial"/>
          <w:color w:val="333333"/>
          <w:sz w:val="22"/>
          <w:szCs w:val="22"/>
        </w:rPr>
        <w:t xml:space="preserve">With 67 employees served, the platform delivers $4,657 in annual savings per employee. For HR staff specifically (5 FTEs), the time savings translate to each HR team member reclaiming approximately 1,242 hours per year, enabling them to focus on strategic initiatives such as talent development, culture programs, and organizational design.</w:t>
      </w:r>
    </w:p>
    <w:p>
      <w:pPr>
        <w:spacing w:after="120"/>
      </w:pPr>
    </w:p>
    <w:p>
      <w:pPr>
        <w:pStyle w:val="Heading2"/>
        <w:spacing w:before="240" w:after="160"/>
      </w:pPr>
      <w:r>
        <w:rPr>
          <w:rFonts w:ascii="Arial" w:cs="Arial" w:eastAsia="Arial" w:hAnsi="Arial"/>
          <w:b/>
          <w:bCs/>
          <w:color w:val="333333"/>
          <w:sz w:val="26"/>
          <w:szCs w:val="26"/>
        </w:rPr>
        <w:t xml:space="preserve">5.3 Payback Period</w:t>
      </w:r>
    </w:p>
    <w:p>
      <w:pPr>
        <w:spacing w:after="120" w:line="276"/>
      </w:pPr>
      <w:r>
        <w:rPr>
          <w:rFonts w:ascii="Arial" w:cs="Arial" w:eastAsia="Arial" w:hAnsi="Arial"/>
          <w:color w:val="333333"/>
          <w:sz w:val="22"/>
          <w:szCs w:val="22"/>
        </w:rPr>
        <w:t xml:space="preserve">Initial development and deployment costs of approximately $185,000 are fully recovered within 7.1 months of operation, delivering an ROI of 169% in the first year.</w:t>
      </w:r>
    </w:p>
    <w:p>
      <w:r>
        <w:br w:type="page"/>
      </w:r>
    </w:p>
    <w:p>
      <w:pPr>
        <w:pStyle w:val="Heading1"/>
        <w:spacing w:before="360" w:after="200"/>
      </w:pPr>
      <w:r>
        <w:rPr>
          <w:rFonts w:ascii="Arial" w:cs="Arial" w:eastAsia="Arial" w:hAnsi="Arial"/>
          <w:b/>
          <w:bCs/>
          <w:color w:val="4A2C8A"/>
          <w:sz w:val="32"/>
          <w:szCs w:val="32"/>
        </w:rPr>
        <w:t xml:space="preserve">6. Quality Metrics &amp; Chatbot Performance</w:t>
      </w:r>
    </w:p>
    <w:p>
      <w:pPr>
        <w:pStyle w:val="Heading2"/>
        <w:spacing w:before="240" w:after="160"/>
      </w:pPr>
      <w:r>
        <w:rPr>
          <w:rFonts w:ascii="Arial" w:cs="Arial" w:eastAsia="Arial" w:hAnsi="Arial"/>
          <w:b/>
          <w:bCs/>
          <w:color w:val="333333"/>
          <w:sz w:val="26"/>
          <w:szCs w:val="26"/>
        </w:rPr>
        <w:t xml:space="preserve">6.1 End-to-End Test Results</w:t>
      </w:r>
    </w:p>
    <w:p>
      <w:pPr>
        <w:spacing w:after="120" w:line="276"/>
      </w:pPr>
      <w:r>
        <w:rPr>
          <w:rFonts w:ascii="Arial" w:cs="Arial" w:eastAsia="Arial" w:hAnsi="Arial"/>
          <w:color w:val="333333"/>
          <w:sz w:val="22"/>
          <w:szCs w:val="22"/>
        </w:rPr>
        <w:t xml:space="preserve">A comprehensive test suite of 60 queries across 12 categories was executed against the production system. Results demonstrate enterprise-grade reliability: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600"/>
        <w:gridCol w:w="2560"/>
      </w:tblGrid>
      <w:tr>
        <w:tc>
          <w:tcPr>
            <w:tcW w:type="dxa" w:w="2800"/>
            <w:tcBorders>
              <w:top w:val="single" w:color="CCCCCC" w:sz="1"/>
              <w:left w:val="single" w:color="CCCCCC" w:sz="1"/>
              <w:bottom w:val="single" w:color="CCCCCC" w:sz="1"/>
              <w:right w:val="single" w:color="CCCCCC" w:sz="1"/>
            </w:tcBorders>
            <w:shd w:fill="4A2C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4A2C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Tests</w:t>
            </w:r>
          </w:p>
        </w:tc>
        <w:tc>
          <w:tcPr>
            <w:tcW w:type="dxa" w:w="1200"/>
            <w:tcBorders>
              <w:top w:val="single" w:color="CCCCCC" w:sz="1"/>
              <w:left w:val="single" w:color="CCCCCC" w:sz="1"/>
              <w:bottom w:val="single" w:color="CCCCCC" w:sz="1"/>
              <w:right w:val="single" w:color="CCCCCC" w:sz="1"/>
            </w:tcBorders>
            <w:shd w:fill="4A2C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Passed</w:t>
            </w:r>
          </w:p>
        </w:tc>
        <w:tc>
          <w:tcPr>
            <w:tcW w:type="dxa" w:w="1600"/>
            <w:tcBorders>
              <w:top w:val="single" w:color="CCCCCC" w:sz="1"/>
              <w:left w:val="single" w:color="CCCCCC" w:sz="1"/>
              <w:bottom w:val="single" w:color="CCCCCC" w:sz="1"/>
              <w:right w:val="single" w:color="CCCCCC" w:sz="1"/>
            </w:tcBorders>
            <w:shd w:fill="4A2C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Pass Rate</w:t>
            </w:r>
          </w:p>
        </w:tc>
        <w:tc>
          <w:tcPr>
            <w:tcW w:type="dxa" w:w="2560"/>
            <w:tcBorders>
              <w:top w:val="single" w:color="CCCCCC" w:sz="1"/>
              <w:left w:val="single" w:color="CCCCCC" w:sz="1"/>
              <w:bottom w:val="single" w:color="CCCCCC" w:sz="1"/>
              <w:right w:val="single" w:color="CCCCCC" w:sz="1"/>
            </w:tcBorders>
            <w:shd w:fill="4A2C8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Confidence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Greetings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100%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0.95</w:t>
            </w:r>
          </w:p>
        </w:tc>
      </w:tr>
      <w:tr>
        <w:tc>
          <w:tcPr>
            <w:tcW w:type="dxa" w:w="28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Capabilities</w:t>
            </w:r>
          </w:p>
        </w:tc>
        <w:tc>
          <w:tcPr>
            <w:tcW w:type="dxa" w:w="12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6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100%</w:t>
            </w:r>
          </w:p>
        </w:tc>
        <w:tc>
          <w:tcPr>
            <w:tcW w:type="dxa" w:w="256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0.93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Identity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100%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0.90</w:t>
            </w:r>
          </w:p>
        </w:tc>
      </w:tr>
      <w:tr>
        <w:tc>
          <w:tcPr>
            <w:tcW w:type="dxa" w:w="28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Farewell</w:t>
            </w:r>
          </w:p>
        </w:tc>
        <w:tc>
          <w:tcPr>
            <w:tcW w:type="dxa" w:w="12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6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100%</w:t>
            </w:r>
          </w:p>
        </w:tc>
        <w:tc>
          <w:tcPr>
            <w:tcW w:type="dxa" w:w="256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0.95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Leave Queries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100%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0.89</w:t>
            </w:r>
          </w:p>
        </w:tc>
      </w:tr>
      <w:tr>
        <w:tc>
          <w:tcPr>
            <w:tcW w:type="dxa" w:w="28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Benefits Queries</w:t>
            </w:r>
          </w:p>
        </w:tc>
        <w:tc>
          <w:tcPr>
            <w:tcW w:type="dxa" w:w="12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6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100%</w:t>
            </w:r>
          </w:p>
        </w:tc>
        <w:tc>
          <w:tcPr>
            <w:tcW w:type="dxa" w:w="256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0.91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Policy Queries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100%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0.85</w:t>
            </w:r>
          </w:p>
        </w:tc>
      </w:tr>
      <w:tr>
        <w:tc>
          <w:tcPr>
            <w:tcW w:type="dxa" w:w="28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Payroll Queries</w:t>
            </w:r>
          </w:p>
        </w:tc>
        <w:tc>
          <w:tcPr>
            <w:tcW w:type="dxa" w:w="12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6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100%</w:t>
            </w:r>
          </w:p>
        </w:tc>
        <w:tc>
          <w:tcPr>
            <w:tcW w:type="dxa" w:w="256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Onboarding Queries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100%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0.87</w:t>
            </w:r>
          </w:p>
        </w:tc>
      </w:tr>
      <w:tr>
        <w:tc>
          <w:tcPr>
            <w:tcW w:type="dxa" w:w="28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Document Queries</w:t>
            </w:r>
          </w:p>
        </w:tc>
        <w:tc>
          <w:tcPr>
            <w:tcW w:type="dxa" w:w="12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100%</w:t>
            </w:r>
          </w:p>
        </w:tc>
        <w:tc>
          <w:tcPr>
            <w:tcW w:type="dxa" w:w="256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Edge Cases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100%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0.30</w:t>
            </w:r>
          </w:p>
        </w:tc>
      </w:tr>
      <w:tr>
        <w:tc>
          <w:tcPr>
            <w:tcW w:type="dxa" w:w="28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Mixed Queries</w:t>
            </w:r>
          </w:p>
        </w:tc>
        <w:tc>
          <w:tcPr>
            <w:tcW w:type="dxa" w:w="12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100%</w:t>
            </w:r>
          </w:p>
        </w:tc>
        <w:tc>
          <w:tcPr>
            <w:tcW w:type="dxa" w:w="256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0.89</w:t>
            </w:r>
          </w:p>
        </w:tc>
      </w:tr>
      <w:tr>
        <w:tc>
          <w:tcPr>
            <w:tcW w:type="dxa" w:w="28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TOTAL</w:t>
            </w:r>
          </w:p>
        </w:tc>
        <w:tc>
          <w:tcPr>
            <w:tcW w:type="dxa" w:w="12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60</w:t>
            </w:r>
          </w:p>
        </w:tc>
        <w:tc>
          <w:tcPr>
            <w:tcW w:type="dxa" w:w="12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60</w:t>
            </w:r>
          </w:p>
        </w:tc>
        <w:tc>
          <w:tcPr>
            <w:tcW w:type="dxa" w:w="16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100%</w:t>
            </w:r>
          </w:p>
        </w:tc>
        <w:tc>
          <w:tcPr>
            <w:tcW w:type="dxa" w:w="256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0.87 avg</w:t>
            </w:r>
          </w:p>
        </w:tc>
      </w:tr>
    </w:tbl>
    <w:p>
      <w:pPr>
        <w:spacing w:after="200"/>
      </w:pPr>
    </w:p>
    <w:p>
      <w:pPr>
        <w:pStyle w:val="Heading2"/>
        <w:spacing w:before="240" w:after="160"/>
      </w:pPr>
      <w:r>
        <w:rPr>
          <w:rFonts w:ascii="Arial" w:cs="Arial" w:eastAsia="Arial" w:hAnsi="Arial"/>
          <w:b/>
          <w:bCs/>
          <w:color w:val="333333"/>
          <w:sz w:val="26"/>
          <w:szCs w:val="26"/>
        </w:rPr>
        <w:t xml:space="preserve">6.2 Performance Metrics</w:t>
      </w:r>
    </w:p>
    <w:p>
      <w:pPr>
        <w:pStyle w:val="ListParagraph"/>
        <w:numPr>
          <w:ilvl w:val="0"/>
          <w:numId w:val="2"/>
        </w:numPr>
        <w:spacing w:after="80"/>
      </w:pPr>
      <w:r>
        <w:rPr>
          <w:rFonts w:ascii="Arial" w:cs="Arial" w:eastAsia="Arial" w:hAnsi="Arial"/>
          <w:sz w:val="22"/>
          <w:szCs w:val="22"/>
        </w:rPr>
        <w:t xml:space="preserve">Average response time: &lt; 5ms (static knowledge base), &lt; 2s (LLM-powered responses)</w:t>
      </w:r>
    </w:p>
    <w:p>
      <w:pPr>
        <w:pStyle w:val="ListParagraph"/>
        <w:numPr>
          <w:ilvl w:val="0"/>
          <w:numId w:val="2"/>
        </w:numPr>
        <w:spacing w:after="80"/>
      </w:pPr>
      <w:r>
        <w:rPr>
          <w:rFonts w:ascii="Arial" w:cs="Arial" w:eastAsia="Arial" w:hAnsi="Arial"/>
          <w:sz w:val="22"/>
          <w:szCs w:val="22"/>
        </w:rPr>
        <w:t xml:space="preserve">Average confidence score: 0.87 across all categories (excluding edge cases)</w:t>
      </w:r>
    </w:p>
    <w:p>
      <w:pPr>
        <w:pStyle w:val="ListParagraph"/>
        <w:numPr>
          <w:ilvl w:val="0"/>
          <w:numId w:val="2"/>
        </w:numPr>
        <w:spacing w:after="80"/>
      </w:pPr>
      <w:r>
        <w:rPr>
          <w:rFonts w:ascii="Arial" w:cs="Arial" w:eastAsia="Arial" w:hAnsi="Arial"/>
          <w:sz w:val="22"/>
          <w:szCs w:val="22"/>
        </w:rPr>
        <w:t xml:space="preserve">Agent routing accuracy: 100% correct agent assignment across all test scenarios</w:t>
      </w:r>
    </w:p>
    <w:p>
      <w:pPr>
        <w:pStyle w:val="ListParagraph"/>
        <w:numPr>
          <w:ilvl w:val="0"/>
          <w:numId w:val="2"/>
        </w:numPr>
        <w:spacing w:after="80"/>
      </w:pPr>
      <w:r>
        <w:rPr>
          <w:rFonts w:ascii="Arial" w:cs="Arial" w:eastAsia="Arial" w:hAnsi="Arial"/>
          <w:sz w:val="22"/>
          <w:szCs w:val="22"/>
        </w:rPr>
        <w:t xml:space="preserve">Unit test suite: 1,841 tests passing (98.2% of total suite)</w:t>
      </w:r>
    </w:p>
    <w:p>
      <w:pPr>
        <w:pStyle w:val="ListParagraph"/>
        <w:numPr>
          <w:ilvl w:val="0"/>
          <w:numId w:val="2"/>
        </w:numPr>
        <w:spacing w:after="80"/>
      </w:pPr>
      <w:r>
        <w:rPr>
          <w:rFonts w:ascii="Arial" w:cs="Arial" w:eastAsia="Arial" w:hAnsi="Arial"/>
          <w:sz w:val="22"/>
          <w:szCs w:val="22"/>
        </w:rPr>
        <w:t xml:space="preserve">Zero critical or high-severity defects in production</w:t>
      </w:r>
    </w:p>
    <w:p>
      <w:r>
        <w:br w:type="page"/>
      </w:r>
    </w:p>
    <w:p>
      <w:pPr>
        <w:pStyle w:val="Heading1"/>
        <w:spacing w:before="360" w:after="200"/>
      </w:pPr>
      <w:r>
        <w:rPr>
          <w:rFonts w:ascii="Arial" w:cs="Arial" w:eastAsia="Arial" w:hAnsi="Arial"/>
          <w:b/>
          <w:bCs/>
          <w:color w:val="4A2C8A"/>
          <w:sz w:val="32"/>
          <w:szCs w:val="32"/>
        </w:rPr>
        <w:t xml:space="preserve">7. Platform Features Summary</w:t>
      </w:r>
    </w:p>
    <w:p>
      <w:pPr>
        <w:pStyle w:val="Heading2"/>
        <w:spacing w:before="240" w:after="160"/>
      </w:pPr>
      <w:r>
        <w:rPr>
          <w:rFonts w:ascii="Arial" w:cs="Arial" w:eastAsia="Arial" w:hAnsi="Arial"/>
          <w:b/>
          <w:bCs/>
          <w:color w:val="333333"/>
          <w:sz w:val="26"/>
          <w:szCs w:val="26"/>
        </w:rPr>
        <w:t xml:space="preserve">7.1 Authentication &amp; Security</w:t>
      </w:r>
    </w:p>
    <w:p>
      <w:pPr>
        <w:spacing w:after="120" w:line="276"/>
      </w:pPr>
      <w:r>
        <w:rPr>
          <w:rFonts w:ascii="Arial" w:cs="Arial" w:eastAsia="Arial" w:hAnsi="Arial"/>
          <w:color w:val="333333"/>
          <w:sz w:val="22"/>
          <w:szCs w:val="22"/>
        </w:rPr>
        <w:t xml:space="preserve">JWT-based authentication with bcrypt password hashing, role-based access control (Employee, Manager, HR Admin), audit logging, and PII stripping middleware. Three-level role hierarchy with data scope filtering ensures employees only access authorized information.</w:t>
      </w:r>
    </w:p>
    <w:p>
      <w:pPr>
        <w:spacing w:after="120"/>
      </w:pPr>
    </w:p>
    <w:p>
      <w:pPr>
        <w:pStyle w:val="Heading2"/>
        <w:spacing w:before="240" w:after="160"/>
      </w:pPr>
      <w:r>
        <w:rPr>
          <w:rFonts w:ascii="Arial" w:cs="Arial" w:eastAsia="Arial" w:hAnsi="Arial"/>
          <w:b/>
          <w:bCs/>
          <w:color w:val="333333"/>
          <w:sz w:val="26"/>
          <w:szCs w:val="26"/>
        </w:rPr>
        <w:t xml:space="preserve">7.2 Leave Management</w:t>
      </w:r>
    </w:p>
    <w:p>
      <w:pPr>
        <w:spacing w:after="120" w:line="276"/>
      </w:pPr>
      <w:r>
        <w:rPr>
          <w:rFonts w:ascii="Arial" w:cs="Arial" w:eastAsia="Arial" w:hAnsi="Arial"/>
          <w:color w:val="333333"/>
          <w:sz w:val="22"/>
          <w:szCs w:val="22"/>
        </w:rPr>
        <w:t xml:space="preserve">End-to-end leave lifecycle: employees submit requests via the chatbot or UI, managers receive pending approvals in their workflow queue, and approvals/rejections update the database in real-time. Leave balances are tracked per employee with carryover rules and tenure-based accrual.</w:t>
      </w:r>
    </w:p>
    <w:p>
      <w:pPr>
        <w:spacing w:after="120"/>
      </w:pPr>
    </w:p>
    <w:p>
      <w:pPr>
        <w:pStyle w:val="Heading2"/>
        <w:spacing w:before="240" w:after="160"/>
      </w:pPr>
      <w:r>
        <w:rPr>
          <w:rFonts w:ascii="Arial" w:cs="Arial" w:eastAsia="Arial" w:hAnsi="Arial"/>
          <w:b/>
          <w:bCs/>
          <w:color w:val="333333"/>
          <w:sz w:val="26"/>
          <w:szCs w:val="26"/>
        </w:rPr>
        <w:t xml:space="preserve">7.3 Document Generation</w:t>
      </w:r>
    </w:p>
    <w:p>
      <w:pPr>
        <w:spacing w:after="120" w:line="276"/>
      </w:pPr>
      <w:r>
        <w:rPr>
          <w:rFonts w:ascii="Arial" w:cs="Arial" w:eastAsia="Arial" w:hAnsi="Arial"/>
          <w:color w:val="333333"/>
          <w:sz w:val="22"/>
          <w:szCs w:val="22"/>
        </w:rPr>
        <w:t xml:space="preserve">Six document templates available: offer letters, employment contracts, termination letters, employment certificates, promotion letters, and experience letters. HR admins generate documents with employee data auto-populated from the database.</w:t>
      </w:r>
    </w:p>
    <w:p>
      <w:pPr>
        <w:spacing w:after="120"/>
      </w:pPr>
    </w:p>
    <w:p>
      <w:pPr>
        <w:pStyle w:val="Heading2"/>
        <w:spacing w:before="240" w:after="160"/>
      </w:pPr>
      <w:r>
        <w:rPr>
          <w:rFonts w:ascii="Arial" w:cs="Arial" w:eastAsia="Arial" w:hAnsi="Arial"/>
          <w:b/>
          <w:bCs/>
          <w:color w:val="333333"/>
          <w:sz w:val="26"/>
          <w:szCs w:val="26"/>
        </w:rPr>
        <w:t xml:space="preserve">7.4 Analytics &amp; Reporting</w:t>
      </w:r>
    </w:p>
    <w:p>
      <w:pPr>
        <w:spacing w:after="120" w:line="276"/>
      </w:pPr>
      <w:r>
        <w:rPr>
          <w:rFonts w:ascii="Arial" w:cs="Arial" w:eastAsia="Arial" w:hAnsi="Arial"/>
          <w:color w:val="333333"/>
          <w:sz w:val="22"/>
          <w:szCs w:val="22"/>
        </w:rPr>
        <w:t xml:space="preserve">Role-gated analytics dashboard showing HR metrics, agent performance, query distribution, and department-level insights. Metrics exportable for external reporting.</w:t>
      </w:r>
    </w:p>
    <w:p>
      <w:pPr>
        <w:spacing w:after="120"/>
      </w:pPr>
    </w:p>
    <w:p>
      <w:pPr>
        <w:pStyle w:val="Heading2"/>
        <w:spacing w:before="240" w:after="160"/>
      </w:pPr>
      <w:r>
        <w:rPr>
          <w:rFonts w:ascii="Arial" w:cs="Arial" w:eastAsia="Arial" w:hAnsi="Arial"/>
          <w:b/>
          <w:bCs/>
          <w:color w:val="333333"/>
          <w:sz w:val="26"/>
          <w:szCs w:val="26"/>
        </w:rPr>
        <w:t xml:space="preserve">7.5 Organization Structure</w:t>
      </w:r>
    </w:p>
    <w:p>
      <w:pPr>
        <w:spacing w:after="120" w:line="276"/>
      </w:pPr>
      <w:r>
        <w:rPr>
          <w:rFonts w:ascii="Arial" w:cs="Arial" w:eastAsia="Arial" w:hAnsi="Arial"/>
          <w:color w:val="333333"/>
          <w:sz w:val="22"/>
          <w:szCs w:val="22"/>
        </w:rPr>
        <w:t xml:space="preserve">Full organizational hierarchy with 67 employees across 7 departments (Engineering, Sales, Customer Success, Product, Marketing, HR, Finance) with manager chains from individual contributors up to CEO level.</w:t>
      </w:r>
    </w:p>
    <w:p>
      <w:r>
        <w:br w:type="page"/>
      </w:r>
    </w:p>
    <w:p>
      <w:pPr>
        <w:pStyle w:val="Heading1"/>
        <w:spacing w:before="360" w:after="200"/>
      </w:pPr>
      <w:r>
        <w:rPr>
          <w:rFonts w:ascii="Arial" w:cs="Arial" w:eastAsia="Arial" w:hAnsi="Arial"/>
          <w:b/>
          <w:bCs/>
          <w:color w:val="4A2C8A"/>
          <w:sz w:val="32"/>
          <w:szCs w:val="32"/>
        </w:rPr>
        <w:t xml:space="preserve">8. Future Roadmap</w:t>
      </w:r>
    </w:p>
    <w:p>
      <w:pPr>
        <w:spacing w:after="120" w:line="276"/>
      </w:pPr>
      <w:r>
        <w:rPr>
          <w:rFonts w:ascii="Arial" w:cs="Arial" w:eastAsia="Arial" w:hAnsi="Arial"/>
          <w:color w:val="333333"/>
          <w:sz w:val="22"/>
          <w:szCs w:val="22"/>
        </w:rPr>
        <w:t xml:space="preserve">The platform roadmap includes three additional phases of enhancement to further expand capabilities:</w:t>
      </w:r>
    </w:p>
    <w:p>
      <w:pPr>
        <w:spacing w:after="120"/>
      </w:pPr>
    </w:p>
    <w:p>
      <w:pPr>
        <w:pStyle w:val="Heading2"/>
        <w:spacing w:before="240" w:after="160"/>
      </w:pPr>
      <w:r>
        <w:rPr>
          <w:rFonts w:ascii="Arial" w:cs="Arial" w:eastAsia="Arial" w:hAnsi="Arial"/>
          <w:b/>
          <w:bCs/>
          <w:color w:val="333333"/>
          <w:sz w:val="26"/>
          <w:szCs w:val="26"/>
        </w:rPr>
        <w:t xml:space="preserve">Phase 2: Advanced Intelligence (Q2 2026)</w:t>
      </w:r>
    </w:p>
    <w:p>
      <w:pPr>
        <w:pStyle w:val="ListParagraph"/>
        <w:numPr>
          <w:ilvl w:val="0"/>
          <w:numId w:val="2"/>
        </w:numPr>
        <w:spacing w:after="80"/>
      </w:pPr>
      <w:r>
        <w:rPr>
          <w:rFonts w:ascii="Arial" w:cs="Arial" w:eastAsia="Arial" w:hAnsi="Arial"/>
          <w:sz w:val="22"/>
          <w:szCs w:val="22"/>
        </w:rPr>
        <w:t xml:space="preserve">Predictive analytics for turnover risk and engagement scoring</w:t>
      </w:r>
    </w:p>
    <w:p>
      <w:pPr>
        <w:pStyle w:val="ListParagraph"/>
        <w:numPr>
          <w:ilvl w:val="0"/>
          <w:numId w:val="2"/>
        </w:numPr>
        <w:spacing w:after="80"/>
      </w:pPr>
      <w:r>
        <w:rPr>
          <w:rFonts w:ascii="Arial" w:cs="Arial" w:eastAsia="Arial" w:hAnsi="Arial"/>
          <w:sz w:val="22"/>
          <w:szCs w:val="22"/>
        </w:rPr>
        <w:t xml:space="preserve">Proactive nudges for benefits enrollment deadlines and compliance training</w:t>
      </w:r>
    </w:p>
    <w:p>
      <w:pPr>
        <w:pStyle w:val="ListParagraph"/>
        <w:numPr>
          <w:ilvl w:val="0"/>
          <w:numId w:val="2"/>
        </w:numPr>
        <w:spacing w:after="80"/>
      </w:pPr>
      <w:r>
        <w:rPr>
          <w:rFonts w:ascii="Arial" w:cs="Arial" w:eastAsia="Arial" w:hAnsi="Arial"/>
          <w:sz w:val="22"/>
          <w:szCs w:val="22"/>
        </w:rPr>
        <w:t xml:space="preserve">Multi-turn conversation memory for complex HR workflows</w:t>
      </w:r>
    </w:p>
    <w:p>
      <w:pPr>
        <w:spacing w:after="120"/>
      </w:pPr>
    </w:p>
    <w:p>
      <w:pPr>
        <w:pStyle w:val="Heading2"/>
        <w:spacing w:before="240" w:after="160"/>
      </w:pPr>
      <w:r>
        <w:rPr>
          <w:rFonts w:ascii="Arial" w:cs="Arial" w:eastAsia="Arial" w:hAnsi="Arial"/>
          <w:b/>
          <w:bCs/>
          <w:color w:val="333333"/>
          <w:sz w:val="26"/>
          <w:szCs w:val="26"/>
        </w:rPr>
        <w:t xml:space="preserve">Phase 3: Enterprise Integration (Q3 2026)</w:t>
      </w:r>
    </w:p>
    <w:p>
      <w:pPr>
        <w:pStyle w:val="ListParagraph"/>
        <w:numPr>
          <w:ilvl w:val="0"/>
          <w:numId w:val="2"/>
        </w:numPr>
        <w:spacing w:after="80"/>
      </w:pPr>
      <w:r>
        <w:rPr>
          <w:rFonts w:ascii="Arial" w:cs="Arial" w:eastAsia="Arial" w:hAnsi="Arial"/>
          <w:sz w:val="22"/>
          <w:szCs w:val="22"/>
        </w:rPr>
        <w:t xml:space="preserve">Integration with ADP, Workday, and BambooHR HRIS systems</w:t>
      </w:r>
    </w:p>
    <w:p>
      <w:pPr>
        <w:pStyle w:val="ListParagraph"/>
        <w:numPr>
          <w:ilvl w:val="0"/>
          <w:numId w:val="2"/>
        </w:numPr>
        <w:spacing w:after="80"/>
      </w:pPr>
      <w:r>
        <w:rPr>
          <w:rFonts w:ascii="Arial" w:cs="Arial" w:eastAsia="Arial" w:hAnsi="Arial"/>
          <w:sz w:val="22"/>
          <w:szCs w:val="22"/>
        </w:rPr>
        <w:t xml:space="preserve">Slack and Microsoft Teams chatbot deployment</w:t>
      </w:r>
    </w:p>
    <w:p>
      <w:pPr>
        <w:pStyle w:val="ListParagraph"/>
        <w:numPr>
          <w:ilvl w:val="0"/>
          <w:numId w:val="2"/>
        </w:numPr>
        <w:spacing w:after="80"/>
      </w:pPr>
      <w:r>
        <w:rPr>
          <w:rFonts w:ascii="Arial" w:cs="Arial" w:eastAsia="Arial" w:hAnsi="Arial"/>
          <w:sz w:val="22"/>
          <w:szCs w:val="22"/>
        </w:rPr>
        <w:t xml:space="preserve">SSO integration with Okta, Azure AD, and Google Workspace</w:t>
      </w:r>
    </w:p>
    <w:p>
      <w:pPr>
        <w:spacing w:after="120"/>
      </w:pPr>
    </w:p>
    <w:p>
      <w:pPr>
        <w:pStyle w:val="Heading2"/>
        <w:spacing w:before="240" w:after="160"/>
      </w:pPr>
      <w:r>
        <w:rPr>
          <w:rFonts w:ascii="Arial" w:cs="Arial" w:eastAsia="Arial" w:hAnsi="Arial"/>
          <w:b/>
          <w:bCs/>
          <w:color w:val="333333"/>
          <w:sz w:val="26"/>
          <w:szCs w:val="26"/>
        </w:rPr>
        <w:t xml:space="preserve">Phase 4: Scale &amp; Compliance (Q4 2026)</w:t>
      </w:r>
    </w:p>
    <w:p>
      <w:pPr>
        <w:pStyle w:val="ListParagraph"/>
        <w:numPr>
          <w:ilvl w:val="0"/>
          <w:numId w:val="2"/>
        </w:numPr>
        <w:spacing w:after="80"/>
      </w:pPr>
      <w:r>
        <w:rPr>
          <w:rFonts w:ascii="Arial" w:cs="Arial" w:eastAsia="Arial" w:hAnsi="Arial"/>
          <w:sz w:val="22"/>
          <w:szCs w:val="22"/>
        </w:rPr>
        <w:t xml:space="preserve">Multi-tenant architecture supporting subsidiary organizations</w:t>
      </w:r>
    </w:p>
    <w:p>
      <w:pPr>
        <w:pStyle w:val="ListParagraph"/>
        <w:numPr>
          <w:ilvl w:val="0"/>
          <w:numId w:val="2"/>
        </w:numPr>
        <w:spacing w:after="80"/>
      </w:pPr>
      <w:r>
        <w:rPr>
          <w:rFonts w:ascii="Arial" w:cs="Arial" w:eastAsia="Arial" w:hAnsi="Arial"/>
          <w:sz w:val="22"/>
          <w:szCs w:val="22"/>
        </w:rPr>
        <w:t xml:space="preserve">SOC 2 Type II compliance certification</w:t>
      </w:r>
    </w:p>
    <w:p>
      <w:pPr>
        <w:pStyle w:val="ListParagraph"/>
        <w:numPr>
          <w:ilvl w:val="0"/>
          <w:numId w:val="2"/>
        </w:numPr>
        <w:spacing w:after="80"/>
      </w:pPr>
      <w:r>
        <w:rPr>
          <w:rFonts w:ascii="Arial" w:cs="Arial" w:eastAsia="Arial" w:hAnsi="Arial"/>
          <w:sz w:val="22"/>
          <w:szCs w:val="22"/>
        </w:rPr>
        <w:t xml:space="preserve">GDPR and CCPA data privacy automation</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C8A" w:sz="2"/>
              <w:left w:val="none" w:color="FFFFFF" w:sz="0"/>
              <w:bottom w:val="none" w:color="FFFFFF" w:sz="0"/>
              <w:right w:val="none" w:color="FFFFFF" w:sz="0"/>
            </w:tcBorders>
            <w:tcMar>
              <w:top w:type="dxa" w:w="200"/>
              <w:left w:type="dxa" w:w="0"/>
              <w:bottom w:type="dxa" w:w="100"/>
              <w:right w:type="dxa" w:w="0"/>
            </w:tcMar>
          </w:tcPr>
          <w:p>
            <w:pPr>
              <w:jc w:val="center"/>
            </w:pPr>
            <w:r>
              <w:rPr>
                <w:rFonts w:ascii="Arial" w:cs="Arial" w:eastAsia="Arial" w:hAnsi="Arial"/>
                <w:i/>
                <w:iCs/>
                <w:color w:val="666666"/>
                <w:sz w:val="20"/>
                <w:szCs w:val="20"/>
              </w:rPr>
              <w:t xml:space="preserve">This report was generated by the TechNova HR Intelligence Platform.</w:t>
            </w:r>
          </w:p>
          <w:p>
            <w:pPr>
              <w:jc w:val="center"/>
            </w:pPr>
            <w:r>
              <w:rPr>
                <w:rFonts w:ascii="Arial" w:cs="Arial" w:eastAsia="Arial" w:hAnsi="Arial"/>
                <w:i/>
                <w:iCs/>
                <w:color w:val="666666"/>
                <w:sz w:val="20"/>
                <w:szCs w:val="20"/>
              </w:rPr>
              <w:t xml:space="preserve">For questions, contact hr-technology@technova.com</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Confidential  |  TechNova Inc.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TechNova HR Intelligence Platform  |  Productivity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A2C8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2026-02-08T06:38:31.012Z</dcterms:created>
  <dcterms:modified xsi:type="dcterms:W3CDTF">2026-02-08T06:38:31.014Z</dcterms:modified>
</cp:coreProperties>
</file>

<file path=docProps/custom.xml><?xml version="1.0" encoding="utf-8"?>
<Properties xmlns="http://schemas.openxmlformats.org/officeDocument/2006/custom-properties" xmlns:vt="http://schemas.openxmlformats.org/officeDocument/2006/docPropsVTypes"/>
</file>