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36"/>
          <w:szCs w:val="36"/>
        </w:rPr>
        <w:t xml:space="preserve">Gap Implementation Issue Register</w:t>
      </w:r>
    </w:p>
    <w:p>
      <w:pPr>
        <w:spacing w:after="300"/>
        <w:jc w:val="center"/>
      </w:pPr>
      <w:r>
        <w:rPr>
          <w:rFonts w:ascii="Arial" w:cs="Arial" w:eastAsia="Arial" w:hAnsi="Arial"/>
          <w:color w:val="666666"/>
          <w:sz w:val="22"/>
          <w:szCs w:val="22"/>
        </w:rPr>
        <w:t xml:space="preserve">HR Multi-Agent Intelligence Platform — Decision Tree Alignment</w:t>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Based on the Architecture Comparison Report (HR Agent vs AI Engineer Decision Tree), 4 actionable gaps were identified for implementation and 4 were deferred as low-ROI for a portfolio demonstration project.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1200"/>
        <w:gridCol w:w="1000"/>
        <w:gridCol w:w="1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MCP Server Wrapper for Agent Tools</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IMPLEMENT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LangGraph Stateful Checkpointing</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IMPLEMENT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Input/Output Guardrails Layer</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IMPLEMENT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Observability Middleware with Structured Logging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IMPLEMENT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Graph for Entity Relationships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Human-in-the-Loop Approval UI</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SKIP-003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 Control / Token Budget System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SKIP-004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Scaling / Load Balancer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SKIP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hours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w:t>
            </w:r>
          </w:p>
        </w:tc>
      </w:tr>
    </w:tbl>
    <w:p>
      <w:r>
        <w:br w:type="page"/>
      </w:r>
    </w:p>
    <w:p>
      <w:pPr>
        <w:pStyle w:val="Heading1"/>
      </w:pPr>
      <w:r>
        <w:rPr>
          <w:rFonts w:ascii="Arial" w:cs="Arial" w:eastAsia="Arial" w:hAnsi="Arial"/>
        </w:rPr>
        <w:t xml:space="preserve">Implementation Issues (4 Items)</w:t>
      </w:r>
    </w:p>
    <w:p>
      <w:pPr>
        <w:spacing w:after="120"/>
      </w:pPr>
      <w:r>
        <w:rPr>
          <w:rFonts w:ascii="Arial" w:cs="Arial" w:eastAsia="Arial" w:hAnsi="Arial"/>
          <w:sz w:val="22"/>
          <w:szCs w:val="22"/>
        </w:rPr>
        <w:t xml:space="preserve">The following issues are recommended for implementation. Each includes acceptance criteria, affected files, and implementation rationale.</w:t>
      </w:r>
    </w:p>
    <w:p>
      <w:pPr>
        <w:pStyle w:val="Heading2"/>
      </w:pPr>
      <w:r>
        <w:rPr>
          <w:rFonts w:ascii="Arial" w:cs="Arial" w:eastAsia="Arial" w:hAnsi="Arial"/>
        </w:rPr>
        <w:t xml:space="preserve">GAP-001: Add MCP Server Wrapper for Agent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0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Effort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 the 34 native Python tool functions as MCP-compatible servers. Each of the 8 specialist agents becomes an MCP server exposing its tools via JSON-RPC 2.0 protocol. This addresses the biggest gap identified in the comparison report (20% alignment on MCP &amp;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to Create/Modify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src/mcp/mcp_server.py, src/mcp/tool_registry.py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Acceptance Criteria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34 tools callable via MCP JSON-RPC protocol; MCP client can discover and invoke tools dynamically; backward-compatible with existing native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MCP is the industry standard for AI tool integration. Adding it to a portfolio project demonstrates awareness of the MCP ecosystem and makes the platform future-proof for multi-model support.</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GAP-002: Enable LangGraph Stateful Checkpointing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0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Effort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LangGraph's built-in checkpointing with MemorySaver for the BaseAgent StateGraph. This enables interrupted workflow recovery and conversation persistence across sessions. Currently the platform has Conversation Buffer and RAG but no checkpointing (Partial match on Memory stage).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to Create/Modify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src/agents/base_agent.py, src/core/checkpointer.py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Acceptance Criteria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workflows can be paused and resumed; state is persisted between runs; thread_id-based conversation continuity works.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LangGraph already supports checkpointing natively — it only needs configuration. This is a low-effort, high-impact win that completes the memory layer and demonstrates stateful agent design.</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GAP-003: Add Input/Output Guardrails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0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Effort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input validation (query sanitization, prompt injection detection, PII screening) and output validation (hallucination flagging, confidence thresholds, format enforcement). This addresses a key production readiness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to Create/Modify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src/core/guardrails.py, src/agents/base_agent.py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Acceptance Criteria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queries pass through input guardrails before reaching agents; all responses pass through output guardrails before returning to user; PII is detected and masked; prompt injection attempts are blocked.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Guardrails are the #1 production readiness gap. For a portfolio demo, showing input sanitization + output validation proves enterprise awareness without requiring full infrastructure.</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GAP-004: Add Observability Middleware with Structured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0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Effort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structured JSON logging, request tracing with correlation IDs, and a metrics collection middleware. Includes latency tracking per agent, tool call counts, error rates, and a /metrics endpoint for monitoring.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to Create/Modify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src/core/observability.py, src/middleware/tracing_middleware.py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Acceptance Criteria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requests have correlation IDs; structured JSON logs capture agent/tool/latency data; /api/v2/metrics returns Prometheus-compatible metrics; error rates tracked per agent.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Observability is essential for demonstrating production awareness. Structured logging + metrics endpoint shows the platform is ready for monitoring in a real deployment.</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Deferred Issues (4 Items)</w:t>
      </w:r>
    </w:p>
    <w:p>
      <w:pPr>
        <w:spacing w:after="120"/>
      </w:pPr>
      <w:r>
        <w:rPr>
          <w:rFonts w:ascii="Arial" w:cs="Arial" w:eastAsia="Arial" w:hAnsi="Arial"/>
          <w:sz w:val="22"/>
          <w:szCs w:val="22"/>
        </w:rPr>
        <w:t xml:space="preserve">The following gaps were identified but deferred. Each includes the rationale for deferral.</w:t>
      </w:r>
    </w:p>
    <w:p>
      <w:pPr>
        <w:pStyle w:val="Heading2"/>
      </w:pPr>
      <w:r>
        <w:rPr>
          <w:rFonts w:ascii="Arial" w:cs="Arial" w:eastAsia="Arial" w:hAnsi="Arial"/>
        </w:rPr>
        <w:t xml:space="preserve">SKIP-001: Knowledge Graph for Entity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Effort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knowledge graph mapping employee → department → manager → project relationships using Neo4j or networkx. Would complete the 4-layer memory strategy.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Rationale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The existing SQLAlchemy ORM with 14 models already captures entity relationships through foreign keys. A graph DB would add complexity without proportional portfolio value. The relational model is sufficient for HR domain queries.</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SKIP-002: Human-in-the-Loop Approval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Effort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web UI for human approval workflows where sensitive actions (leave approval, PIP creation) require manual confirmation before execution.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Rationale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The WorkflowEngine already models approval steps programmatically. A full UI would be a frontend project, not an agent architecture demonstration. The programmatic approval API is sufficient for portfolio purposes.</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SKIP-003: Cost Control / Token Budget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Effort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per-query token budgets, usage dashboards, and model tier selection based on query complexity.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Rationale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Token cost is a deployment concern, not an architecture concern. The platform already uses a single balanced-tier model (Gemini). For a portfolio demo, the observability middleware (GAP-004) captures query counts which implies cost awareness.</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SKIP-004: Horizontal Scaling / Load Balancer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0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Gap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Estimated Effort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hours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Docker containerization, Kubernetes configs, and load balancing for horizontal scaling.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Rationale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A Dockerfile already exists in the project. K8s configs and load balancing are infrastructure concerns outside the scope of an AI agent architecture portfolio. The self-hosted Flask deployment demonstrates the pattern.</w:t>
            </w:r>
          </w:p>
        </w:tc>
      </w:tr>
    </w:tbl>
    <w:p>
      <w:pPr>
        <w:spacing w:after="120"/>
      </w:pPr>
      <w:r>
        <w:rPr>
          <w:rFonts w:ascii="Arial" w:cs="Arial" w:eastAsia="Arial" w:hAnsi="Arial"/>
          <w:sz w:val="22"/>
          <w:szCs w:val="22"/>
        </w:rPr>
        <w:t xml:space="preserve"/>
      </w:r>
    </w:p>
    <w:p>
      <w:r>
        <w:br w:type="page"/>
      </w:r>
    </w:p>
    <w:p>
      <w:pPr>
        <w:pStyle w:val="Heading1"/>
      </w:pPr>
      <w:r>
        <w:rPr>
          <w:rFonts w:ascii="Arial" w:cs="Arial" w:eastAsia="Arial" w:hAnsi="Arial"/>
        </w:rPr>
        <w:t xml:space="preserve">Implementation Plan</w:t>
      </w:r>
    </w:p>
    <w:p>
      <w:pPr>
        <w:spacing w:after="120"/>
      </w:pPr>
      <w:r>
        <w:rPr>
          <w:rFonts w:ascii="Arial" w:cs="Arial" w:eastAsia="Arial" w:hAnsi="Arial"/>
          <w:sz w:val="22"/>
          <w:szCs w:val="22"/>
        </w:rPr>
        <w:t xml:space="preserve">Phases are ordered by dependency and impact. Each phase builds on the previous one.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760"/>
        <w:gridCol w:w="20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Strategy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GAP-001: MCP 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src/mcp/mcp_server.py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client test, tool discovery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GAP-002: Checkpointing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src/core/checkpointer.py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 workflow test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GAP-003: Guardrails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src/core/guardrails.py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Injection test, PII test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GAP-004: Observability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src/core/observability.py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 endpoint test</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Estimated Effort: 12 hours</w:t>
      </w:r>
    </w:p>
    <w:p>
      <w:pPr>
        <w:spacing w:after="120"/>
      </w:pPr>
      <w:r>
        <w:rPr>
          <w:rFonts w:ascii="Arial" w:cs="Arial" w:eastAsia="Arial" w:hAnsi="Arial"/>
          <w:b/>
          <w:bCs/>
          <w:sz w:val="22"/>
          <w:szCs w:val="22"/>
        </w:rPr>
        <w:t xml:space="preserve">Expected Alignment Improvement: 73% → 89%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HR Agent — Gap Implementation Issue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16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2026-02-13T19:12:34.539Z</dcterms:created>
  <dcterms:modified xsi:type="dcterms:W3CDTF">2026-02-13T19:12:34.539Z</dcterms:modified>
</cp:coreProperties>
</file>

<file path=docProps/custom.xml><?xml version="1.0" encoding="utf-8"?>
<Properties xmlns="http://schemas.openxmlformats.org/officeDocument/2006/custom-properties" xmlns:vt="http://schemas.openxmlformats.org/officeDocument/2006/docPropsVTypes"/>
</file>