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929" w:val="clear"/>
            <w:tcMar>
              <w:top w:type="dxa" w:w="600"/>
              <w:left w:type="dxa" w:w="480"/>
              <w:bottom w:type="dxa" w:w="600"/>
              <w:right w:type="dxa" w:w="480"/>
            </w:tcMar>
          </w:tcPr>
          <w:p>
            <w:pPr>
              <w:spacing w:after="120" w:before="0"/>
              <w:jc w:val="center"/>
            </w:pPr>
            <w:r>
              <w:rPr>
                <w:rFonts w:ascii="Arial" w:cs="Arial" w:eastAsia="Arial" w:hAnsi="Arial"/>
                <w:b/>
                <w:bCs/>
                <w:color w:val="FFFFFF"/>
                <w:sz w:val="44"/>
                <w:szCs w:val="44"/>
              </w:rPr>
              <w:t xml:space="preserve">REVIEWLENS AI</w:t>
            </w:r>
          </w:p>
          <w:p>
            <w:pPr>
              <w:spacing w:after="200" w:before="0"/>
              <w:jc w:val="center"/>
            </w:pPr>
            <w:r>
              <w:rPr>
                <w:rFonts w:ascii="Arial" w:cs="Arial" w:eastAsia="Arial" w:hAnsi="Arial"/>
                <w:color w:val="9FE1CB"/>
                <w:sz w:val="28"/>
                <w:szCs w:val="28"/>
              </w:rPr>
              <w:t xml:space="preserve">Cost Estimation &amp; SaaS Unit Economics</w:t>
            </w:r>
          </w:p>
          <w:p>
            <w:pPr>
              <w:spacing w:after="80" w:before="0"/>
              <w:jc w:val="center"/>
            </w:pPr>
            <w:r>
              <w:rPr>
                <w:rFonts w:ascii="Arial" w:cs="Arial" w:eastAsia="Arial" w:hAnsi="Arial"/>
                <w:color w:val="9FE1CB"/>
                <w:sz w:val="20"/>
                <w:szCs w:val="20"/>
              </w:rPr>
              <w:t xml:space="preserve">AI Inference  •  Vector Storage  •  Pricing Tiers  •  Margin Model</w:t>
            </w:r>
          </w:p>
          <w:p>
            <w:pPr>
              <w:spacing w:after="0" w:before="200"/>
              <w:jc w:val="center"/>
            </w:pPr>
            <w:r>
              <w:rPr>
                <w:rFonts w:ascii="Arial" w:cs="Arial" w:eastAsia="Arial" w:hAnsi="Arial"/>
                <w:color w:val="6B7280"/>
                <w:sz w:val="18"/>
                <w:szCs w:val="18"/>
              </w:rPr>
              <w:t xml:space="preserve">Version 1.0  |  March 2026  |  Aiden (Chin Wei Mak)</w:t>
            </w:r>
          </w:p>
        </w:tc>
      </w:tr>
    </w:tbl>
    <w:p>
      <w:pPr>
        <w:spacing w:after="0" w:before="400"/>
      </w:pPr>
      <w:r>
        <w:t xml:space="preserve"/>
      </w:r>
    </w:p>
    <w:p>
      <w:pPr>
        <w:pStyle w:val="Heading1"/>
      </w:pPr>
      <w:r>
        <w:rPr>
          <w:rFonts w:ascii="Arial" w:cs="Arial" w:eastAsia="Arial" w:hAnsi="Arial"/>
          <w:b/>
          <w:bCs/>
          <w:color w:val="0F1929"/>
          <w:sz w:val="34"/>
          <w:szCs w:val="34"/>
        </w:rPr>
        <w:t xml:space="preserve">Purpose</w:t>
      </w:r>
    </w:p>
    <w:p>
      <w:pPr>
        <w:spacing w:after="100" w:before="80"/>
      </w:pPr>
      <w:r>
        <w:rPr>
          <w:rFonts w:ascii="Arial" w:cs="Arial" w:eastAsia="Arial" w:hAnsi="Arial"/>
          <w:color w:val="333333"/>
          <w:sz w:val="22"/>
          <w:szCs w:val="22"/>
        </w:rPr>
        <w:t xml:space="preserve">This document models the cloud infrastructure costs of operating ReviewLens AI at various user scales, derives sustainable SaaS pricing tiers, and projects gross margin at each tier. It is the financial input for go-to-market planning and investor conversations.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F7B6C" w:sz="16"/>
              <w:bottom w:val="none" w:color="FFFFFF" w:sz="0"/>
              <w:right w:val="none" w:color="FFFFFF" w:sz="0"/>
            </w:tcBorders>
            <w:shd w:fill="E8F4F1" w:val="clear"/>
            <w:tcMar>
              <w:top w:type="dxa" w:w="120"/>
              <w:left w:type="dxa" w:w="200"/>
              <w:bottom w:type="dxa" w:w="120"/>
              <w:right w:type="dxa" w:w="160"/>
            </w:tcMar>
          </w:tcPr>
          <w:p>
            <w:pPr>
              <w:spacing w:after="60" w:before="0"/>
            </w:pPr>
            <w:r>
              <w:rPr>
                <w:rFonts w:ascii="Arial" w:cs="Arial" w:eastAsia="Arial" w:hAnsi="Arial"/>
                <w:b/>
                <w:bCs/>
                <w:color w:val="0F7B6C"/>
                <w:sz w:val="20"/>
                <w:szCs w:val="20"/>
              </w:rPr>
              <w:t xml:space="preserve">Key Principle</w:t>
            </w:r>
          </w:p>
          <w:p>
            <w:pPr>
              <w:spacing w:after="0" w:before="0"/>
            </w:pPr>
            <w:r>
              <w:rPr>
                <w:rFonts w:ascii="Arial" w:cs="Arial" w:eastAsia="Arial" w:hAnsi="Arial"/>
                <w:color w:val="333333"/>
                <w:sz w:val="20"/>
                <w:szCs w:val="20"/>
              </w:rPr>
              <w:t xml:space="preserve">Every user action in an AI-native SaaS burns real GPU compute. Flat-rate pricing models are existential risks — a power user on a $20/mo plan can cost $200/mo to serve. The hybrid credit model solves this.</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1 — Cost Per User Action</w:t>
      </w:r>
    </w:p>
    <w:p>
      <w:pPr>
        <w:pStyle w:val="Heading2"/>
        <w:pBdr>
          <w:bottom w:val="single" w:color="0F7B6C" w:sz="4" w:space="4"/>
        </w:pBdr>
      </w:pPr>
      <w:r>
        <w:rPr>
          <w:rFonts w:ascii="Arial" w:cs="Arial" w:eastAsia="Arial" w:hAnsi="Arial"/>
          <w:b/>
          <w:bCs/>
          <w:color w:val="0F7B6C"/>
          <w:sz w:val="26"/>
          <w:szCs w:val="26"/>
        </w:rPr>
        <w:t xml:space="preserve">1.1 LLM Inference Costs (March 2026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Token Usage (est.)</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5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Est. Cost</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Standard RAG chat query (10 review context)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 in / 500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Sonnet 4.6</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$0.018</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Deep RAG chat query (50 review context)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12,000 in / 1,000 out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$0.085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 — text mode (50 pages)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 in / 2,000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$0.22</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 — vision OCR (10 pages, scanned)</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80,000 in / 3,000 out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GPT-4o (vision)</w:t>
            </w:r>
          </w:p>
        </w:tc>
        <w:tc>
          <w:tcPr>
            <w:tcW w:type="dxa" w:w="2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$1.05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Image extraction (1 screenshot)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in / 400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 (vision)</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$0.035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CSV bulk embed (500 reviews)</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500 × 512 tokens</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text-embedding-3-small</w:t>
            </w:r>
          </w:p>
        </w:tc>
        <w:tc>
          <w:tcPr>
            <w:tcW w:type="dxa" w:w="2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$0.013</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 — Worker 1 (Themer)</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 in / 2,000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$0.195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 — Worker 2 (FAQ)</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10,000 in / 1,500 out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$0.135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 — Worker 3 (Actions)</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 in / 1,000 out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$0.105</w:t>
            </w:r>
          </w:p>
        </w:tc>
      </w:tr>
      <w:tr>
        <w:tc>
          <w:tcPr>
            <w:tcW w:type="dxa" w:w="2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 — total (3 workers)</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~33,000 in / 4,500 out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~$0.435</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1.2 Infrastructure Costs (Fixed +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38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Estimated Monthly Cost</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Supabase (Pro plan)</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Flat $25/mo — includes 8GB DB, 100GB storage, Edge Functions</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$25/mo flat</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Pinecone (Starter/Standard)</w:t>
            </w:r>
          </w:p>
        </w:tc>
        <w:tc>
          <w:tcPr>
            <w:tcW w:type="dxa" w:w="2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Pay per pod. 1 p1.x1 pod ≈ 1M vectors</w:t>
            </w:r>
          </w:p>
        </w:tc>
        <w:tc>
          <w:tcPr>
            <w:tcW w:type="dxa" w:w="3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$70/mo per pod</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Vercel (Pro)</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Flat $20/mo — includes main app + landing page</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$20/mo flat</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OpenAI API</w:t>
            </w:r>
          </w:p>
        </w:tc>
        <w:tc>
          <w:tcPr>
            <w:tcW w:type="dxa" w:w="2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Pay-per-token (see 1.1)</w:t>
            </w:r>
          </w:p>
        </w:tc>
        <w:tc>
          <w:tcPr>
            <w:tcW w:type="dxa" w:w="3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Variable — usage based</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fixed infra (no AI)</w:t>
            </w:r>
          </w:p>
        </w:tc>
        <w:tc>
          <w:tcPr>
            <w:tcW w:type="dxa" w:w="2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 Pinecone + Vercel</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~$115/mo</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2 — Credit System Design</w:t>
      </w:r>
    </w:p>
    <w:p>
      <w:pPr>
        <w:pStyle w:val="Heading2"/>
        <w:pBdr>
          <w:bottom w:val="single" w:color="0F7B6C" w:sz="4" w:space="4"/>
        </w:pBdr>
      </w:pPr>
      <w:r>
        <w:rPr>
          <w:rFonts w:ascii="Arial" w:cs="Arial" w:eastAsia="Arial" w:hAnsi="Arial"/>
          <w:b/>
          <w:bCs/>
          <w:color w:val="0F7B6C"/>
          <w:sz w:val="26"/>
          <w:szCs w:val="26"/>
        </w:rPr>
        <w:t xml:space="preserve">2.1 Credit Unit Definition</w:t>
      </w:r>
    </w:p>
    <w:p>
      <w:pPr>
        <w:spacing w:after="100" w:before="80"/>
      </w:pPr>
      <w:r>
        <w:rPr>
          <w:rFonts w:ascii="Arial" w:cs="Arial" w:eastAsia="Arial" w:hAnsi="Arial"/>
          <w:color w:val="333333"/>
          <w:sz w:val="22"/>
          <w:szCs w:val="22"/>
        </w:rPr>
        <w:t xml:space="preserve">1 Credit = $0.01 of underlying compute cost (rounded up to nearest credit). This provides a simple, transparent unit that maps directly to infrastructure spend.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Credits Consumed</w:t>
            </w:r>
          </w:p>
        </w:tc>
        <w:tc>
          <w:tcPr>
            <w:tcW w:type="dxa" w:w="38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Standard chat query (text)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credits ($0.02)</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Low-cost Sonnet model, small context</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Deep chat query (large context)</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9 credits ($0.09)</w:t>
            </w:r>
          </w:p>
        </w:tc>
        <w:tc>
          <w:tcPr>
            <w:tcW w:type="dxa" w:w="3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GPT-4o, large context window</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 — text mode</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 credits ($0.22)</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Moderate token cost</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PDF ingestion — vision OCR (scanned)</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105 credits ($1.05)</w:t>
            </w:r>
          </w:p>
        </w:tc>
        <w:tc>
          <w:tcPr>
            <w:tcW w:type="dxa" w:w="3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Vision model expensive — discourage casual use</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Image extraction</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credits ($0.04)</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Vision but small payload</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CSV embed (500 reviews)</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 credits ($0.02)</w:t>
            </w:r>
          </w:p>
        </w:tc>
        <w:tc>
          <w:tcPr>
            <w:tcW w:type="dxa" w:w="3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Embedding is cheap</w:t>
            </w:r>
          </w:p>
        </w:tc>
      </w:tr>
      <w:tr>
        <w:tc>
          <w:tcPr>
            <w:tcW w:type="dxa" w:w="3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AI Insight Report</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 credits ($0.44)</w:t>
            </w:r>
          </w:p>
        </w:tc>
        <w:tc>
          <w:tcPr>
            <w:tcW w:type="dxa" w:w="3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workers, high token count</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2.2 Monthly Credit Bundles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Bundle</w:t>
            </w:r>
          </w:p>
        </w:tc>
        <w:tc>
          <w:tcPr>
            <w:tcW w:type="dxa" w:w="2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Credits</w:t>
            </w:r>
          </w:p>
        </w:tc>
        <w:tc>
          <w:tcPr>
            <w:tcW w:type="dxa" w:w="48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Price / Effective Rate</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Starter Pack</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credits</w:t>
            </w:r>
          </w:p>
        </w:tc>
        <w:tc>
          <w:tcPr>
            <w:tcW w:type="dxa" w:w="4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$9.99 — $0.050/credit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Growth Pack</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600 credits</w:t>
            </w:r>
          </w:p>
        </w:tc>
        <w:tc>
          <w:tcPr>
            <w:tcW w:type="dxa" w:w="4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$24.99 — $0.042/credit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Pro Pack</w:t>
            </w:r>
          </w:p>
        </w:tc>
        <w:tc>
          <w:tcPr>
            <w:tcW w:type="dxa" w:w="20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credits</w:t>
            </w:r>
          </w:p>
        </w:tc>
        <w:tc>
          <w:tcPr>
            <w:tcW w:type="dxa" w:w="48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$69.99 — $0.035/credit</w:t>
            </w:r>
          </w:p>
        </w:tc>
      </w:tr>
      <w:tr>
        <w:tc>
          <w:tcPr>
            <w:tcW w:type="dxa" w:w="25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Enterprise Pack</w:t>
            </w:r>
          </w:p>
        </w:tc>
        <w:tc>
          <w:tcPr>
            <w:tcW w:type="dxa" w:w="20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10,000 credits</w:t>
            </w:r>
          </w:p>
        </w:tc>
        <w:tc>
          <w:tcPr>
            <w:tcW w:type="dxa" w:w="48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$249.99 — $0.025/credit</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3 — SaaS Pricing Tiers &amp; Margin Model</w:t>
      </w:r>
    </w:p>
    <w:p>
      <w:pPr>
        <w:pStyle w:val="Heading2"/>
        <w:pBdr>
          <w:bottom w:val="single" w:color="0F7B6C" w:sz="4" w:space="4"/>
        </w:pBdr>
      </w:pPr>
      <w:r>
        <w:rPr>
          <w:rFonts w:ascii="Arial" w:cs="Arial" w:eastAsia="Arial" w:hAnsi="Arial"/>
          <w:b/>
          <w:bCs/>
          <w:color w:val="0F7B6C"/>
          <w:sz w:val="26"/>
          <w:szCs w:val="26"/>
        </w:rPr>
        <w:t xml:space="preserve">3.1 Tier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500"/>
        <w:gridCol w:w="2660"/>
      </w:tblGrid>
      <w:tr>
        <w:trPr>
          <w:tblHeader/>
        </w:trPr>
        <w:tc>
          <w:tcPr>
            <w:tcW w:type="dxa" w:w="16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3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Included</w:t>
            </w:r>
          </w:p>
        </w:tc>
        <w:tc>
          <w:tcPr>
            <w:tcW w:type="dxa" w:w="26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Overage</w:t>
            </w:r>
          </w:p>
        </w:tc>
      </w:tr>
      <w:tr>
        <w:tc>
          <w:tcPr>
            <w:tcW w:type="dxa" w:w="16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Free</w:t>
            </w:r>
          </w:p>
        </w:tc>
        <w:tc>
          <w:tcPr>
            <w:tcW w:type="dxa" w:w="16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$0/mo</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products, 100 reviews/mo, text-only, 50 credits/mo</w:t>
            </w:r>
          </w:p>
        </w:tc>
        <w:tc>
          <w:tcPr>
            <w:tcW w:type="dxa" w:w="26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Upgrade prompt — no overage</w:t>
            </w:r>
          </w:p>
        </w:tc>
      </w:tr>
      <w:tr>
        <w:tc>
          <w:tcPr>
            <w:tcW w:type="dxa" w:w="16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Starter</w:t>
            </w:r>
          </w:p>
        </w:tc>
        <w:tc>
          <w:tcPr>
            <w:tcW w:type="dxa" w:w="16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$19/mo</w:t>
            </w:r>
          </w:p>
        </w:tc>
        <w:tc>
          <w:tcPr>
            <w:tcW w:type="dxa" w:w="3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10 products, 1,000 reviews/mo, CSV + paste, 200 credits/mo</w:t>
            </w:r>
          </w:p>
        </w:tc>
        <w:tc>
          <w:tcPr>
            <w:tcW w:type="dxa" w:w="26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$9.99 per +200 credits</w:t>
            </w:r>
          </w:p>
        </w:tc>
      </w:tr>
      <w:tr>
        <w:tc>
          <w:tcPr>
            <w:tcW w:type="dxa" w:w="16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Pro</w:t>
            </w:r>
          </w:p>
        </w:tc>
        <w:tc>
          <w:tcPr>
            <w:tcW w:type="dxa" w:w="16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$49/mo</w:t>
            </w:r>
          </w:p>
        </w:tc>
        <w:tc>
          <w:tcPr>
            <w:tcW w:type="dxa" w:w="3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 products, 10,000 reviews/mo, all modalities, 5 Insight Reports, 800 credits/mo</w:t>
            </w:r>
          </w:p>
        </w:tc>
        <w:tc>
          <w:tcPr>
            <w:tcW w:type="dxa" w:w="26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$24.99 per +600 credits</w:t>
            </w:r>
          </w:p>
        </w:tc>
      </w:tr>
      <w:tr>
        <w:tc>
          <w:tcPr>
            <w:tcW w:type="dxa" w:w="16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Enterprise</w:t>
            </w:r>
          </w:p>
        </w:tc>
        <w:tc>
          <w:tcPr>
            <w:tcW w:type="dxa" w:w="16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$199/mo</w:t>
            </w:r>
          </w:p>
        </w:tc>
        <w:tc>
          <w:tcPr>
            <w:tcW w:type="dxa" w:w="3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Unlimited, API access, custom skills, 4,000 credits/mo, priority SLA</w:t>
            </w:r>
          </w:p>
        </w:tc>
        <w:tc>
          <w:tcPr>
            <w:tcW w:type="dxa" w:w="26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$69.99 per +2,000 credits</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3.2 Gross Margin Model — Typical User Scenario</w:t>
      </w:r>
    </w:p>
    <w:p>
      <w:pPr>
        <w:pStyle w:val="Heading3"/>
      </w:pPr>
      <w:r>
        <w:rPr>
          <w:rFonts w:ascii="Arial" w:cs="Arial" w:eastAsia="Arial" w:hAnsi="Arial"/>
          <w:b/>
          <w:bCs/>
          <w:color w:val="0F1929"/>
          <w:sz w:val="22"/>
          <w:szCs w:val="22"/>
        </w:rPr>
        <w:t xml:space="preserve">Free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Infra allocation (fixed, per user)</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$2.30 (assuming 50 free users sharing fixed costs)</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Avg AI usage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 chat queries/mo + 1 CSV ingest = ~$0.22</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cost to serve</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~$2.52</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-$2.52 (acquisition cost — acceptable for trial conversion)</w:t>
            </w:r>
          </w:p>
        </w:tc>
      </w:tr>
    </w:tbl>
    <w:p>
      <w:pPr>
        <w:spacing w:after="0" w:before="80"/>
      </w:pPr>
      <w:r>
        <w:t xml:space="preserve"/>
      </w:r>
    </w:p>
    <w:p>
      <w:pPr>
        <w:pStyle w:val="Heading3"/>
      </w:pPr>
      <w:r>
        <w:rPr>
          <w:rFonts w:ascii="Arial" w:cs="Arial" w:eastAsia="Arial" w:hAnsi="Arial"/>
          <w:b/>
          <w:bCs/>
          <w:color w:val="0F1929"/>
          <w:sz w:val="22"/>
          <w:szCs w:val="22"/>
        </w:rPr>
        <w:t xml:space="preserve">Starter User ($19/mo)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Infra allocation (fixed)</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$5.75</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Avg AI usage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 queries + 3 CSV + 1 Insight Report = ~$1.80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cost to serve</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~$7.55</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profit</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$11.45</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~60%</w:t>
            </w:r>
          </w:p>
        </w:tc>
      </w:tr>
    </w:tbl>
    <w:p>
      <w:pPr>
        <w:spacing w:after="0" w:before="80"/>
      </w:pPr>
      <w:r>
        <w:t xml:space="preserve"/>
      </w:r>
    </w:p>
    <w:p>
      <w:pPr>
        <w:pStyle w:val="Heading3"/>
      </w:pPr>
      <w:r>
        <w:rPr>
          <w:rFonts w:ascii="Arial" w:cs="Arial" w:eastAsia="Arial" w:hAnsi="Arial"/>
          <w:b/>
          <w:bCs/>
          <w:color w:val="0F1929"/>
          <w:sz w:val="22"/>
          <w:szCs w:val="22"/>
        </w:rPr>
        <w:t xml:space="preserve">Pro User ($49/mo)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Infra allocation (fixed)</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$11.50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Avg AI usage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queries + 10 CSV + 5 PDF + 5 Insight Reports = ~$6.50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cost to serve</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~$18.00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profit</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$31.00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~63%</w:t>
            </w:r>
          </w:p>
        </w:tc>
      </w:tr>
    </w:tbl>
    <w:p>
      <w:pPr>
        <w:spacing w:after="0" w:before="80"/>
      </w:pPr>
      <w:r>
        <w:t xml:space="preserve"/>
      </w:r>
    </w:p>
    <w:p>
      <w:pPr>
        <w:pStyle w:val="Heading3"/>
      </w:pPr>
      <w:r>
        <w:rPr>
          <w:rFonts w:ascii="Arial" w:cs="Arial" w:eastAsia="Arial" w:hAnsi="Arial"/>
          <w:b/>
          <w:bCs/>
          <w:color w:val="0F1929"/>
          <w:sz w:val="22"/>
          <w:szCs w:val="22"/>
        </w:rPr>
        <w:t xml:space="preserve">Enterprise User ($199/mo)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$199.00 + avg $50 overage = $249</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Infra allocation (fixed)</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$23.00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Avg AI usage</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queries + 50 CSVs + 20 PDFs + 20 Insight Reports = ~$25</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Total cost to serve</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~$48.00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profit</w:t>
            </w:r>
          </w:p>
        </w:tc>
        <w:tc>
          <w:tcPr>
            <w:tcW w:type="dxa" w:w="5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$201.00</w:t>
            </w:r>
          </w:p>
        </w:tc>
      </w:tr>
      <w:tr>
        <w:tc>
          <w:tcPr>
            <w:tcW w:type="dxa" w:w="4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Gross margin</w:t>
            </w:r>
          </w:p>
        </w:tc>
        <w:tc>
          <w:tcPr>
            <w:tcW w:type="dxa" w:w="5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~80%</w:t>
            </w:r>
          </w:p>
        </w:tc>
      </w:tr>
    </w:tbl>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4 — Scale Projections</w:t>
      </w:r>
    </w:p>
    <w:p>
      <w:pPr>
        <w:pStyle w:val="Heading2"/>
        <w:pBdr>
          <w:bottom w:val="single" w:color="0F7B6C" w:sz="4" w:space="4"/>
        </w:pBdr>
      </w:pPr>
      <w:r>
        <w:rPr>
          <w:rFonts w:ascii="Arial" w:cs="Arial" w:eastAsia="Arial" w:hAnsi="Arial"/>
          <w:b/>
          <w:bCs/>
          <w:color w:val="0F7B6C"/>
          <w:sz w:val="26"/>
          <w:szCs w:val="26"/>
        </w:rPr>
        <w:t xml:space="preserve">4.1 Monthly Recurring 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5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Enterprise</w:t>
            </w:r>
          </w:p>
        </w:tc>
        <w:tc>
          <w:tcPr>
            <w:tcW w:type="dxa" w:w="15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Est. MRR</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Early (Month 3)</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$598</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Growth (Month 6)</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$3,517</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Scale (Month 12)</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50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5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$17,880</w:t>
            </w:r>
          </w:p>
        </w:tc>
      </w:tr>
      <w:tr>
        <w:tc>
          <w:tcPr>
            <w:tcW w:type="dxa" w:w="18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Mature (Month 18)</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800</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150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15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$53,800</w:t>
            </w:r>
          </w:p>
        </w:tc>
      </w:tr>
    </w:tbl>
    <w:p>
      <w:pPr>
        <w:spacing w:after="0" w:before="120"/>
      </w:pPr>
      <w:r>
        <w:t xml:space="preserve"/>
      </w:r>
    </w:p>
    <w:p>
      <w:pPr>
        <w:pStyle w:val="Heading2"/>
        <w:pBdr>
          <w:bottom w:val="single" w:color="0F7B6C" w:sz="4" w:space="4"/>
        </w:pBdr>
      </w:pPr>
      <w:r>
        <w:rPr>
          <w:rFonts w:ascii="Arial" w:cs="Arial" w:eastAsia="Arial" w:hAnsi="Arial"/>
          <w:b/>
          <w:bCs/>
          <w:color w:val="0F7B6C"/>
          <w:sz w:val="26"/>
          <w:szCs w:val="26"/>
        </w:rPr>
        <w:t xml:space="preserve">4.2 Cost Optimization Levers</w:t>
      </w:r>
    </w:p>
    <w:p>
      <w:pPr>
        <w:pStyle w:val="ListParagraph"/>
        <w:numPr>
          <w:ilvl w:val="0"/>
          <w:numId w:val="2"/>
        </w:numPr>
        <w:spacing w:after="60" w:before="60"/>
      </w:pPr>
      <w:r>
        <w:rPr>
          <w:rFonts w:ascii="Arial" w:cs="Arial" w:eastAsia="Arial" w:hAnsi="Arial"/>
          <w:color w:val="333333"/>
          <w:sz w:val="22"/>
          <w:szCs w:val="22"/>
        </w:rPr>
        <w:t xml:space="preserve">Batch processing: Use OpenAI Batch API for off-peak ingestion jobs — up to 50% cost reduction on embedding and extraction calls.</w:t>
      </w:r>
    </w:p>
    <w:p>
      <w:pPr>
        <w:pStyle w:val="ListParagraph"/>
        <w:numPr>
          <w:ilvl w:val="0"/>
          <w:numId w:val="2"/>
        </w:numPr>
        <w:spacing w:after="60" w:before="60"/>
      </w:pPr>
      <w:r>
        <w:rPr>
          <w:rFonts w:ascii="Arial" w:cs="Arial" w:eastAsia="Arial" w:hAnsi="Arial"/>
          <w:color w:val="333333"/>
          <w:sz w:val="22"/>
          <w:szCs w:val="22"/>
        </w:rPr>
        <w:t xml:space="preserve">Model routing: Route simple queries (scope guard, basic sentiment) to Claude Haiku 4.5 ($0.38/M tokens) vs. GPT-4o ($10/M tokens) — 26× cost reduction on low-complexity tasks.</w:t>
      </w:r>
    </w:p>
    <w:p>
      <w:pPr>
        <w:pStyle w:val="ListParagraph"/>
        <w:numPr>
          <w:ilvl w:val="0"/>
          <w:numId w:val="2"/>
        </w:numPr>
        <w:spacing w:after="60" w:before="60"/>
      </w:pPr>
      <w:r>
        <w:rPr>
          <w:rFonts w:ascii="Arial" w:cs="Arial" w:eastAsia="Arial" w:hAnsi="Arial"/>
          <w:color w:val="333333"/>
          <w:sz w:val="22"/>
          <w:szCs w:val="22"/>
        </w:rPr>
        <w:t xml:space="preserve">Caching: Cache identical questions on the same product (Redis/Upstash). Hit rate ~15% at scale → meaningful savings.</w:t>
      </w:r>
    </w:p>
    <w:p>
      <w:pPr>
        <w:pStyle w:val="ListParagraph"/>
        <w:numPr>
          <w:ilvl w:val="0"/>
          <w:numId w:val="2"/>
        </w:numPr>
        <w:spacing w:after="60" w:before="60"/>
      </w:pPr>
      <w:r>
        <w:rPr>
          <w:rFonts w:ascii="Arial" w:cs="Arial" w:eastAsia="Arial" w:hAnsi="Arial"/>
          <w:color w:val="333333"/>
          <w:sz w:val="22"/>
          <w:szCs w:val="22"/>
        </w:rPr>
        <w:t xml:space="preserve">PDF escalation gate: Only escalate to vision OCR if text-mode yields &lt; 100 words/page. Reduces vision API calls by ~70% (most PDFs are digitally generated).</w:t>
      </w:r>
    </w:p>
    <w:p>
      <w:pPr>
        <w:pStyle w:val="ListParagraph"/>
        <w:numPr>
          <w:ilvl w:val="0"/>
          <w:numId w:val="2"/>
        </w:numPr>
        <w:spacing w:after="60" w:before="60"/>
      </w:pPr>
      <w:r>
        <w:rPr>
          <w:rFonts w:ascii="Arial" w:cs="Arial" w:eastAsia="Arial" w:hAnsi="Arial"/>
          <w:color w:val="333333"/>
          <w:sz w:val="22"/>
          <w:szCs w:val="22"/>
        </w:rPr>
        <w:t xml:space="preserve">Pinecone optimization: Archive inactive namespaces (products not queried in 90+ days) to serverless index at ~60% lower storage cost.</w:t>
      </w:r>
    </w:p>
    <w:p>
      <w:pPr>
        <w:spacing w:after="0" w:before="200"/>
      </w:pPr>
      <w:r>
        <w:t xml:space="preserve"/>
      </w:r>
    </w:p>
    <w:p>
      <w:pPr>
        <w:pBdr>
          <w:bottom w:val="single" w:color="D6EDE9" w:sz="2" w:space="1"/>
        </w:pBdr>
        <w:spacing w:after="160" w:before="160"/>
      </w:pPr>
      <w:r>
        <w:t xml:space="preserve"/>
      </w:r>
    </w:p>
    <w:p>
      <w:r>
        <w:br w:type="page"/>
      </w:r>
    </w:p>
    <w:p>
      <w:pPr>
        <w:pStyle w:val="Heading1"/>
      </w:pPr>
      <w:r>
        <w:rPr>
          <w:rFonts w:ascii="Arial" w:cs="Arial" w:eastAsia="Arial" w:hAnsi="Arial"/>
          <w:b/>
          <w:bCs/>
          <w:color w:val="0F1929"/>
          <w:sz w:val="34"/>
          <w:szCs w:val="34"/>
        </w:rPr>
        <w:t xml:space="preserve">Section 5 — Risk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360"/>
            <w:tcBorders>
              <w:top w:val="single" w:color="C8DDD9" w:sz="1"/>
              <w:left w:val="single" w:color="C8DDD9" w:sz="1"/>
              <w:bottom w:val="single" w:color="C8DDD9" w:sz="1"/>
              <w:right w:val="single" w:color="C8DDD9" w:sz="1"/>
            </w:tcBorders>
            <w:shd w:fill="0F7B6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Power user on Free tier burns disproportionate credits</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Hard credit cap on Free (50/mo). No overage — upgrade prompt shown.</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Vision OCR costs spike with large PDF uploads</w:t>
            </w:r>
          </w:p>
        </w:tc>
        <w:tc>
          <w:tcPr>
            <w:tcW w:type="dxa" w:w="6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File size limit (20MB). Vision escalation gate (&lt; 100 words/page heuristic). Credit cost clearly shown before processing.</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OpenAI price changes (historically volatile)</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Model-agnostic Edge Function design. Swap models without frontend changes. Dual vendor (OpenAI + Anthropic) reduces single-provider risk.</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Pinecone storage grows unbounded</w:t>
            </w:r>
          </w:p>
        </w:tc>
        <w:tc>
          <w:tcPr>
            <w:tcW w:type="dxa" w:w="6360"/>
            <w:tcBorders>
              <w:top w:val="single" w:color="C8DDD9" w:sz="1"/>
              <w:left w:val="single" w:color="C8DDD9" w:sz="1"/>
              <w:bottom w:val="single" w:color="C8DDD9" w:sz="1"/>
              <w:right w:val="single" w:color="C8DDD9" w:sz="1"/>
            </w:tcBorders>
            <w:shd w:fill="FAFAFA" w:val="clear"/>
            <w:tcMar>
              <w:top w:type="dxa" w:w="80"/>
              <w:left w:type="dxa" w:w="120"/>
              <w:bottom w:type="dxa" w:w="80"/>
              <w:right w:type="dxa" w:w="120"/>
            </w:tcMar>
          </w:tcPr>
          <w:p>
            <w:r>
              <w:rPr>
                <w:rFonts w:ascii="Arial" w:cs="Arial" w:eastAsia="Arial" w:hAnsi="Arial"/>
                <w:color w:val="333333"/>
                <w:sz w:val="20"/>
                <w:szCs w:val="20"/>
              </w:rPr>
              <w:t xml:space="preserve">90-day archive policy for inactive namespaces. Product deletion includes Pinecone namespace cleanup (currently TODO in Progress_2).</w:t>
            </w:r>
          </w:p>
        </w:tc>
      </w:tr>
      <w:tr>
        <w:tc>
          <w:tcPr>
            <w:tcW w:type="dxa" w:w="3000"/>
            <w:tcBorders>
              <w:top w:val="single" w:color="C8DDD9" w:sz="1"/>
              <w:left w:val="single" w:color="C8DDD9" w:sz="1"/>
              <w:bottom w:val="single" w:color="C8DDD9" w:sz="1"/>
              <w:right w:val="single" w:color="C8DDD9" w:sz="1"/>
            </w:tcBorders>
            <w:shd w:fill="E8F4F1" w:val="clear"/>
            <w:tcMar>
              <w:top w:type="dxa" w:w="80"/>
              <w:left w:type="dxa" w:w="120"/>
              <w:bottom w:type="dxa" w:w="80"/>
              <w:right w:type="dxa" w:w="120"/>
            </w:tcMar>
          </w:tcPr>
          <w:p>
            <w:r>
              <w:rPr>
                <w:rFonts w:ascii="Arial" w:cs="Arial" w:eastAsia="Arial" w:hAnsi="Arial"/>
                <w:color w:val="333333"/>
                <w:sz w:val="20"/>
                <w:szCs w:val="20"/>
              </w:rPr>
              <w:t xml:space="preserve">Insight Report generates 3× the expected tokens</w:t>
            </w:r>
          </w:p>
        </w:tc>
        <w:tc>
          <w:tcPr>
            <w:tcW w:type="dxa" w:w="6360"/>
            <w:tcBorders>
              <w:top w:val="single" w:color="C8DDD9" w:sz="1"/>
              <w:left w:val="single" w:color="C8DDD9" w:sz="1"/>
              <w:bottom w:val="single" w:color="C8DDD9" w:sz="1"/>
              <w:right w:val="single" w:color="C8DDD9"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max_tokens caps on each worker agent. If Worker 1 output &gt; 8K tokens, truncate and log — downstream workers use truncated version.</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DE9" w:sz="2" w:space="4"/>
      </w:pBdr>
      <w:jc w:val="center"/>
    </w:pPr>
    <w:r>
      <w:rPr>
        <w:rFonts w:ascii="Arial" w:cs="Arial" w:eastAsia="Arial" w:hAnsi="Arial"/>
        <w:color w:val="6B7280"/>
        <w:sz w:val="18"/>
        <w:szCs w:val="18"/>
      </w:rPr>
      <w:t xml:space="preserve">ReviewLens AI  •  Cost Estimation &amp; SaaS Unit Economics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C8DDD9" w:sz="1"/>
            <w:right w:val="none" w:color="FFFFFF" w:sz="0"/>
          </w:tcBorders>
          <w:tcMar>
            <w:bottom w:type="dxa" w:w="80"/>
          </w:tcMar>
        </w:tcPr>
        <w:p>
          <w:r>
            <w:rPr>
              <w:rFonts w:ascii="Arial" w:cs="Arial" w:eastAsia="Arial" w:hAnsi="Arial"/>
              <w:b/>
              <w:bCs/>
              <w:color w:val="0F7B6C"/>
              <w:sz w:val="18"/>
              <w:szCs w:val="18"/>
            </w:rPr>
            <w:t xml:space="preserve">ReviewLens AI — Cost Estimation &amp; SaaS Unit Economics</w:t>
          </w:r>
        </w:p>
      </w:tc>
      <w:tc>
        <w:tcPr>
          <w:tcW w:type="dxa" w:w="3360"/>
          <w:tcBorders>
            <w:top w:val="none" w:color="FFFFFF" w:sz="0"/>
            <w:left w:val="none" w:color="FFFFFF" w:sz="0"/>
            <w:bottom w:val="single" w:color="C8DDD9" w:sz="1"/>
            <w:right w:val="none" w:color="FFFFFF" w:sz="0"/>
          </w:tcBorders>
          <w:tcMar>
            <w:bottom w:type="dxa" w:w="80"/>
          </w:tcMar>
        </w:tcPr>
        <w:p>
          <w:pPr>
            <w:jc w:val="right"/>
          </w:pPr>
          <w:r>
            <w:rPr>
              <w:rFonts w:ascii="Arial" w:cs="Arial" w:eastAsia="Arial" w:hAnsi="Arial"/>
              <w:color w:val="6B7280"/>
              <w:sz w:val="18"/>
              <w:szCs w:val="18"/>
            </w:rPr>
            <w:t xml:space="preserve">CONFIDENTIAL  •  March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929"/>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0F7B6C"/>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F192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2026-03-17T00:20:03.009Z</dcterms:created>
  <dcterms:modified xsi:type="dcterms:W3CDTF">2026-03-17T00:20:03.009Z</dcterms:modified>
</cp:coreProperties>
</file>

<file path=docProps/custom.xml><?xml version="1.0" encoding="utf-8"?>
<Properties xmlns="http://schemas.openxmlformats.org/officeDocument/2006/custom-properties" xmlns:vt="http://schemas.openxmlformats.org/officeDocument/2006/docPropsVTypes"/>
</file>