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B210" w14:textId="77777777" w:rsidR="00AA25F9" w:rsidRDefault="00000000">
      <w:pPr>
        <w:pStyle w:val="Title"/>
      </w:pPr>
      <w:r>
        <w:rPr>
          <w:rFonts w:ascii="Avenir Next" w:eastAsia="Avenir Next" w:hAnsi="Avenir Next"/>
        </w:rPr>
        <w:t>RISEOS</w:t>
      </w:r>
    </w:p>
    <w:p w14:paraId="0867DBDE" w14:textId="77777777" w:rsidR="00AA25F9" w:rsidRDefault="00000000">
      <w:pPr>
        <w:pStyle w:val="Subtitle"/>
      </w:pPr>
      <w:r>
        <w:rPr>
          <w:rFonts w:ascii="Avenir Next" w:eastAsia="Avenir Next" w:hAnsi="Avenir Next"/>
        </w:rPr>
        <w:t>Project Context &amp; Engineering Design</w:t>
      </w:r>
    </w:p>
    <w:p w14:paraId="7AE8301C" w14:textId="331FB4C0" w:rsidR="00AA25F9" w:rsidRDefault="00000000" w:rsidP="00895FD7">
      <w:pPr>
        <w:pStyle w:val="Lead"/>
      </w:pPr>
      <w:r>
        <w:t>A living internal reference for product intent, architecture, engineering practices, and delivery decisions.</w:t>
      </w:r>
    </w:p>
    <w:tbl>
      <w:tblPr>
        <w:tblStyle w:val="TableGrid"/>
        <w:tblW w:w="0" w:type="auto"/>
        <w:tblLayout w:type="fixed"/>
        <w:tblLook w:val="04A0" w:firstRow="1" w:lastRow="0" w:firstColumn="1" w:lastColumn="0" w:noHBand="0" w:noVBand="1"/>
      </w:tblPr>
      <w:tblGrid>
        <w:gridCol w:w="2376"/>
        <w:gridCol w:w="6984"/>
      </w:tblGrid>
      <w:tr w:rsidR="00AA25F9" w14:paraId="2227D1D4" w14:textId="77777777">
        <w:tc>
          <w:tcPr>
            <w:tcW w:w="2376" w:type="dxa"/>
            <w:shd w:val="clear" w:color="auto" w:fill="F4F6F8"/>
            <w:tcMar>
              <w:top w:w="100" w:type="dxa"/>
              <w:left w:w="120" w:type="dxa"/>
              <w:bottom w:w="100" w:type="dxa"/>
              <w:right w:w="120" w:type="dxa"/>
            </w:tcMar>
            <w:vAlign w:val="center"/>
          </w:tcPr>
          <w:p w14:paraId="388A9E8E" w14:textId="77777777" w:rsidR="00AA25F9" w:rsidRDefault="00000000">
            <w:pPr>
              <w:spacing w:after="0" w:line="252" w:lineRule="auto"/>
            </w:pPr>
            <w:r>
              <w:rPr>
                <w:sz w:val="20"/>
              </w:rPr>
              <w:t>Document owner</w:t>
            </w:r>
          </w:p>
        </w:tc>
        <w:tc>
          <w:tcPr>
            <w:tcW w:w="6984" w:type="dxa"/>
            <w:shd w:val="clear" w:color="auto" w:fill="F4F6F8"/>
            <w:tcMar>
              <w:top w:w="100" w:type="dxa"/>
              <w:left w:w="120" w:type="dxa"/>
              <w:bottom w:w="100" w:type="dxa"/>
              <w:right w:w="120" w:type="dxa"/>
            </w:tcMar>
            <w:vAlign w:val="center"/>
          </w:tcPr>
          <w:p w14:paraId="38F17525" w14:textId="77777777" w:rsidR="00AA25F9" w:rsidRDefault="00000000">
            <w:pPr>
              <w:spacing w:after="0" w:line="252" w:lineRule="auto"/>
            </w:pPr>
            <w:r>
              <w:rPr>
                <w:sz w:val="20"/>
              </w:rPr>
              <w:t>RiseOS Project</w:t>
            </w:r>
          </w:p>
        </w:tc>
      </w:tr>
      <w:tr w:rsidR="00AA25F9" w14:paraId="55D373A6" w14:textId="77777777">
        <w:tc>
          <w:tcPr>
            <w:tcW w:w="2376" w:type="dxa"/>
            <w:tcMar>
              <w:top w:w="100" w:type="dxa"/>
              <w:left w:w="120" w:type="dxa"/>
              <w:bottom w:w="100" w:type="dxa"/>
              <w:right w:w="120" w:type="dxa"/>
            </w:tcMar>
            <w:vAlign w:val="center"/>
          </w:tcPr>
          <w:p w14:paraId="6CA96D22" w14:textId="77777777" w:rsidR="00AA25F9" w:rsidRDefault="00000000">
            <w:pPr>
              <w:spacing w:after="0" w:line="252" w:lineRule="auto"/>
            </w:pPr>
            <w:r>
              <w:rPr>
                <w:sz w:val="20"/>
              </w:rPr>
              <w:t>Document type</w:t>
            </w:r>
          </w:p>
        </w:tc>
        <w:tc>
          <w:tcPr>
            <w:tcW w:w="6984" w:type="dxa"/>
            <w:tcMar>
              <w:top w:w="100" w:type="dxa"/>
              <w:left w:w="120" w:type="dxa"/>
              <w:bottom w:w="100" w:type="dxa"/>
              <w:right w:w="120" w:type="dxa"/>
            </w:tcMar>
            <w:vAlign w:val="center"/>
          </w:tcPr>
          <w:p w14:paraId="3ACC9741" w14:textId="77777777" w:rsidR="00AA25F9" w:rsidRDefault="00000000">
            <w:pPr>
              <w:spacing w:after="0" w:line="252" w:lineRule="auto"/>
            </w:pPr>
            <w:r>
              <w:rPr>
                <w:sz w:val="20"/>
              </w:rPr>
              <w:t>Internal engineering design document</w:t>
            </w:r>
          </w:p>
        </w:tc>
      </w:tr>
      <w:tr w:rsidR="00AA25F9" w14:paraId="2F1A1B1D" w14:textId="77777777">
        <w:tc>
          <w:tcPr>
            <w:tcW w:w="2376" w:type="dxa"/>
            <w:shd w:val="clear" w:color="auto" w:fill="F4F6F8"/>
            <w:tcMar>
              <w:top w:w="100" w:type="dxa"/>
              <w:left w:w="120" w:type="dxa"/>
              <w:bottom w:w="100" w:type="dxa"/>
              <w:right w:w="120" w:type="dxa"/>
            </w:tcMar>
            <w:vAlign w:val="center"/>
          </w:tcPr>
          <w:p w14:paraId="2C089BBF" w14:textId="77777777" w:rsidR="00AA25F9" w:rsidRDefault="00000000">
            <w:pPr>
              <w:spacing w:after="0" w:line="252" w:lineRule="auto"/>
            </w:pPr>
            <w:r>
              <w:rPr>
                <w:sz w:val="20"/>
              </w:rPr>
              <w:t>Current revision</w:t>
            </w:r>
          </w:p>
        </w:tc>
        <w:tc>
          <w:tcPr>
            <w:tcW w:w="6984" w:type="dxa"/>
            <w:shd w:val="clear" w:color="auto" w:fill="F4F6F8"/>
            <w:tcMar>
              <w:top w:w="100" w:type="dxa"/>
              <w:left w:w="120" w:type="dxa"/>
              <w:bottom w:w="100" w:type="dxa"/>
              <w:right w:w="120" w:type="dxa"/>
            </w:tcMar>
            <w:vAlign w:val="center"/>
          </w:tcPr>
          <w:p w14:paraId="614BAC33" w14:textId="77777777" w:rsidR="00AA25F9" w:rsidRDefault="00000000">
            <w:r>
              <w:rPr>
                <w:sz w:val="20"/>
              </w:rPr>
              <w:t>1.1.0</w:t>
            </w:r>
          </w:p>
        </w:tc>
      </w:tr>
      <w:tr w:rsidR="00AA25F9" w14:paraId="7207780B" w14:textId="77777777">
        <w:tc>
          <w:tcPr>
            <w:tcW w:w="2376" w:type="dxa"/>
            <w:tcMar>
              <w:top w:w="100" w:type="dxa"/>
              <w:left w:w="120" w:type="dxa"/>
              <w:bottom w:w="100" w:type="dxa"/>
              <w:right w:w="120" w:type="dxa"/>
            </w:tcMar>
            <w:vAlign w:val="center"/>
          </w:tcPr>
          <w:p w14:paraId="178EE14F" w14:textId="77777777" w:rsidR="00AA25F9" w:rsidRDefault="00000000">
            <w:pPr>
              <w:spacing w:after="0" w:line="252" w:lineRule="auto"/>
            </w:pPr>
            <w:r>
              <w:rPr>
                <w:sz w:val="20"/>
              </w:rPr>
              <w:t>Status</w:t>
            </w:r>
          </w:p>
        </w:tc>
        <w:tc>
          <w:tcPr>
            <w:tcW w:w="6984" w:type="dxa"/>
            <w:tcMar>
              <w:top w:w="100" w:type="dxa"/>
              <w:left w:w="120" w:type="dxa"/>
              <w:bottom w:w="100" w:type="dxa"/>
              <w:right w:w="120" w:type="dxa"/>
            </w:tcMar>
            <w:vAlign w:val="center"/>
          </w:tcPr>
          <w:p w14:paraId="5F6648E6" w14:textId="77777777" w:rsidR="00AA25F9" w:rsidRDefault="00000000">
            <w:r>
              <w:rPr>
                <w:sz w:val="20"/>
              </w:rPr>
              <w:t>Active, evolves with the software</w:t>
            </w:r>
          </w:p>
        </w:tc>
      </w:tr>
      <w:tr w:rsidR="00AA25F9" w14:paraId="760ADEEC" w14:textId="77777777">
        <w:tc>
          <w:tcPr>
            <w:tcW w:w="2376" w:type="dxa"/>
            <w:shd w:val="clear" w:color="auto" w:fill="F4F6F8"/>
            <w:tcMar>
              <w:top w:w="100" w:type="dxa"/>
              <w:left w:w="120" w:type="dxa"/>
              <w:bottom w:w="100" w:type="dxa"/>
              <w:right w:w="120" w:type="dxa"/>
            </w:tcMar>
            <w:vAlign w:val="center"/>
          </w:tcPr>
          <w:p w14:paraId="23952BB1" w14:textId="77777777" w:rsidR="00AA25F9" w:rsidRDefault="00000000">
            <w:pPr>
              <w:spacing w:after="0" w:line="252" w:lineRule="auto"/>
            </w:pPr>
            <w:r>
              <w:rPr>
                <w:sz w:val="20"/>
              </w:rPr>
              <w:t>Last updated</w:t>
            </w:r>
          </w:p>
        </w:tc>
        <w:tc>
          <w:tcPr>
            <w:tcW w:w="6984" w:type="dxa"/>
            <w:shd w:val="clear" w:color="auto" w:fill="F4F6F8"/>
            <w:tcMar>
              <w:top w:w="100" w:type="dxa"/>
              <w:left w:w="120" w:type="dxa"/>
              <w:bottom w:w="100" w:type="dxa"/>
              <w:right w:w="120" w:type="dxa"/>
            </w:tcMar>
            <w:vAlign w:val="center"/>
          </w:tcPr>
          <w:p w14:paraId="2CB9FC25" w14:textId="77777777" w:rsidR="00AA25F9" w:rsidRDefault="00000000">
            <w:r>
              <w:rPr>
                <w:sz w:val="20"/>
              </w:rPr>
              <w:t>August 3, 2026</w:t>
            </w:r>
          </w:p>
        </w:tc>
      </w:tr>
      <w:tr w:rsidR="00AA25F9" w14:paraId="47365033" w14:textId="77777777">
        <w:tc>
          <w:tcPr>
            <w:tcW w:w="2376" w:type="dxa"/>
            <w:tcMar>
              <w:top w:w="100" w:type="dxa"/>
              <w:left w:w="120" w:type="dxa"/>
              <w:bottom w:w="100" w:type="dxa"/>
              <w:right w:w="120" w:type="dxa"/>
            </w:tcMar>
            <w:vAlign w:val="center"/>
          </w:tcPr>
          <w:p w14:paraId="1A16E884" w14:textId="77777777" w:rsidR="00AA25F9" w:rsidRDefault="00000000">
            <w:pPr>
              <w:spacing w:after="0" w:line="252" w:lineRule="auto"/>
            </w:pPr>
            <w:r>
              <w:rPr>
                <w:sz w:val="20"/>
              </w:rPr>
              <w:t>Classification</w:t>
            </w:r>
          </w:p>
        </w:tc>
        <w:tc>
          <w:tcPr>
            <w:tcW w:w="6984" w:type="dxa"/>
            <w:tcMar>
              <w:top w:w="100" w:type="dxa"/>
              <w:left w:w="120" w:type="dxa"/>
              <w:bottom w:w="100" w:type="dxa"/>
              <w:right w:w="120" w:type="dxa"/>
            </w:tcMar>
            <w:vAlign w:val="center"/>
          </w:tcPr>
          <w:p w14:paraId="7BE2CF44" w14:textId="77777777" w:rsidR="00AA25F9" w:rsidRDefault="00000000">
            <w:pPr>
              <w:spacing w:after="0" w:line="252" w:lineRule="auto"/>
            </w:pPr>
            <w:r>
              <w:rPr>
                <w:sz w:val="20"/>
              </w:rPr>
              <w:t>Internal / Portfolio project documentation</w:t>
            </w:r>
          </w:p>
        </w:tc>
      </w:tr>
    </w:tbl>
    <w:p w14:paraId="09AF8EF8" w14:textId="77777777" w:rsidR="00AA25F9" w:rsidRDefault="00AA25F9">
      <w:pPr>
        <w:spacing w:after="0"/>
      </w:pPr>
    </w:p>
    <w:p w14:paraId="2F0C7CC9" w14:textId="77777777" w:rsidR="00AA25F9" w:rsidRDefault="00000000">
      <w:pPr>
        <w:pStyle w:val="Heading2"/>
      </w:pPr>
      <w:r>
        <w:rPr>
          <w:rFonts w:ascii="Avenir Next" w:eastAsia="Avenir Next" w:hAnsi="Avenir Next"/>
        </w:rPr>
        <w:t>Purpose</w:t>
      </w:r>
    </w:p>
    <w:p w14:paraId="0D1C09CF" w14:textId="77777777" w:rsidR="00AA25F9" w:rsidRDefault="00000000">
      <w:r>
        <w:t>This document preserves the reasoning behind RiseOS. It explains what the product is, what it is not, how the system can evolve, and which engineering standards guide the work. It is a design baseline, not a substitute for source code, issue tracking, Application Programming Interface (API) documentation, or release notes.</w:t>
      </w:r>
    </w:p>
    <w:p w14:paraId="07B0F510" w14:textId="77777777" w:rsidR="00AA25F9" w:rsidRDefault="00000000">
      <w:r>
        <w:br w:type="page"/>
      </w:r>
    </w:p>
    <w:p w14:paraId="2AB61665" w14:textId="77777777" w:rsidR="00AA25F9" w:rsidRDefault="00000000">
      <w:pPr>
        <w:pStyle w:val="Heading1"/>
      </w:pPr>
      <w:r>
        <w:rPr>
          <w:rFonts w:ascii="Avenir Next" w:eastAsia="Avenir Next" w:hAnsi="Avenir Next"/>
        </w:rPr>
        <w:lastRenderedPageBreak/>
        <w:t>Document Control</w:t>
      </w:r>
    </w:p>
    <w:p w14:paraId="2685E148" w14:textId="77777777" w:rsidR="00AA25F9" w:rsidRDefault="00000000">
      <w:pPr>
        <w:pStyle w:val="Heading2"/>
      </w:pPr>
      <w:r>
        <w:rPr>
          <w:rFonts w:ascii="Avenir Next" w:eastAsia="Avenir Next" w:hAnsi="Avenir Next"/>
        </w:rPr>
        <w:t>Revision History</w:t>
      </w:r>
    </w:p>
    <w:tbl>
      <w:tblPr>
        <w:tblStyle w:val="TableGrid"/>
        <w:tblW w:w="9120" w:type="dxa"/>
        <w:tblInd w:w="120" w:type="dxa"/>
        <w:tblLayout w:type="fixed"/>
        <w:tblLook w:val="04A0" w:firstRow="1" w:lastRow="0" w:firstColumn="1" w:lastColumn="0" w:noHBand="0" w:noVBand="1"/>
      </w:tblPr>
      <w:tblGrid>
        <w:gridCol w:w="1050"/>
        <w:gridCol w:w="1450"/>
        <w:gridCol w:w="4550"/>
        <w:gridCol w:w="2070"/>
      </w:tblGrid>
      <w:tr w:rsidR="00AA25F9" w14:paraId="6D32B170" w14:textId="77777777">
        <w:trPr>
          <w:tblHeader/>
        </w:trPr>
        <w:tc>
          <w:tcPr>
            <w:tcW w:w="1050" w:type="dxa"/>
            <w:shd w:val="clear" w:color="auto" w:fill="2E5E86"/>
            <w:tcMar>
              <w:top w:w="100" w:type="dxa"/>
              <w:left w:w="120" w:type="dxa"/>
              <w:bottom w:w="100" w:type="dxa"/>
              <w:right w:w="120" w:type="dxa"/>
            </w:tcMar>
            <w:vAlign w:val="center"/>
          </w:tcPr>
          <w:p w14:paraId="792050A8" w14:textId="77777777" w:rsidR="00AA25F9" w:rsidRDefault="00000000">
            <w:pPr>
              <w:spacing w:after="0" w:line="252" w:lineRule="auto"/>
            </w:pPr>
            <w:r>
              <w:rPr>
                <w:b/>
                <w:color w:val="FFFFFF"/>
                <w:sz w:val="20"/>
              </w:rPr>
              <w:t>Revision</w:t>
            </w:r>
          </w:p>
        </w:tc>
        <w:tc>
          <w:tcPr>
            <w:tcW w:w="1450" w:type="dxa"/>
            <w:shd w:val="clear" w:color="auto" w:fill="2E5E86"/>
            <w:tcMar>
              <w:top w:w="100" w:type="dxa"/>
              <w:left w:w="120" w:type="dxa"/>
              <w:bottom w:w="100" w:type="dxa"/>
              <w:right w:w="120" w:type="dxa"/>
            </w:tcMar>
            <w:vAlign w:val="center"/>
          </w:tcPr>
          <w:p w14:paraId="67C34480" w14:textId="77777777" w:rsidR="00AA25F9" w:rsidRDefault="00000000">
            <w:pPr>
              <w:spacing w:after="0" w:line="252" w:lineRule="auto"/>
            </w:pPr>
            <w:r>
              <w:rPr>
                <w:b/>
                <w:color w:val="FFFFFF"/>
                <w:sz w:val="20"/>
              </w:rPr>
              <w:t>Date</w:t>
            </w:r>
          </w:p>
        </w:tc>
        <w:tc>
          <w:tcPr>
            <w:tcW w:w="4550" w:type="dxa"/>
            <w:shd w:val="clear" w:color="auto" w:fill="2E5E86"/>
            <w:tcMar>
              <w:top w:w="100" w:type="dxa"/>
              <w:left w:w="120" w:type="dxa"/>
              <w:bottom w:w="100" w:type="dxa"/>
              <w:right w:w="120" w:type="dxa"/>
            </w:tcMar>
            <w:vAlign w:val="center"/>
          </w:tcPr>
          <w:p w14:paraId="4927CBED" w14:textId="77777777" w:rsidR="00AA25F9" w:rsidRDefault="00000000">
            <w:pPr>
              <w:spacing w:after="0" w:line="252" w:lineRule="auto"/>
            </w:pPr>
            <w:r>
              <w:rPr>
                <w:b/>
                <w:color w:val="FFFFFF"/>
                <w:sz w:val="20"/>
              </w:rPr>
              <w:t>Summary</w:t>
            </w:r>
          </w:p>
        </w:tc>
        <w:tc>
          <w:tcPr>
            <w:tcW w:w="2070" w:type="dxa"/>
            <w:shd w:val="clear" w:color="auto" w:fill="2E5E86"/>
            <w:tcMar>
              <w:top w:w="100" w:type="dxa"/>
              <w:left w:w="120" w:type="dxa"/>
              <w:bottom w:w="100" w:type="dxa"/>
              <w:right w:w="120" w:type="dxa"/>
            </w:tcMar>
            <w:vAlign w:val="center"/>
          </w:tcPr>
          <w:p w14:paraId="16C70C61" w14:textId="77777777" w:rsidR="00AA25F9" w:rsidRDefault="00000000">
            <w:pPr>
              <w:spacing w:after="0" w:line="252" w:lineRule="auto"/>
            </w:pPr>
            <w:r>
              <w:rPr>
                <w:b/>
                <w:color w:val="FFFFFF"/>
                <w:sz w:val="20"/>
              </w:rPr>
              <w:t>Author</w:t>
            </w:r>
          </w:p>
        </w:tc>
      </w:tr>
      <w:tr w:rsidR="00AA25F9" w14:paraId="348DF98D" w14:textId="77777777">
        <w:tc>
          <w:tcPr>
            <w:tcW w:w="1050" w:type="dxa"/>
            <w:tcMar>
              <w:top w:w="100" w:type="dxa"/>
              <w:left w:w="120" w:type="dxa"/>
              <w:bottom w:w="100" w:type="dxa"/>
              <w:right w:w="120" w:type="dxa"/>
            </w:tcMar>
            <w:vAlign w:val="center"/>
          </w:tcPr>
          <w:p w14:paraId="4CCE0B79" w14:textId="77777777" w:rsidR="00AA25F9" w:rsidRDefault="00000000">
            <w:pPr>
              <w:spacing w:after="0" w:line="252" w:lineRule="auto"/>
            </w:pPr>
            <w:r>
              <w:rPr>
                <w:sz w:val="20"/>
              </w:rPr>
              <w:t>1.0.0</w:t>
            </w:r>
          </w:p>
        </w:tc>
        <w:tc>
          <w:tcPr>
            <w:tcW w:w="1450" w:type="dxa"/>
            <w:tcMar>
              <w:top w:w="100" w:type="dxa"/>
              <w:left w:w="120" w:type="dxa"/>
              <w:bottom w:w="100" w:type="dxa"/>
              <w:right w:w="120" w:type="dxa"/>
            </w:tcMar>
            <w:vAlign w:val="center"/>
          </w:tcPr>
          <w:p w14:paraId="179B0F7B" w14:textId="77777777" w:rsidR="00AA25F9" w:rsidRDefault="00000000">
            <w:pPr>
              <w:spacing w:after="0" w:line="252" w:lineRule="auto"/>
            </w:pPr>
            <w:r>
              <w:rPr>
                <w:sz w:val="20"/>
              </w:rPr>
              <w:t>2026-08-02</w:t>
            </w:r>
          </w:p>
        </w:tc>
        <w:tc>
          <w:tcPr>
            <w:tcW w:w="4550" w:type="dxa"/>
            <w:tcMar>
              <w:top w:w="100" w:type="dxa"/>
              <w:left w:w="120" w:type="dxa"/>
              <w:bottom w:w="100" w:type="dxa"/>
              <w:right w:w="120" w:type="dxa"/>
            </w:tcMar>
            <w:vAlign w:val="center"/>
          </w:tcPr>
          <w:p w14:paraId="32AD9217" w14:textId="77777777" w:rsidR="00AA25F9" w:rsidRDefault="00000000">
            <w:r>
              <w:rPr>
                <w:sz w:val="20"/>
              </w:rPr>
              <w:t>Initial project-context baseline: product intent, Minimum Viable Product (MVP) architecture, engineering practices, versioning, risks, and future direction.</w:t>
            </w:r>
          </w:p>
        </w:tc>
        <w:tc>
          <w:tcPr>
            <w:tcW w:w="2070" w:type="dxa"/>
            <w:tcMar>
              <w:top w:w="100" w:type="dxa"/>
              <w:left w:w="120" w:type="dxa"/>
              <w:bottom w:w="100" w:type="dxa"/>
              <w:right w:w="120" w:type="dxa"/>
            </w:tcMar>
            <w:vAlign w:val="center"/>
          </w:tcPr>
          <w:p w14:paraId="47CA3CDE" w14:textId="77777777" w:rsidR="00AA25F9" w:rsidRDefault="00000000">
            <w:pPr>
              <w:spacing w:after="0" w:line="252" w:lineRule="auto"/>
            </w:pPr>
            <w:r>
              <w:rPr>
                <w:sz w:val="20"/>
              </w:rPr>
              <w:t>RiseOS Project</w:t>
            </w:r>
          </w:p>
        </w:tc>
      </w:tr>
      <w:tr w:rsidR="00AA25F9" w14:paraId="33325EEC" w14:textId="77777777">
        <w:tc>
          <w:tcPr>
            <w:tcW w:w="1050" w:type="dxa"/>
            <w:tcMar>
              <w:top w:w="100" w:type="dxa"/>
              <w:left w:w="120" w:type="dxa"/>
              <w:bottom w:w="100" w:type="dxa"/>
              <w:right w:w="120" w:type="dxa"/>
            </w:tcMar>
          </w:tcPr>
          <w:p w14:paraId="45AB5516" w14:textId="77777777" w:rsidR="00AA25F9" w:rsidRDefault="00000000">
            <w:r>
              <w:rPr>
                <w:sz w:val="20"/>
              </w:rPr>
              <w:t>1.1.0</w:t>
            </w:r>
          </w:p>
        </w:tc>
        <w:tc>
          <w:tcPr>
            <w:tcW w:w="1450" w:type="dxa"/>
            <w:tcMar>
              <w:top w:w="100" w:type="dxa"/>
              <w:left w:w="120" w:type="dxa"/>
              <w:bottom w:w="100" w:type="dxa"/>
              <w:right w:w="120" w:type="dxa"/>
            </w:tcMar>
          </w:tcPr>
          <w:p w14:paraId="58EC160A" w14:textId="77777777" w:rsidR="00AA25F9" w:rsidRDefault="00000000">
            <w:r>
              <w:rPr>
                <w:sz w:val="20"/>
              </w:rPr>
              <w:t>2026-08-03</w:t>
            </w:r>
          </w:p>
        </w:tc>
        <w:tc>
          <w:tcPr>
            <w:tcW w:w="4550" w:type="dxa"/>
            <w:tcMar>
              <w:top w:w="100" w:type="dxa"/>
              <w:left w:w="120" w:type="dxa"/>
              <w:bottom w:w="100" w:type="dxa"/>
              <w:right w:w="120" w:type="dxa"/>
            </w:tcMar>
          </w:tcPr>
          <w:p w14:paraId="741670CB" w14:textId="77777777" w:rsidR="00AA25F9" w:rsidRDefault="00000000">
            <w:r>
              <w:rPr>
                <w:sz w:val="20"/>
              </w:rPr>
              <w:t>Added engineering learning objectives, refined the author voice, expanded acronyms on first use, and updated typography.</w:t>
            </w:r>
          </w:p>
        </w:tc>
        <w:tc>
          <w:tcPr>
            <w:tcW w:w="2070" w:type="dxa"/>
            <w:tcMar>
              <w:top w:w="100" w:type="dxa"/>
              <w:left w:w="120" w:type="dxa"/>
              <w:bottom w:w="100" w:type="dxa"/>
              <w:right w:w="120" w:type="dxa"/>
            </w:tcMar>
          </w:tcPr>
          <w:p w14:paraId="1BF222EB" w14:textId="77777777" w:rsidR="00AA25F9" w:rsidRDefault="00000000">
            <w:r>
              <w:rPr>
                <w:sz w:val="20"/>
              </w:rPr>
              <w:t>RiseOS Project</w:t>
            </w:r>
          </w:p>
        </w:tc>
      </w:tr>
    </w:tbl>
    <w:p w14:paraId="2E705D80" w14:textId="77777777" w:rsidR="00AA25F9" w:rsidRDefault="00AA25F9">
      <w:pPr>
        <w:spacing w:after="0"/>
      </w:pPr>
    </w:p>
    <w:p w14:paraId="27BFC235" w14:textId="77777777" w:rsidR="00AA25F9" w:rsidRDefault="00000000">
      <w:pPr>
        <w:pStyle w:val="Heading2"/>
      </w:pPr>
      <w:r>
        <w:rPr>
          <w:rFonts w:ascii="Avenir Next" w:eastAsia="Avenir Next" w:hAnsi="Avenir Next"/>
        </w:rPr>
        <w:t>Maintenance rule</w:t>
      </w:r>
    </w:p>
    <w:p w14:paraId="028A2268" w14:textId="77777777" w:rsidR="00AA25F9" w:rsidRDefault="00000000">
      <w:r>
        <w:t>Update this document when a lasting product or engineering decision changes. Routine implementation details belong in the code, tests, issues, and release notes. Significant architecture decisions should also be captured as Architecture Decision Records (ADRs).</w:t>
      </w:r>
    </w:p>
    <w:p w14:paraId="08569746" w14:textId="77777777" w:rsidR="00AA25F9" w:rsidRDefault="00000000">
      <w:pPr>
        <w:pStyle w:val="Heading1"/>
      </w:pPr>
      <w:r>
        <w:rPr>
          <w:rFonts w:ascii="Avenir Next" w:eastAsia="Avenir Next" w:hAnsi="Avenir Next"/>
        </w:rPr>
        <w:t>Table of Contents</w:t>
      </w:r>
    </w:p>
    <w:p w14:paraId="7CF60157" w14:textId="77777777" w:rsidR="00AA25F9" w:rsidRDefault="00000000">
      <w:pPr>
        <w:tabs>
          <w:tab w:val="left" w:pos="9000"/>
        </w:tabs>
        <w:spacing w:after="0" w:line="240" w:lineRule="auto"/>
      </w:pPr>
      <w:r>
        <w:rPr>
          <w:sz w:val="20"/>
        </w:rPr>
        <w:t>1. Vision</w:t>
      </w:r>
      <w:r>
        <w:rPr>
          <w:sz w:val="20"/>
        </w:rPr>
        <w:tab/>
        <w:t>3</w:t>
      </w:r>
    </w:p>
    <w:p w14:paraId="049E5E30" w14:textId="77777777" w:rsidR="00AA25F9" w:rsidRDefault="00000000">
      <w:pPr>
        <w:tabs>
          <w:tab w:val="left" w:pos="9000"/>
        </w:tabs>
        <w:spacing w:after="0" w:line="240" w:lineRule="auto"/>
      </w:pPr>
      <w:r>
        <w:rPr>
          <w:sz w:val="20"/>
        </w:rPr>
        <w:t>2. Product Philosophy</w:t>
      </w:r>
      <w:r>
        <w:rPr>
          <w:sz w:val="20"/>
        </w:rPr>
        <w:tab/>
        <w:t>3</w:t>
      </w:r>
    </w:p>
    <w:p w14:paraId="4A8FF7BB" w14:textId="77777777" w:rsidR="00AA25F9" w:rsidRDefault="00000000">
      <w:pPr>
        <w:tabs>
          <w:tab w:val="left" w:pos="9000"/>
        </w:tabs>
        <w:spacing w:after="0" w:line="240" w:lineRule="auto"/>
      </w:pPr>
      <w:r>
        <w:rPr>
          <w:sz w:val="20"/>
        </w:rPr>
        <w:t>3. Goals</w:t>
      </w:r>
      <w:r>
        <w:rPr>
          <w:sz w:val="20"/>
        </w:rPr>
        <w:tab/>
        <w:t>3</w:t>
      </w:r>
    </w:p>
    <w:p w14:paraId="101FA5CA" w14:textId="77777777" w:rsidR="00AA25F9" w:rsidRDefault="00000000">
      <w:pPr>
        <w:tabs>
          <w:tab w:val="left" w:pos="9000"/>
        </w:tabs>
        <w:spacing w:after="0" w:line="240" w:lineRule="auto"/>
      </w:pPr>
      <w:r>
        <w:rPr>
          <w:sz w:val="20"/>
        </w:rPr>
        <w:t>4. Non-Goals</w:t>
      </w:r>
      <w:r>
        <w:rPr>
          <w:sz w:val="20"/>
        </w:rPr>
        <w:tab/>
        <w:t>3</w:t>
      </w:r>
    </w:p>
    <w:p w14:paraId="2927FC98" w14:textId="77777777" w:rsidR="00AA25F9" w:rsidRDefault="00000000">
      <w:pPr>
        <w:tabs>
          <w:tab w:val="left" w:pos="9000"/>
        </w:tabs>
        <w:spacing w:after="0" w:line="240" w:lineRule="auto"/>
      </w:pPr>
      <w:r>
        <w:rPr>
          <w:sz w:val="20"/>
        </w:rPr>
        <w:t>5. Target Users</w:t>
      </w:r>
      <w:r>
        <w:rPr>
          <w:sz w:val="20"/>
        </w:rPr>
        <w:tab/>
        <w:t>4</w:t>
      </w:r>
    </w:p>
    <w:p w14:paraId="7E120E42" w14:textId="77777777" w:rsidR="00AA25F9" w:rsidRDefault="00000000">
      <w:pPr>
        <w:tabs>
          <w:tab w:val="left" w:pos="9000"/>
        </w:tabs>
        <w:spacing w:after="0" w:line="240" w:lineRule="auto"/>
      </w:pPr>
      <w:r>
        <w:rPr>
          <w:sz w:val="20"/>
        </w:rPr>
        <w:t>6. MVP Scope</w:t>
      </w:r>
      <w:r>
        <w:rPr>
          <w:sz w:val="20"/>
        </w:rPr>
        <w:tab/>
        <w:t>4</w:t>
      </w:r>
    </w:p>
    <w:p w14:paraId="15B9FF47" w14:textId="77777777" w:rsidR="00AA25F9" w:rsidRDefault="00000000">
      <w:pPr>
        <w:tabs>
          <w:tab w:val="left" w:pos="9000"/>
        </w:tabs>
        <w:spacing w:after="0" w:line="240" w:lineRule="auto"/>
      </w:pPr>
      <w:r>
        <w:rPr>
          <w:sz w:val="20"/>
        </w:rPr>
        <w:t>7. Deferred Features</w:t>
      </w:r>
      <w:r>
        <w:rPr>
          <w:sz w:val="20"/>
        </w:rPr>
        <w:tab/>
        <w:t>5</w:t>
      </w:r>
    </w:p>
    <w:p w14:paraId="1B82FFAB" w14:textId="77777777" w:rsidR="00AA25F9" w:rsidRDefault="00000000">
      <w:pPr>
        <w:tabs>
          <w:tab w:val="left" w:pos="9000"/>
        </w:tabs>
        <w:spacing w:after="0" w:line="240" w:lineRule="auto"/>
      </w:pPr>
      <w:r>
        <w:rPr>
          <w:sz w:val="20"/>
        </w:rPr>
        <w:t>8. Technical Stack</w:t>
      </w:r>
      <w:r>
        <w:rPr>
          <w:sz w:val="20"/>
        </w:rPr>
        <w:tab/>
        <w:t>5</w:t>
      </w:r>
    </w:p>
    <w:p w14:paraId="0B96F16E" w14:textId="77777777" w:rsidR="00AA25F9" w:rsidRDefault="00000000">
      <w:pPr>
        <w:tabs>
          <w:tab w:val="left" w:pos="9000"/>
        </w:tabs>
        <w:spacing w:after="0" w:line="240" w:lineRule="auto"/>
      </w:pPr>
      <w:r>
        <w:rPr>
          <w:sz w:val="20"/>
        </w:rPr>
        <w:t>9. Current Architecture</w:t>
      </w:r>
      <w:r>
        <w:rPr>
          <w:sz w:val="20"/>
        </w:rPr>
        <w:tab/>
        <w:t>6</w:t>
      </w:r>
    </w:p>
    <w:p w14:paraId="38B8C62E" w14:textId="77777777" w:rsidR="00AA25F9" w:rsidRDefault="00000000">
      <w:pPr>
        <w:tabs>
          <w:tab w:val="left" w:pos="9000"/>
        </w:tabs>
        <w:spacing w:after="0" w:line="240" w:lineRule="auto"/>
      </w:pPr>
      <w:r>
        <w:rPr>
          <w:sz w:val="20"/>
        </w:rPr>
        <w:t>10. Engineering Principles</w:t>
      </w:r>
      <w:r>
        <w:rPr>
          <w:sz w:val="20"/>
        </w:rPr>
        <w:tab/>
        <w:t>6</w:t>
      </w:r>
    </w:p>
    <w:p w14:paraId="2397958D" w14:textId="77777777" w:rsidR="00AA25F9" w:rsidRDefault="00000000">
      <w:pPr>
        <w:tabs>
          <w:tab w:val="left" w:pos="9000"/>
        </w:tabs>
        <w:spacing w:after="0" w:line="240" w:lineRule="auto"/>
      </w:pPr>
      <w:r>
        <w:rPr>
          <w:sz w:val="20"/>
        </w:rPr>
        <w:t>11. Documentation Philosophy</w:t>
      </w:r>
      <w:r>
        <w:rPr>
          <w:sz w:val="20"/>
        </w:rPr>
        <w:tab/>
        <w:t>7</w:t>
      </w:r>
    </w:p>
    <w:p w14:paraId="0950F69A" w14:textId="77777777" w:rsidR="00AA25F9" w:rsidRDefault="00000000">
      <w:pPr>
        <w:tabs>
          <w:tab w:val="left" w:pos="9000"/>
        </w:tabs>
        <w:spacing w:after="0" w:line="240" w:lineRule="auto"/>
      </w:pPr>
      <w:r>
        <w:rPr>
          <w:sz w:val="20"/>
        </w:rPr>
        <w:t>12. Development Workflow</w:t>
      </w:r>
      <w:r>
        <w:rPr>
          <w:sz w:val="20"/>
        </w:rPr>
        <w:tab/>
        <w:t>7</w:t>
      </w:r>
    </w:p>
    <w:p w14:paraId="02112427" w14:textId="77777777" w:rsidR="00AA25F9" w:rsidRDefault="00000000">
      <w:pPr>
        <w:tabs>
          <w:tab w:val="left" w:pos="9000"/>
        </w:tabs>
        <w:spacing w:after="0" w:line="240" w:lineRule="auto"/>
      </w:pPr>
      <w:r>
        <w:rPr>
          <w:sz w:val="20"/>
        </w:rPr>
        <w:t>13. Semantic Versioning Strategy</w:t>
      </w:r>
      <w:r>
        <w:rPr>
          <w:sz w:val="20"/>
        </w:rPr>
        <w:tab/>
        <w:t>8</w:t>
      </w:r>
    </w:p>
    <w:p w14:paraId="66A4941A" w14:textId="77777777" w:rsidR="00AA25F9" w:rsidRDefault="00000000">
      <w:pPr>
        <w:tabs>
          <w:tab w:val="left" w:pos="9000"/>
        </w:tabs>
        <w:spacing w:after="0" w:line="240" w:lineRule="auto"/>
      </w:pPr>
      <w:r>
        <w:rPr>
          <w:sz w:val="20"/>
        </w:rPr>
        <w:t>14. Git Workflow</w:t>
      </w:r>
      <w:r>
        <w:rPr>
          <w:sz w:val="20"/>
        </w:rPr>
        <w:tab/>
        <w:t>8</w:t>
      </w:r>
    </w:p>
    <w:p w14:paraId="52D2A288" w14:textId="77777777" w:rsidR="00AA25F9" w:rsidRDefault="00000000">
      <w:pPr>
        <w:tabs>
          <w:tab w:val="left" w:pos="9000"/>
        </w:tabs>
        <w:spacing w:after="0" w:line="240" w:lineRule="auto"/>
      </w:pPr>
      <w:r>
        <w:rPr>
          <w:sz w:val="20"/>
        </w:rPr>
        <w:t>15. Coding Standards</w:t>
      </w:r>
      <w:r>
        <w:rPr>
          <w:sz w:val="20"/>
        </w:rPr>
        <w:tab/>
        <w:t>9</w:t>
      </w:r>
    </w:p>
    <w:p w14:paraId="75B21A43" w14:textId="77777777" w:rsidR="00AA25F9" w:rsidRDefault="00000000">
      <w:pPr>
        <w:tabs>
          <w:tab w:val="left" w:pos="9000"/>
        </w:tabs>
        <w:spacing w:after="0" w:line="240" w:lineRule="auto"/>
      </w:pPr>
      <w:r>
        <w:rPr>
          <w:sz w:val="20"/>
        </w:rPr>
        <w:t>16. Technical Decisions</w:t>
      </w:r>
      <w:r>
        <w:rPr>
          <w:sz w:val="20"/>
        </w:rPr>
        <w:tab/>
        <w:t>9</w:t>
      </w:r>
    </w:p>
    <w:p w14:paraId="4CA67AE5" w14:textId="77777777" w:rsidR="00AA25F9" w:rsidRDefault="00000000">
      <w:pPr>
        <w:tabs>
          <w:tab w:val="left" w:pos="9000"/>
        </w:tabs>
        <w:spacing w:after="0" w:line="240" w:lineRule="auto"/>
      </w:pPr>
      <w:r>
        <w:rPr>
          <w:sz w:val="20"/>
        </w:rPr>
        <w:t>17. Current Project Status</w:t>
      </w:r>
      <w:r>
        <w:rPr>
          <w:sz w:val="20"/>
        </w:rPr>
        <w:tab/>
        <w:t>10</w:t>
      </w:r>
    </w:p>
    <w:p w14:paraId="29C57517" w14:textId="77777777" w:rsidR="00AA25F9" w:rsidRDefault="00000000">
      <w:pPr>
        <w:tabs>
          <w:tab w:val="left" w:pos="9000"/>
        </w:tabs>
        <w:spacing w:after="0" w:line="240" w:lineRule="auto"/>
      </w:pPr>
      <w:r>
        <w:rPr>
          <w:sz w:val="20"/>
        </w:rPr>
        <w:t>18. Open Questions</w:t>
      </w:r>
      <w:r>
        <w:rPr>
          <w:sz w:val="20"/>
        </w:rPr>
        <w:tab/>
        <w:t>10</w:t>
      </w:r>
    </w:p>
    <w:p w14:paraId="1729BB4A" w14:textId="77777777" w:rsidR="00AA25F9" w:rsidRDefault="00000000">
      <w:pPr>
        <w:tabs>
          <w:tab w:val="left" w:pos="9000"/>
        </w:tabs>
        <w:spacing w:after="0" w:line="240" w:lineRule="auto"/>
      </w:pPr>
      <w:r>
        <w:rPr>
          <w:sz w:val="20"/>
        </w:rPr>
        <w:t>19. Risks</w:t>
      </w:r>
      <w:r>
        <w:rPr>
          <w:sz w:val="20"/>
        </w:rPr>
        <w:tab/>
        <w:t>11</w:t>
      </w:r>
    </w:p>
    <w:p w14:paraId="3702C7BF" w14:textId="77777777" w:rsidR="00AA25F9" w:rsidRDefault="00000000">
      <w:pPr>
        <w:tabs>
          <w:tab w:val="left" w:pos="9000"/>
        </w:tabs>
        <w:spacing w:after="0" w:line="240" w:lineRule="auto"/>
      </w:pPr>
      <w:r>
        <w:rPr>
          <w:sz w:val="20"/>
        </w:rPr>
        <w:t>20. Future Direction</w:t>
      </w:r>
      <w:r>
        <w:rPr>
          <w:sz w:val="20"/>
        </w:rPr>
        <w:tab/>
        <w:t>11</w:t>
      </w:r>
    </w:p>
    <w:p w14:paraId="56446D1D" w14:textId="1EA9A309" w:rsidR="00AA25F9" w:rsidRDefault="00000000" w:rsidP="00895FD7">
      <w:pPr>
        <w:spacing w:after="0" w:line="240" w:lineRule="auto"/>
      </w:pPr>
      <w:r>
        <w:rPr>
          <w:sz w:val="20"/>
        </w:rPr>
        <w:t>21. Engineering Learning Objectives</w:t>
      </w:r>
      <w:r>
        <w:rPr>
          <w:sz w:val="20"/>
        </w:rPr>
        <w:tab/>
      </w:r>
      <w:r w:rsidR="00895FD7">
        <w:rPr>
          <w:sz w:val="20"/>
        </w:rPr>
        <w:tab/>
      </w:r>
      <w:r w:rsidR="00895FD7">
        <w:rPr>
          <w:sz w:val="20"/>
        </w:rPr>
        <w:tab/>
      </w:r>
      <w:r w:rsidR="00895FD7">
        <w:rPr>
          <w:sz w:val="20"/>
        </w:rPr>
        <w:tab/>
      </w:r>
      <w:r w:rsidR="00895FD7">
        <w:rPr>
          <w:sz w:val="20"/>
        </w:rPr>
        <w:tab/>
      </w:r>
      <w:r w:rsidR="00895FD7">
        <w:rPr>
          <w:sz w:val="20"/>
        </w:rPr>
        <w:tab/>
      </w:r>
      <w:r w:rsidR="00895FD7">
        <w:rPr>
          <w:sz w:val="20"/>
        </w:rPr>
        <w:tab/>
      </w:r>
      <w:r w:rsidR="00895FD7">
        <w:rPr>
          <w:sz w:val="20"/>
        </w:rPr>
        <w:tab/>
        <w:t xml:space="preserve">      </w:t>
      </w:r>
      <w:r w:rsidR="004E0EF1">
        <w:rPr>
          <w:sz w:val="20"/>
        </w:rPr>
        <w:t xml:space="preserve"> </w:t>
      </w:r>
      <w:r>
        <w:rPr>
          <w:sz w:val="20"/>
        </w:rPr>
        <w:t>12</w:t>
      </w:r>
    </w:p>
    <w:p w14:paraId="1A1AE155" w14:textId="77777777" w:rsidR="00AA25F9" w:rsidRDefault="00000000">
      <w:pPr>
        <w:pStyle w:val="Heading1"/>
        <w:pageBreakBefore/>
      </w:pPr>
      <w:r>
        <w:rPr>
          <w:rFonts w:ascii="Avenir Next" w:eastAsia="Avenir Next" w:hAnsi="Avenir Next"/>
        </w:rPr>
        <w:lastRenderedPageBreak/>
        <w:t>1. Vision</w:t>
      </w:r>
    </w:p>
    <w:p w14:paraId="1443391F" w14:textId="77777777" w:rsidR="00AA25F9" w:rsidRDefault="00000000">
      <w:r>
        <w:t>RiseOS is a modular, Python-based personal morning operating system that turns selected data sources and overnight system activity into a reliable daily briefing. I am building it as a focused personal platform that one engineer can understand and own, while still applying the discipline expected in a professional backend service.</w:t>
      </w:r>
    </w:p>
    <w:p w14:paraId="71F3196C" w14:textId="77777777" w:rsidR="00AA25F9" w:rsidRDefault="00000000">
      <w:r>
        <w:t>The project has two equally important outcomes. It should be genuinely useful in my day-to-day life, and it should demonstrate portfolio-quality backend engineering through clear interfaces, durable data storage, automation, logging, testing, and thoughtful documentation. I bring 20 years of professional experience and 10 years in technology to this work. As a new Computer Science and Software Engineering graduate who is now in graduate school, I am using that experience to build with intention while continuing to grow as an engineer.</w:t>
      </w:r>
    </w:p>
    <w:p w14:paraId="16234929" w14:textId="77777777" w:rsidR="00AA25F9" w:rsidRDefault="00000000">
      <w:pPr>
        <w:pStyle w:val="Heading1"/>
      </w:pPr>
      <w:r>
        <w:rPr>
          <w:rFonts w:ascii="Avenir Next" w:eastAsia="Avenir Next" w:hAnsi="Avenir Next"/>
        </w:rPr>
        <w:t>2. Product Philosophy</w:t>
      </w:r>
    </w:p>
    <w:p w14:paraId="62BA6636" w14:textId="77777777" w:rsidR="00AA25F9" w:rsidRDefault="00000000">
      <w:pPr>
        <w:pStyle w:val="ListBullet"/>
      </w:pPr>
      <w:r>
        <w:t>Useful before impressive. Each capability should solve a real morning-planning or personal-awareness need.</w:t>
      </w:r>
    </w:p>
    <w:p w14:paraId="23F007ED" w14:textId="77777777" w:rsidR="00AA25F9" w:rsidRDefault="00000000">
      <w:pPr>
        <w:pStyle w:val="ListBullet"/>
      </w:pPr>
      <w:r>
        <w:t>Modular by design. New sources and personal modules should be added through stable interfaces rather than restructuring the application.</w:t>
      </w:r>
    </w:p>
    <w:p w14:paraId="4A6CCE90" w14:textId="77777777" w:rsidR="00AA25F9" w:rsidRDefault="00000000">
      <w:pPr>
        <w:pStyle w:val="ListBullet"/>
      </w:pPr>
      <w:r>
        <w:t>Local-first where practical. Personal configuration, briefing history, and event data should remain simple to inspect and control.</w:t>
      </w:r>
    </w:p>
    <w:p w14:paraId="4B3D3E62" w14:textId="77777777" w:rsidR="00AA25F9" w:rsidRDefault="00000000">
      <w:pPr>
        <w:pStyle w:val="ListBullet"/>
      </w:pPr>
      <w:r>
        <w:t>Reliable in partial failure. A failed external source should degrade one section, not prevent the entire brief from being produced.</w:t>
      </w:r>
    </w:p>
    <w:p w14:paraId="078F07CD" w14:textId="77777777" w:rsidR="00AA25F9" w:rsidRDefault="00000000">
      <w:pPr>
        <w:pStyle w:val="ListBullet"/>
      </w:pPr>
      <w:r>
        <w:t>Explainable over magical. Data provenance, errors, scheduling behavior, and technical decisions should be easy to trace.</w:t>
      </w:r>
    </w:p>
    <w:p w14:paraId="152B00EB" w14:textId="77777777" w:rsidR="00AA25F9" w:rsidRDefault="00000000">
      <w:pPr>
        <w:pStyle w:val="ListBullet"/>
      </w:pPr>
      <w:r>
        <w:t>Portfolio quality comes from solid engineering, not unnecessary scale or complexity.</w:t>
      </w:r>
    </w:p>
    <w:p w14:paraId="2DCEE8C0" w14:textId="77777777" w:rsidR="00AA25F9" w:rsidRDefault="00000000">
      <w:pPr>
        <w:pStyle w:val="Heading1"/>
      </w:pPr>
      <w:r>
        <w:rPr>
          <w:rFonts w:ascii="Avenir Next" w:eastAsia="Avenir Next" w:hAnsi="Avenir Next"/>
        </w:rPr>
        <w:t>3. Goals</w:t>
      </w:r>
    </w:p>
    <w:p w14:paraId="75C3DC1F" w14:textId="77777777" w:rsidR="00AA25F9" w:rsidRDefault="00000000">
      <w:pPr>
        <w:pStyle w:val="ListBullet"/>
      </w:pPr>
      <w:r>
        <w:t>Generate a formatted daily morning brief from enabled sources and overnight events.</w:t>
      </w:r>
    </w:p>
    <w:p w14:paraId="75E09150" w14:textId="77777777" w:rsidR="00AA25F9" w:rsidRDefault="00000000">
      <w:pPr>
        <w:pStyle w:val="ListBullet"/>
      </w:pPr>
      <w:r>
        <w:t>Expose briefing and event information through a queryable Representational State Transfer (REST) API.</w:t>
      </w:r>
    </w:p>
    <w:p w14:paraId="4333943C" w14:textId="77777777" w:rsidR="00AA25F9" w:rsidRDefault="00000000">
      <w:pPr>
        <w:pStyle w:val="ListBullet"/>
      </w:pPr>
      <w:r>
        <w:t>Monitor selected host-system signals and record normalized events in SQLite.</w:t>
      </w:r>
    </w:p>
    <w:p w14:paraId="2CCAAA79" w14:textId="77777777" w:rsidR="00AA25F9" w:rsidRDefault="00000000">
      <w:pPr>
        <w:pStyle w:val="ListBullet"/>
      </w:pPr>
      <w:r>
        <w:t>Run scheduled work predictably with visible failure behavior and recoverable state.</w:t>
      </w:r>
    </w:p>
    <w:p w14:paraId="75FAB447" w14:textId="77777777" w:rsidR="00AA25F9" w:rsidRDefault="00000000">
      <w:pPr>
        <w:pStyle w:val="ListBullet"/>
      </w:pPr>
      <w:r>
        <w:t>Make source integrations independently testable and replaceable.</w:t>
      </w:r>
    </w:p>
    <w:p w14:paraId="2DE2FD35" w14:textId="77777777" w:rsidR="00AA25F9" w:rsidRDefault="00000000">
      <w:pPr>
        <w:pStyle w:val="ListBullet"/>
      </w:pPr>
      <w:r>
        <w:t>Demonstrate professional Python practices: modularity, type-aware interfaces, tests, configuration management, logging, and documentation.</w:t>
      </w:r>
    </w:p>
    <w:p w14:paraId="7818A601" w14:textId="77777777" w:rsidR="00AA25F9" w:rsidRDefault="00000000">
      <w:pPr>
        <w:pStyle w:val="Heading1"/>
      </w:pPr>
      <w:r>
        <w:rPr>
          <w:rFonts w:ascii="Avenir Next" w:eastAsia="Avenir Next" w:hAnsi="Avenir Next"/>
        </w:rPr>
        <w:lastRenderedPageBreak/>
        <w:t>4. Non-Goals</w:t>
      </w:r>
    </w:p>
    <w:p w14:paraId="64A566B4" w14:textId="77777777" w:rsidR="00AA25F9" w:rsidRDefault="00000000">
      <w:pPr>
        <w:pStyle w:val="ListBullet"/>
      </w:pPr>
      <w:r>
        <w:t>A general-purpose desktop operating system or shell replacement.</w:t>
      </w:r>
    </w:p>
    <w:p w14:paraId="3861E846" w14:textId="77777777" w:rsidR="00AA25F9" w:rsidRDefault="00000000">
      <w:pPr>
        <w:pStyle w:val="ListBullet"/>
      </w:pPr>
      <w:r>
        <w:t>A multi-tenant Software as a Service (SaaS) platform in the MVP.</w:t>
      </w:r>
    </w:p>
    <w:p w14:paraId="1F1899F3" w14:textId="77777777" w:rsidR="00AA25F9" w:rsidRDefault="00000000">
      <w:pPr>
        <w:pStyle w:val="ListBullet"/>
      </w:pPr>
      <w:r>
        <w:t>A social network, collaborative workspace, or enterprise productivity suite.</w:t>
      </w:r>
    </w:p>
    <w:p w14:paraId="0DD6D4EC" w14:textId="77777777" w:rsidR="00AA25F9" w:rsidRDefault="00000000">
      <w:pPr>
        <w:pStyle w:val="ListBullet"/>
      </w:pPr>
      <w:r>
        <w:t>Continuous high-frequency infrastructure monitoring comparable to a production observability platform.</w:t>
      </w:r>
    </w:p>
    <w:p w14:paraId="05B32CD1" w14:textId="77777777" w:rsidR="00AA25F9" w:rsidRDefault="00000000">
      <w:pPr>
        <w:pStyle w:val="ListBullet"/>
      </w:pPr>
      <w:r>
        <w:t>Machine-learning personalization before a reliable deterministic briefing pipeline exists.</w:t>
      </w:r>
    </w:p>
    <w:p w14:paraId="45CB018D" w14:textId="77777777" w:rsidR="00AA25F9" w:rsidRDefault="00000000">
      <w:pPr>
        <w:pStyle w:val="ListBullet"/>
      </w:pPr>
      <w:r>
        <w:t>Premature microservices, distributed databases, or cloud-native infrastructure added only for appearance.</w:t>
      </w:r>
    </w:p>
    <w:p w14:paraId="18075DD5" w14:textId="77777777" w:rsidR="00AA25F9" w:rsidRDefault="00000000">
      <w:pPr>
        <w:pStyle w:val="Heading1"/>
      </w:pPr>
      <w:r>
        <w:rPr>
          <w:rFonts w:ascii="Avenir Next" w:eastAsia="Avenir Next" w:hAnsi="Avenir Next"/>
        </w:rPr>
        <w:t>5. Target Users</w:t>
      </w:r>
    </w:p>
    <w:p w14:paraId="6DA78586" w14:textId="77777777" w:rsidR="00AA25F9" w:rsidRDefault="00000000">
      <w:pPr>
        <w:pStyle w:val="Heading2"/>
      </w:pPr>
      <w:r>
        <w:rPr>
          <w:rFonts w:ascii="Avenir Next" w:eastAsia="Avenir Next" w:hAnsi="Avenir Next"/>
        </w:rPr>
        <w:t>Primary user</w:t>
      </w:r>
    </w:p>
    <w:p w14:paraId="4EBA5B04" w14:textId="77777777" w:rsidR="00AA25F9" w:rsidRDefault="00000000">
      <w:r>
        <w:t>The initial user is me, the project owner. I am 35 years old, a new Computer Science and Software Engineering graduate, a graduate student, and a professional with 20 years of work experience, including 10 years in technology. I want a concise, dependable morning brief and clear control over my sources, schedules, and personal data.</w:t>
      </w:r>
    </w:p>
    <w:p w14:paraId="5E429386" w14:textId="77777777" w:rsidR="00AA25F9" w:rsidRDefault="00000000">
      <w:pPr>
        <w:pStyle w:val="Heading2"/>
      </w:pPr>
      <w:r>
        <w:rPr>
          <w:rFonts w:ascii="Avenir Next" w:eastAsia="Avenir Next" w:hAnsi="Avenir Next"/>
        </w:rPr>
        <w:t>Secondary audience</w:t>
      </w:r>
    </w:p>
    <w:p w14:paraId="3B226B2C" w14:textId="77777777" w:rsidR="00AA25F9" w:rsidRDefault="00000000">
      <w:r>
        <w:t>The engineering audience includes reviewers, collaborators, hiring teams, and future maintainers who want to understand the architecture, code, tests, tradeoffs, and growth of the system. Their needs shape the documentation and code quality, but the product still needs to be useful to its primary user.</w:t>
      </w:r>
    </w:p>
    <w:p w14:paraId="32765B9D" w14:textId="77777777" w:rsidR="00AA25F9" w:rsidRDefault="00000000">
      <w:pPr>
        <w:pStyle w:val="Heading1"/>
      </w:pPr>
      <w:r>
        <w:rPr>
          <w:rFonts w:ascii="Avenir Next" w:eastAsia="Avenir Next" w:hAnsi="Avenir Next"/>
        </w:rPr>
        <w:t>6. MVP Scope</w:t>
      </w:r>
    </w:p>
    <w:p w14:paraId="01A56DB5" w14:textId="77777777" w:rsidR="00AA25F9" w:rsidRDefault="00000000">
      <w:r>
        <w:t>The MVP proves the complete workflow. It collects, normalizes, stores, queries, schedules, and presents useful information.</w:t>
      </w:r>
    </w:p>
    <w:tbl>
      <w:tblPr>
        <w:tblStyle w:val="TableGrid"/>
        <w:tblW w:w="0" w:type="auto"/>
        <w:tblLayout w:type="fixed"/>
        <w:tblLook w:val="04A0" w:firstRow="1" w:lastRow="0" w:firstColumn="1" w:lastColumn="0" w:noHBand="0" w:noVBand="1"/>
      </w:tblPr>
      <w:tblGrid>
        <w:gridCol w:w="2088"/>
        <w:gridCol w:w="7272"/>
      </w:tblGrid>
      <w:tr w:rsidR="00AA25F9" w14:paraId="73CA608E" w14:textId="77777777">
        <w:trPr>
          <w:tblHeader/>
        </w:trPr>
        <w:tc>
          <w:tcPr>
            <w:tcW w:w="2088" w:type="dxa"/>
            <w:shd w:val="clear" w:color="auto" w:fill="2E5E86"/>
            <w:tcMar>
              <w:top w:w="100" w:type="dxa"/>
              <w:left w:w="120" w:type="dxa"/>
              <w:bottom w:w="100" w:type="dxa"/>
              <w:right w:w="120" w:type="dxa"/>
            </w:tcMar>
            <w:vAlign w:val="center"/>
          </w:tcPr>
          <w:p w14:paraId="426E59CC" w14:textId="77777777" w:rsidR="00AA25F9" w:rsidRDefault="00000000">
            <w:pPr>
              <w:spacing w:after="0" w:line="252" w:lineRule="auto"/>
            </w:pPr>
            <w:r>
              <w:rPr>
                <w:b/>
                <w:color w:val="FFFFFF"/>
                <w:sz w:val="20"/>
              </w:rPr>
              <w:t>Capability</w:t>
            </w:r>
          </w:p>
        </w:tc>
        <w:tc>
          <w:tcPr>
            <w:tcW w:w="7272" w:type="dxa"/>
            <w:shd w:val="clear" w:color="auto" w:fill="2E5E86"/>
            <w:tcMar>
              <w:top w:w="100" w:type="dxa"/>
              <w:left w:w="120" w:type="dxa"/>
              <w:bottom w:w="100" w:type="dxa"/>
              <w:right w:w="120" w:type="dxa"/>
            </w:tcMar>
            <w:vAlign w:val="center"/>
          </w:tcPr>
          <w:p w14:paraId="1E77C4EC" w14:textId="77777777" w:rsidR="00AA25F9" w:rsidRDefault="00000000">
            <w:pPr>
              <w:spacing w:after="0" w:line="252" w:lineRule="auto"/>
            </w:pPr>
            <w:r>
              <w:rPr>
                <w:b/>
                <w:color w:val="FFFFFF"/>
                <w:sz w:val="20"/>
              </w:rPr>
              <w:t>MVP expectation</w:t>
            </w:r>
          </w:p>
        </w:tc>
      </w:tr>
      <w:tr w:rsidR="00AA25F9" w14:paraId="6685FF89" w14:textId="77777777">
        <w:tc>
          <w:tcPr>
            <w:tcW w:w="2088" w:type="dxa"/>
            <w:tcMar>
              <w:top w:w="100" w:type="dxa"/>
              <w:left w:w="120" w:type="dxa"/>
              <w:bottom w:w="100" w:type="dxa"/>
              <w:right w:w="120" w:type="dxa"/>
            </w:tcMar>
            <w:vAlign w:val="center"/>
          </w:tcPr>
          <w:p w14:paraId="35E72B16" w14:textId="77777777" w:rsidR="00AA25F9" w:rsidRDefault="00000000">
            <w:pPr>
              <w:spacing w:after="0" w:line="252" w:lineRule="auto"/>
            </w:pPr>
            <w:r>
              <w:rPr>
                <w:sz w:val="20"/>
              </w:rPr>
              <w:t>Configuration</w:t>
            </w:r>
          </w:p>
        </w:tc>
        <w:tc>
          <w:tcPr>
            <w:tcW w:w="7272" w:type="dxa"/>
            <w:tcMar>
              <w:top w:w="100" w:type="dxa"/>
              <w:left w:w="120" w:type="dxa"/>
              <w:bottom w:w="100" w:type="dxa"/>
              <w:right w:w="120" w:type="dxa"/>
            </w:tcMar>
            <w:vAlign w:val="center"/>
          </w:tcPr>
          <w:p w14:paraId="006CBC72" w14:textId="77777777" w:rsidR="00AA25F9" w:rsidRDefault="00000000">
            <w:pPr>
              <w:spacing w:after="0" w:line="252" w:lineRule="auto"/>
            </w:pPr>
            <w:r>
              <w:rPr>
                <w:sz w:val="20"/>
              </w:rPr>
              <w:t>Local settings identify enabled sources, schedule, thresholds, and user preferences without hard-coded secrets.</w:t>
            </w:r>
          </w:p>
        </w:tc>
      </w:tr>
      <w:tr w:rsidR="00AA25F9" w14:paraId="54CC467A" w14:textId="77777777">
        <w:tc>
          <w:tcPr>
            <w:tcW w:w="2088" w:type="dxa"/>
            <w:shd w:val="clear" w:color="auto" w:fill="F4F6F8"/>
            <w:tcMar>
              <w:top w:w="100" w:type="dxa"/>
              <w:left w:w="120" w:type="dxa"/>
              <w:bottom w:w="100" w:type="dxa"/>
              <w:right w:w="120" w:type="dxa"/>
            </w:tcMar>
            <w:vAlign w:val="center"/>
          </w:tcPr>
          <w:p w14:paraId="3DA9055C" w14:textId="77777777" w:rsidR="00AA25F9" w:rsidRDefault="00000000">
            <w:pPr>
              <w:spacing w:after="0" w:line="252" w:lineRule="auto"/>
            </w:pPr>
            <w:r>
              <w:rPr>
                <w:sz w:val="20"/>
              </w:rPr>
              <w:t>Event monitor</w:t>
            </w:r>
          </w:p>
        </w:tc>
        <w:tc>
          <w:tcPr>
            <w:tcW w:w="7272" w:type="dxa"/>
            <w:shd w:val="clear" w:color="auto" w:fill="F4F6F8"/>
            <w:tcMar>
              <w:top w:w="100" w:type="dxa"/>
              <w:left w:w="120" w:type="dxa"/>
              <w:bottom w:w="100" w:type="dxa"/>
              <w:right w:w="120" w:type="dxa"/>
            </w:tcMar>
            <w:vAlign w:val="center"/>
          </w:tcPr>
          <w:p w14:paraId="183F7084" w14:textId="77777777" w:rsidR="00AA25F9" w:rsidRDefault="00000000">
            <w:pPr>
              <w:spacing w:after="0" w:line="252" w:lineRule="auto"/>
            </w:pPr>
            <w:r>
              <w:rPr>
                <w:sz w:val="20"/>
              </w:rPr>
              <w:t>Collect selected central processing unit (CPU), memory, disk threshold, and file system events at reasonable intervals.</w:t>
            </w:r>
          </w:p>
        </w:tc>
      </w:tr>
      <w:tr w:rsidR="00AA25F9" w14:paraId="1A5F1DF3" w14:textId="77777777">
        <w:tc>
          <w:tcPr>
            <w:tcW w:w="2088" w:type="dxa"/>
            <w:tcMar>
              <w:top w:w="100" w:type="dxa"/>
              <w:left w:w="120" w:type="dxa"/>
              <w:bottom w:w="100" w:type="dxa"/>
              <w:right w:w="120" w:type="dxa"/>
            </w:tcMar>
            <w:vAlign w:val="center"/>
          </w:tcPr>
          <w:p w14:paraId="3BB89DF2" w14:textId="77777777" w:rsidR="00AA25F9" w:rsidRDefault="00000000">
            <w:pPr>
              <w:spacing w:after="0" w:line="252" w:lineRule="auto"/>
            </w:pPr>
            <w:r>
              <w:rPr>
                <w:sz w:val="20"/>
              </w:rPr>
              <w:t>Event logger</w:t>
            </w:r>
          </w:p>
        </w:tc>
        <w:tc>
          <w:tcPr>
            <w:tcW w:w="7272" w:type="dxa"/>
            <w:tcMar>
              <w:top w:w="100" w:type="dxa"/>
              <w:left w:w="120" w:type="dxa"/>
              <w:bottom w:w="100" w:type="dxa"/>
              <w:right w:w="120" w:type="dxa"/>
            </w:tcMar>
            <w:vAlign w:val="center"/>
          </w:tcPr>
          <w:p w14:paraId="34902EC5" w14:textId="77777777" w:rsidR="00AA25F9" w:rsidRDefault="00000000">
            <w:pPr>
              <w:spacing w:after="0" w:line="252" w:lineRule="auto"/>
            </w:pPr>
            <w:r>
              <w:rPr>
                <w:sz w:val="20"/>
              </w:rPr>
              <w:t>Persist timestamp, source, event type, severity, and description in SQLite.</w:t>
            </w:r>
          </w:p>
        </w:tc>
      </w:tr>
      <w:tr w:rsidR="00AA25F9" w14:paraId="1F759DC0" w14:textId="77777777">
        <w:tc>
          <w:tcPr>
            <w:tcW w:w="2088" w:type="dxa"/>
            <w:shd w:val="clear" w:color="auto" w:fill="F4F6F8"/>
            <w:tcMar>
              <w:top w:w="100" w:type="dxa"/>
              <w:left w:w="120" w:type="dxa"/>
              <w:bottom w:w="100" w:type="dxa"/>
              <w:right w:w="120" w:type="dxa"/>
            </w:tcMar>
            <w:vAlign w:val="center"/>
          </w:tcPr>
          <w:p w14:paraId="4E0CB9B6" w14:textId="77777777" w:rsidR="00AA25F9" w:rsidRDefault="00000000">
            <w:pPr>
              <w:spacing w:after="0" w:line="252" w:lineRule="auto"/>
            </w:pPr>
            <w:r>
              <w:rPr>
                <w:sz w:val="20"/>
              </w:rPr>
              <w:t>REST API</w:t>
            </w:r>
          </w:p>
        </w:tc>
        <w:tc>
          <w:tcPr>
            <w:tcW w:w="7272" w:type="dxa"/>
            <w:shd w:val="clear" w:color="auto" w:fill="F4F6F8"/>
            <w:tcMar>
              <w:top w:w="100" w:type="dxa"/>
              <w:left w:w="120" w:type="dxa"/>
              <w:bottom w:w="100" w:type="dxa"/>
              <w:right w:w="120" w:type="dxa"/>
            </w:tcMar>
            <w:vAlign w:val="center"/>
          </w:tcPr>
          <w:p w14:paraId="593D4B11" w14:textId="77777777" w:rsidR="00AA25F9" w:rsidRDefault="00000000">
            <w:pPr>
              <w:spacing w:after="0" w:line="252" w:lineRule="auto"/>
            </w:pPr>
            <w:r>
              <w:rPr>
                <w:sz w:val="20"/>
              </w:rPr>
              <w:t>Provide health, briefing, and event endpoints with validation and consistent JavaScript Object Notation (JSON) responses.</w:t>
            </w:r>
          </w:p>
        </w:tc>
      </w:tr>
      <w:tr w:rsidR="00AA25F9" w14:paraId="4EC63102" w14:textId="77777777">
        <w:tc>
          <w:tcPr>
            <w:tcW w:w="2088" w:type="dxa"/>
            <w:tcMar>
              <w:top w:w="100" w:type="dxa"/>
              <w:left w:w="120" w:type="dxa"/>
              <w:bottom w:w="100" w:type="dxa"/>
              <w:right w:w="120" w:type="dxa"/>
            </w:tcMar>
            <w:vAlign w:val="center"/>
          </w:tcPr>
          <w:p w14:paraId="7E3188AB" w14:textId="77777777" w:rsidR="00AA25F9" w:rsidRDefault="00000000">
            <w:pPr>
              <w:spacing w:after="0" w:line="252" w:lineRule="auto"/>
            </w:pPr>
            <w:r>
              <w:rPr>
                <w:sz w:val="20"/>
              </w:rPr>
              <w:lastRenderedPageBreak/>
              <w:t>Briefing generator</w:t>
            </w:r>
          </w:p>
        </w:tc>
        <w:tc>
          <w:tcPr>
            <w:tcW w:w="7272" w:type="dxa"/>
            <w:tcMar>
              <w:top w:w="100" w:type="dxa"/>
              <w:left w:w="120" w:type="dxa"/>
              <w:bottom w:w="100" w:type="dxa"/>
              <w:right w:w="120" w:type="dxa"/>
            </w:tcMar>
            <w:vAlign w:val="center"/>
          </w:tcPr>
          <w:p w14:paraId="4D54F19F" w14:textId="77777777" w:rsidR="00AA25F9" w:rsidRDefault="00000000">
            <w:pPr>
              <w:spacing w:after="0" w:line="252" w:lineRule="auto"/>
            </w:pPr>
            <w:r>
              <w:rPr>
                <w:sz w:val="20"/>
              </w:rPr>
              <w:t>Combine date/intention, weather, configured content, and overnight event summary into a readable daily artifact.</w:t>
            </w:r>
          </w:p>
        </w:tc>
      </w:tr>
      <w:tr w:rsidR="00AA25F9" w14:paraId="1C9A96A8" w14:textId="77777777">
        <w:tc>
          <w:tcPr>
            <w:tcW w:w="2088" w:type="dxa"/>
            <w:shd w:val="clear" w:color="auto" w:fill="F4F6F8"/>
            <w:tcMar>
              <w:top w:w="100" w:type="dxa"/>
              <w:left w:w="120" w:type="dxa"/>
              <w:bottom w:w="100" w:type="dxa"/>
              <w:right w:w="120" w:type="dxa"/>
            </w:tcMar>
            <w:vAlign w:val="center"/>
          </w:tcPr>
          <w:p w14:paraId="2453082C" w14:textId="77777777" w:rsidR="00AA25F9" w:rsidRDefault="00000000">
            <w:pPr>
              <w:spacing w:after="0" w:line="252" w:lineRule="auto"/>
            </w:pPr>
            <w:r>
              <w:rPr>
                <w:sz w:val="20"/>
              </w:rPr>
              <w:t>Scheduler</w:t>
            </w:r>
          </w:p>
        </w:tc>
        <w:tc>
          <w:tcPr>
            <w:tcW w:w="7272" w:type="dxa"/>
            <w:shd w:val="clear" w:color="auto" w:fill="F4F6F8"/>
            <w:tcMar>
              <w:top w:w="100" w:type="dxa"/>
              <w:left w:w="120" w:type="dxa"/>
              <w:bottom w:w="100" w:type="dxa"/>
              <w:right w:w="120" w:type="dxa"/>
            </w:tcMar>
            <w:vAlign w:val="center"/>
          </w:tcPr>
          <w:p w14:paraId="206D4FC9" w14:textId="77777777" w:rsidR="00AA25F9" w:rsidRDefault="00000000">
            <w:pPr>
              <w:spacing w:after="0" w:line="252" w:lineRule="auto"/>
            </w:pPr>
            <w:r>
              <w:rPr>
                <w:sz w:val="20"/>
              </w:rPr>
              <w:t>Use APScheduler to run briefing and monitoring jobs with explicit logs and failure handling.</w:t>
            </w:r>
          </w:p>
        </w:tc>
      </w:tr>
      <w:tr w:rsidR="00AA25F9" w14:paraId="0C6DCD85" w14:textId="77777777">
        <w:tc>
          <w:tcPr>
            <w:tcW w:w="2088" w:type="dxa"/>
            <w:tcMar>
              <w:top w:w="100" w:type="dxa"/>
              <w:left w:w="120" w:type="dxa"/>
              <w:bottom w:w="100" w:type="dxa"/>
              <w:right w:w="120" w:type="dxa"/>
            </w:tcMar>
            <w:vAlign w:val="center"/>
          </w:tcPr>
          <w:p w14:paraId="71926D31" w14:textId="77777777" w:rsidR="00AA25F9" w:rsidRDefault="00000000">
            <w:pPr>
              <w:spacing w:after="0" w:line="252" w:lineRule="auto"/>
            </w:pPr>
            <w:r>
              <w:rPr>
                <w:sz w:val="20"/>
              </w:rPr>
              <w:t>Testing</w:t>
            </w:r>
          </w:p>
        </w:tc>
        <w:tc>
          <w:tcPr>
            <w:tcW w:w="7272" w:type="dxa"/>
            <w:tcMar>
              <w:top w:w="100" w:type="dxa"/>
              <w:left w:w="120" w:type="dxa"/>
              <w:bottom w:w="100" w:type="dxa"/>
              <w:right w:w="120" w:type="dxa"/>
            </w:tcMar>
            <w:vAlign w:val="center"/>
          </w:tcPr>
          <w:p w14:paraId="1973D98E" w14:textId="77777777" w:rsidR="00AA25F9" w:rsidRDefault="00000000">
            <w:pPr>
              <w:spacing w:after="0" w:line="252" w:lineRule="auto"/>
            </w:pPr>
            <w:r>
              <w:rPr>
                <w:sz w:val="20"/>
              </w:rPr>
              <w:t>Use Pytest for unit and integration coverage of core flows and important failure paths.</w:t>
            </w:r>
          </w:p>
        </w:tc>
      </w:tr>
    </w:tbl>
    <w:p w14:paraId="6B720BE1" w14:textId="77777777" w:rsidR="00AA25F9" w:rsidRDefault="00AA25F9">
      <w:pPr>
        <w:spacing w:after="0"/>
      </w:pPr>
    </w:p>
    <w:p w14:paraId="113EA928" w14:textId="77777777" w:rsidR="00AA25F9" w:rsidRDefault="00000000">
      <w:r>
        <w:t>The MVP is complete when the end-to-end workflow is repeatable, testable, documented, and useful. It does not need to include every module I may build later.</w:t>
      </w:r>
    </w:p>
    <w:p w14:paraId="2BEC2518" w14:textId="77777777" w:rsidR="00AA25F9" w:rsidRDefault="00000000">
      <w:pPr>
        <w:pStyle w:val="Heading1"/>
      </w:pPr>
      <w:r>
        <w:rPr>
          <w:rFonts w:ascii="Avenir Next" w:eastAsia="Avenir Next" w:hAnsi="Avenir Next"/>
        </w:rPr>
        <w:t>7. Deferred Features</w:t>
      </w:r>
    </w:p>
    <w:p w14:paraId="1D57E116" w14:textId="77777777" w:rsidR="00AA25F9" w:rsidRDefault="00000000">
      <w:pPr>
        <w:pStyle w:val="ListBullet"/>
      </w:pPr>
      <w:r>
        <w:t>Rich web or mobile clients beyond the backend and API demonstration surface.</w:t>
      </w:r>
    </w:p>
    <w:p w14:paraId="4F62DAE3" w14:textId="77777777" w:rsidR="00AA25F9" w:rsidRDefault="00000000">
      <w:pPr>
        <w:pStyle w:val="ListBullet"/>
      </w:pPr>
      <w:r>
        <w:t>User accounts, multi-user authorization, and cloud synchronization.</w:t>
      </w:r>
    </w:p>
    <w:p w14:paraId="1E7424C3" w14:textId="77777777" w:rsidR="00AA25F9" w:rsidRDefault="00000000">
      <w:pPr>
        <w:pStyle w:val="ListBullet"/>
      </w:pPr>
      <w:r>
        <w:t>Money, fitness, calendar, communications, and other “studio” modules beyond the first validated integrations.</w:t>
      </w:r>
    </w:p>
    <w:p w14:paraId="68B30EB3" w14:textId="77777777" w:rsidR="00AA25F9" w:rsidRDefault="00000000">
      <w:pPr>
        <w:pStyle w:val="ListBullet"/>
      </w:pPr>
      <w:r>
        <w:t>Advanced recommendations, trend inference, or generative summaries.</w:t>
      </w:r>
    </w:p>
    <w:p w14:paraId="3847DC45" w14:textId="77777777" w:rsidR="00AA25F9" w:rsidRDefault="00000000">
      <w:pPr>
        <w:pStyle w:val="ListBullet"/>
      </w:pPr>
      <w:r>
        <w:t>Plugin marketplace, third-party extension distribution, and remote module execution.</w:t>
      </w:r>
    </w:p>
    <w:p w14:paraId="37DA047B" w14:textId="77777777" w:rsidR="00AA25F9" w:rsidRDefault="00000000">
      <w:pPr>
        <w:pStyle w:val="ListBullet"/>
      </w:pPr>
      <w:r>
        <w:t>Production cloud deployment, horizontal scaling, and managed observability unless the product direction requires them.</w:t>
      </w:r>
    </w:p>
    <w:p w14:paraId="41EAAC1D" w14:textId="77777777" w:rsidR="00AA25F9" w:rsidRDefault="00000000">
      <w:pPr>
        <w:pStyle w:val="Heading1"/>
      </w:pPr>
      <w:r>
        <w:rPr>
          <w:rFonts w:ascii="Avenir Next" w:eastAsia="Avenir Next" w:hAnsi="Avenir Next"/>
        </w:rPr>
        <w:t>8. Technical Stack</w:t>
      </w:r>
    </w:p>
    <w:tbl>
      <w:tblPr>
        <w:tblStyle w:val="TableGrid"/>
        <w:tblW w:w="0" w:type="auto"/>
        <w:tblLayout w:type="fixed"/>
        <w:tblLook w:val="04A0" w:firstRow="1" w:lastRow="0" w:firstColumn="1" w:lastColumn="0" w:noHBand="0" w:noVBand="1"/>
      </w:tblPr>
      <w:tblGrid>
        <w:gridCol w:w="1656"/>
        <w:gridCol w:w="2232"/>
        <w:gridCol w:w="5472"/>
      </w:tblGrid>
      <w:tr w:rsidR="00AA25F9" w14:paraId="1AF9E44A" w14:textId="77777777">
        <w:trPr>
          <w:tblHeader/>
        </w:trPr>
        <w:tc>
          <w:tcPr>
            <w:tcW w:w="1656" w:type="dxa"/>
            <w:shd w:val="clear" w:color="auto" w:fill="2E5E86"/>
            <w:tcMar>
              <w:top w:w="100" w:type="dxa"/>
              <w:left w:w="120" w:type="dxa"/>
              <w:bottom w:w="100" w:type="dxa"/>
              <w:right w:w="120" w:type="dxa"/>
            </w:tcMar>
            <w:vAlign w:val="center"/>
          </w:tcPr>
          <w:p w14:paraId="62D9AEAC" w14:textId="77777777" w:rsidR="00AA25F9" w:rsidRDefault="00000000">
            <w:pPr>
              <w:spacing w:after="0" w:line="252" w:lineRule="auto"/>
            </w:pPr>
            <w:r>
              <w:rPr>
                <w:b/>
                <w:color w:val="FFFFFF"/>
                <w:sz w:val="20"/>
              </w:rPr>
              <w:t>Layer</w:t>
            </w:r>
          </w:p>
        </w:tc>
        <w:tc>
          <w:tcPr>
            <w:tcW w:w="2232" w:type="dxa"/>
            <w:shd w:val="clear" w:color="auto" w:fill="2E5E86"/>
            <w:tcMar>
              <w:top w:w="100" w:type="dxa"/>
              <w:left w:w="120" w:type="dxa"/>
              <w:bottom w:w="100" w:type="dxa"/>
              <w:right w:w="120" w:type="dxa"/>
            </w:tcMar>
            <w:vAlign w:val="center"/>
          </w:tcPr>
          <w:p w14:paraId="540EEA07" w14:textId="77777777" w:rsidR="00AA25F9" w:rsidRDefault="00000000">
            <w:pPr>
              <w:spacing w:after="0" w:line="252" w:lineRule="auto"/>
            </w:pPr>
            <w:r>
              <w:rPr>
                <w:b/>
                <w:color w:val="FFFFFF"/>
                <w:sz w:val="20"/>
              </w:rPr>
              <w:t>Selected technology</w:t>
            </w:r>
          </w:p>
        </w:tc>
        <w:tc>
          <w:tcPr>
            <w:tcW w:w="5472" w:type="dxa"/>
            <w:shd w:val="clear" w:color="auto" w:fill="2E5E86"/>
            <w:tcMar>
              <w:top w:w="100" w:type="dxa"/>
              <w:left w:w="120" w:type="dxa"/>
              <w:bottom w:w="100" w:type="dxa"/>
              <w:right w:w="120" w:type="dxa"/>
            </w:tcMar>
            <w:vAlign w:val="center"/>
          </w:tcPr>
          <w:p w14:paraId="5B34FDCF" w14:textId="77777777" w:rsidR="00AA25F9" w:rsidRDefault="00000000">
            <w:pPr>
              <w:spacing w:after="0" w:line="252" w:lineRule="auto"/>
            </w:pPr>
            <w:r>
              <w:rPr>
                <w:b/>
                <w:color w:val="FFFFFF"/>
                <w:sz w:val="20"/>
              </w:rPr>
              <w:t>Rationale</w:t>
            </w:r>
          </w:p>
        </w:tc>
      </w:tr>
      <w:tr w:rsidR="00AA25F9" w14:paraId="5ED9CEF9" w14:textId="77777777">
        <w:tc>
          <w:tcPr>
            <w:tcW w:w="1656" w:type="dxa"/>
            <w:tcMar>
              <w:top w:w="100" w:type="dxa"/>
              <w:left w:w="120" w:type="dxa"/>
              <w:bottom w:w="100" w:type="dxa"/>
              <w:right w:w="120" w:type="dxa"/>
            </w:tcMar>
            <w:vAlign w:val="center"/>
          </w:tcPr>
          <w:p w14:paraId="7FB7A88C" w14:textId="77777777" w:rsidR="00AA25F9" w:rsidRDefault="00000000">
            <w:pPr>
              <w:spacing w:after="0" w:line="252" w:lineRule="auto"/>
            </w:pPr>
            <w:r>
              <w:rPr>
                <w:sz w:val="20"/>
              </w:rPr>
              <w:t>Language</w:t>
            </w:r>
          </w:p>
        </w:tc>
        <w:tc>
          <w:tcPr>
            <w:tcW w:w="2232" w:type="dxa"/>
            <w:tcMar>
              <w:top w:w="100" w:type="dxa"/>
              <w:left w:w="120" w:type="dxa"/>
              <w:bottom w:w="100" w:type="dxa"/>
              <w:right w:w="120" w:type="dxa"/>
            </w:tcMar>
            <w:vAlign w:val="center"/>
          </w:tcPr>
          <w:p w14:paraId="43C9EF81" w14:textId="77777777" w:rsidR="00AA25F9" w:rsidRDefault="00000000">
            <w:pPr>
              <w:spacing w:after="0" w:line="252" w:lineRule="auto"/>
            </w:pPr>
            <w:r>
              <w:rPr>
                <w:sz w:val="20"/>
              </w:rPr>
              <w:t>Python</w:t>
            </w:r>
          </w:p>
        </w:tc>
        <w:tc>
          <w:tcPr>
            <w:tcW w:w="5472" w:type="dxa"/>
            <w:tcMar>
              <w:top w:w="100" w:type="dxa"/>
              <w:left w:w="120" w:type="dxa"/>
              <w:bottom w:w="100" w:type="dxa"/>
              <w:right w:w="120" w:type="dxa"/>
            </w:tcMar>
            <w:vAlign w:val="center"/>
          </w:tcPr>
          <w:p w14:paraId="34F6103D" w14:textId="77777777" w:rsidR="00AA25F9" w:rsidRDefault="00000000">
            <w:pPr>
              <w:spacing w:after="0" w:line="252" w:lineRule="auto"/>
            </w:pPr>
            <w:r>
              <w:rPr>
                <w:sz w:val="20"/>
              </w:rPr>
              <w:t>Strong ecosystem for APIs, automation, system inspection, and rapid integration work.</w:t>
            </w:r>
          </w:p>
        </w:tc>
      </w:tr>
      <w:tr w:rsidR="00AA25F9" w14:paraId="48326C7F" w14:textId="77777777">
        <w:tc>
          <w:tcPr>
            <w:tcW w:w="1656" w:type="dxa"/>
            <w:shd w:val="clear" w:color="auto" w:fill="F4F6F8"/>
            <w:tcMar>
              <w:top w:w="100" w:type="dxa"/>
              <w:left w:w="120" w:type="dxa"/>
              <w:bottom w:w="100" w:type="dxa"/>
              <w:right w:w="120" w:type="dxa"/>
            </w:tcMar>
            <w:vAlign w:val="center"/>
          </w:tcPr>
          <w:p w14:paraId="64E605FD" w14:textId="77777777" w:rsidR="00AA25F9" w:rsidRDefault="00000000">
            <w:pPr>
              <w:spacing w:after="0" w:line="252" w:lineRule="auto"/>
            </w:pPr>
            <w:r>
              <w:rPr>
                <w:sz w:val="20"/>
              </w:rPr>
              <w:t>Web API</w:t>
            </w:r>
          </w:p>
        </w:tc>
        <w:tc>
          <w:tcPr>
            <w:tcW w:w="2232" w:type="dxa"/>
            <w:shd w:val="clear" w:color="auto" w:fill="F4F6F8"/>
            <w:tcMar>
              <w:top w:w="100" w:type="dxa"/>
              <w:left w:w="120" w:type="dxa"/>
              <w:bottom w:w="100" w:type="dxa"/>
              <w:right w:w="120" w:type="dxa"/>
            </w:tcMar>
            <w:vAlign w:val="center"/>
          </w:tcPr>
          <w:p w14:paraId="6780AB73" w14:textId="77777777" w:rsidR="00AA25F9" w:rsidRDefault="00000000">
            <w:pPr>
              <w:spacing w:after="0" w:line="252" w:lineRule="auto"/>
            </w:pPr>
            <w:r>
              <w:rPr>
                <w:sz w:val="20"/>
              </w:rPr>
              <w:t>Flask</w:t>
            </w:r>
          </w:p>
        </w:tc>
        <w:tc>
          <w:tcPr>
            <w:tcW w:w="5472" w:type="dxa"/>
            <w:shd w:val="clear" w:color="auto" w:fill="F4F6F8"/>
            <w:tcMar>
              <w:top w:w="100" w:type="dxa"/>
              <w:left w:w="120" w:type="dxa"/>
              <w:bottom w:w="100" w:type="dxa"/>
              <w:right w:w="120" w:type="dxa"/>
            </w:tcMar>
            <w:vAlign w:val="center"/>
          </w:tcPr>
          <w:p w14:paraId="4E3E543C" w14:textId="77777777" w:rsidR="00AA25F9" w:rsidRDefault="00000000">
            <w:pPr>
              <w:spacing w:after="0" w:line="252" w:lineRule="auto"/>
            </w:pPr>
            <w:r>
              <w:rPr>
                <w:sz w:val="20"/>
              </w:rPr>
              <w:t>Small, explicit REST layer suited to a focused backend portfolio project.</w:t>
            </w:r>
          </w:p>
        </w:tc>
      </w:tr>
      <w:tr w:rsidR="00AA25F9" w14:paraId="358CFDCC" w14:textId="77777777">
        <w:tc>
          <w:tcPr>
            <w:tcW w:w="1656" w:type="dxa"/>
            <w:tcMar>
              <w:top w:w="100" w:type="dxa"/>
              <w:left w:w="120" w:type="dxa"/>
              <w:bottom w:w="100" w:type="dxa"/>
              <w:right w:w="120" w:type="dxa"/>
            </w:tcMar>
            <w:vAlign w:val="center"/>
          </w:tcPr>
          <w:p w14:paraId="517910CA" w14:textId="77777777" w:rsidR="00AA25F9" w:rsidRDefault="00000000">
            <w:pPr>
              <w:spacing w:after="0" w:line="252" w:lineRule="auto"/>
            </w:pPr>
            <w:r>
              <w:rPr>
                <w:sz w:val="20"/>
              </w:rPr>
              <w:t>Persistence</w:t>
            </w:r>
          </w:p>
        </w:tc>
        <w:tc>
          <w:tcPr>
            <w:tcW w:w="2232" w:type="dxa"/>
            <w:tcMar>
              <w:top w:w="100" w:type="dxa"/>
              <w:left w:w="120" w:type="dxa"/>
              <w:bottom w:w="100" w:type="dxa"/>
              <w:right w:w="120" w:type="dxa"/>
            </w:tcMar>
            <w:vAlign w:val="center"/>
          </w:tcPr>
          <w:p w14:paraId="2C85E841" w14:textId="77777777" w:rsidR="00AA25F9" w:rsidRDefault="00000000">
            <w:pPr>
              <w:spacing w:after="0" w:line="252" w:lineRule="auto"/>
            </w:pPr>
            <w:r>
              <w:rPr>
                <w:sz w:val="20"/>
              </w:rPr>
              <w:t>SQLite</w:t>
            </w:r>
          </w:p>
        </w:tc>
        <w:tc>
          <w:tcPr>
            <w:tcW w:w="5472" w:type="dxa"/>
            <w:tcMar>
              <w:top w:w="100" w:type="dxa"/>
              <w:left w:w="120" w:type="dxa"/>
              <w:bottom w:w="100" w:type="dxa"/>
              <w:right w:w="120" w:type="dxa"/>
            </w:tcMar>
            <w:vAlign w:val="center"/>
          </w:tcPr>
          <w:p w14:paraId="282BDB68" w14:textId="77777777" w:rsidR="00AA25F9" w:rsidRDefault="00000000">
            <w:pPr>
              <w:spacing w:after="0" w:line="252" w:lineRule="auto"/>
            </w:pPr>
            <w:r>
              <w:rPr>
                <w:sz w:val="20"/>
              </w:rPr>
              <w:t>Local-first, inspectable, transactional storage with minimal operational overhead.</w:t>
            </w:r>
          </w:p>
        </w:tc>
      </w:tr>
      <w:tr w:rsidR="00AA25F9" w14:paraId="5558E672" w14:textId="77777777">
        <w:tc>
          <w:tcPr>
            <w:tcW w:w="1656" w:type="dxa"/>
            <w:shd w:val="clear" w:color="auto" w:fill="F4F6F8"/>
            <w:tcMar>
              <w:top w:w="100" w:type="dxa"/>
              <w:left w:w="120" w:type="dxa"/>
              <w:bottom w:w="100" w:type="dxa"/>
              <w:right w:w="120" w:type="dxa"/>
            </w:tcMar>
            <w:vAlign w:val="center"/>
          </w:tcPr>
          <w:p w14:paraId="7CF14CDA" w14:textId="77777777" w:rsidR="00AA25F9" w:rsidRDefault="00000000">
            <w:pPr>
              <w:spacing w:after="0" w:line="252" w:lineRule="auto"/>
            </w:pPr>
            <w:r>
              <w:rPr>
                <w:sz w:val="20"/>
              </w:rPr>
              <w:t>Scheduling</w:t>
            </w:r>
          </w:p>
        </w:tc>
        <w:tc>
          <w:tcPr>
            <w:tcW w:w="2232" w:type="dxa"/>
            <w:shd w:val="clear" w:color="auto" w:fill="F4F6F8"/>
            <w:tcMar>
              <w:top w:w="100" w:type="dxa"/>
              <w:left w:w="120" w:type="dxa"/>
              <w:bottom w:w="100" w:type="dxa"/>
              <w:right w:w="120" w:type="dxa"/>
            </w:tcMar>
            <w:vAlign w:val="center"/>
          </w:tcPr>
          <w:p w14:paraId="501E4DEA" w14:textId="77777777" w:rsidR="00AA25F9" w:rsidRDefault="00000000">
            <w:pPr>
              <w:spacing w:after="0" w:line="252" w:lineRule="auto"/>
            </w:pPr>
            <w:r>
              <w:rPr>
                <w:sz w:val="20"/>
              </w:rPr>
              <w:t>APScheduler</w:t>
            </w:r>
          </w:p>
        </w:tc>
        <w:tc>
          <w:tcPr>
            <w:tcW w:w="5472" w:type="dxa"/>
            <w:shd w:val="clear" w:color="auto" w:fill="F4F6F8"/>
            <w:tcMar>
              <w:top w:w="100" w:type="dxa"/>
              <w:left w:w="120" w:type="dxa"/>
              <w:bottom w:w="100" w:type="dxa"/>
              <w:right w:w="120" w:type="dxa"/>
            </w:tcMar>
            <w:vAlign w:val="center"/>
          </w:tcPr>
          <w:p w14:paraId="359FFA7A" w14:textId="77777777" w:rsidR="00AA25F9" w:rsidRDefault="00000000">
            <w:pPr>
              <w:spacing w:after="0" w:line="252" w:lineRule="auto"/>
            </w:pPr>
            <w:r>
              <w:rPr>
                <w:sz w:val="20"/>
              </w:rPr>
              <w:t>In-process scheduling with cron-like and interval triggers appropriate to a single-user service.</w:t>
            </w:r>
          </w:p>
        </w:tc>
      </w:tr>
      <w:tr w:rsidR="00AA25F9" w14:paraId="4CD62EA5" w14:textId="77777777">
        <w:tc>
          <w:tcPr>
            <w:tcW w:w="1656" w:type="dxa"/>
            <w:tcMar>
              <w:top w:w="100" w:type="dxa"/>
              <w:left w:w="120" w:type="dxa"/>
              <w:bottom w:w="100" w:type="dxa"/>
              <w:right w:w="120" w:type="dxa"/>
            </w:tcMar>
            <w:vAlign w:val="center"/>
          </w:tcPr>
          <w:p w14:paraId="4E8D923C" w14:textId="77777777" w:rsidR="00AA25F9" w:rsidRDefault="00000000">
            <w:pPr>
              <w:spacing w:after="0" w:line="252" w:lineRule="auto"/>
            </w:pPr>
            <w:r>
              <w:rPr>
                <w:sz w:val="20"/>
              </w:rPr>
              <w:t>Testing</w:t>
            </w:r>
          </w:p>
        </w:tc>
        <w:tc>
          <w:tcPr>
            <w:tcW w:w="2232" w:type="dxa"/>
            <w:tcMar>
              <w:top w:w="100" w:type="dxa"/>
              <w:left w:w="120" w:type="dxa"/>
              <w:bottom w:w="100" w:type="dxa"/>
              <w:right w:w="120" w:type="dxa"/>
            </w:tcMar>
            <w:vAlign w:val="center"/>
          </w:tcPr>
          <w:p w14:paraId="282FD413" w14:textId="77777777" w:rsidR="00AA25F9" w:rsidRDefault="00000000">
            <w:pPr>
              <w:spacing w:after="0" w:line="252" w:lineRule="auto"/>
            </w:pPr>
            <w:r>
              <w:rPr>
                <w:sz w:val="20"/>
              </w:rPr>
              <w:t>Pytest</w:t>
            </w:r>
          </w:p>
        </w:tc>
        <w:tc>
          <w:tcPr>
            <w:tcW w:w="5472" w:type="dxa"/>
            <w:tcMar>
              <w:top w:w="100" w:type="dxa"/>
              <w:left w:w="120" w:type="dxa"/>
              <w:bottom w:w="100" w:type="dxa"/>
              <w:right w:w="120" w:type="dxa"/>
            </w:tcMar>
            <w:vAlign w:val="center"/>
          </w:tcPr>
          <w:p w14:paraId="4DE7B34B" w14:textId="77777777" w:rsidR="00AA25F9" w:rsidRDefault="00000000">
            <w:pPr>
              <w:spacing w:after="0" w:line="252" w:lineRule="auto"/>
            </w:pPr>
            <w:r>
              <w:rPr>
                <w:sz w:val="20"/>
              </w:rPr>
              <w:t>Readable fixtures, parametrization, and strong support for unit/integration testing.</w:t>
            </w:r>
          </w:p>
        </w:tc>
      </w:tr>
      <w:tr w:rsidR="00AA25F9" w14:paraId="17D7A536" w14:textId="77777777">
        <w:tc>
          <w:tcPr>
            <w:tcW w:w="1656" w:type="dxa"/>
            <w:shd w:val="clear" w:color="auto" w:fill="F4F6F8"/>
            <w:tcMar>
              <w:top w:w="100" w:type="dxa"/>
              <w:left w:w="120" w:type="dxa"/>
              <w:bottom w:w="100" w:type="dxa"/>
              <w:right w:w="120" w:type="dxa"/>
            </w:tcMar>
            <w:vAlign w:val="center"/>
          </w:tcPr>
          <w:p w14:paraId="4FC84715" w14:textId="77777777" w:rsidR="00AA25F9" w:rsidRDefault="00000000">
            <w:pPr>
              <w:spacing w:after="0" w:line="252" w:lineRule="auto"/>
            </w:pPr>
            <w:r>
              <w:rPr>
                <w:sz w:val="20"/>
              </w:rPr>
              <w:t>External data</w:t>
            </w:r>
          </w:p>
        </w:tc>
        <w:tc>
          <w:tcPr>
            <w:tcW w:w="2232" w:type="dxa"/>
            <w:shd w:val="clear" w:color="auto" w:fill="F4F6F8"/>
            <w:tcMar>
              <w:top w:w="100" w:type="dxa"/>
              <w:left w:w="120" w:type="dxa"/>
              <w:bottom w:w="100" w:type="dxa"/>
              <w:right w:w="120" w:type="dxa"/>
            </w:tcMar>
            <w:vAlign w:val="center"/>
          </w:tcPr>
          <w:p w14:paraId="515BD3FC" w14:textId="77777777" w:rsidR="00AA25F9" w:rsidRDefault="00000000">
            <w:pPr>
              <w:spacing w:after="0" w:line="252" w:lineRule="auto"/>
            </w:pPr>
            <w:r>
              <w:rPr>
                <w:sz w:val="20"/>
              </w:rPr>
              <w:t xml:space="preserve">Hypertext Transfer </w:t>
            </w:r>
            <w:r>
              <w:rPr>
                <w:sz w:val="20"/>
              </w:rPr>
              <w:lastRenderedPageBreak/>
              <w:t>Protocol (HTTP) APIs, initially weather</w:t>
            </w:r>
          </w:p>
        </w:tc>
        <w:tc>
          <w:tcPr>
            <w:tcW w:w="5472" w:type="dxa"/>
            <w:shd w:val="clear" w:color="auto" w:fill="F4F6F8"/>
            <w:tcMar>
              <w:top w:w="100" w:type="dxa"/>
              <w:left w:w="120" w:type="dxa"/>
              <w:bottom w:w="100" w:type="dxa"/>
              <w:right w:w="120" w:type="dxa"/>
            </w:tcMar>
            <w:vAlign w:val="center"/>
          </w:tcPr>
          <w:p w14:paraId="4AE03ED7" w14:textId="77777777" w:rsidR="00AA25F9" w:rsidRDefault="00000000">
            <w:pPr>
              <w:spacing w:after="0" w:line="252" w:lineRule="auto"/>
            </w:pPr>
            <w:r>
              <w:rPr>
                <w:sz w:val="20"/>
              </w:rPr>
              <w:lastRenderedPageBreak/>
              <w:t xml:space="preserve">Adapter-based integrations isolate provider-specific </w:t>
            </w:r>
            <w:r>
              <w:rPr>
                <w:sz w:val="20"/>
              </w:rPr>
              <w:lastRenderedPageBreak/>
              <w:t>requests and schemas.</w:t>
            </w:r>
          </w:p>
        </w:tc>
      </w:tr>
      <w:tr w:rsidR="00AA25F9" w14:paraId="11EEA195" w14:textId="77777777">
        <w:tc>
          <w:tcPr>
            <w:tcW w:w="1656" w:type="dxa"/>
            <w:tcMar>
              <w:top w:w="100" w:type="dxa"/>
              <w:left w:w="120" w:type="dxa"/>
              <w:bottom w:w="100" w:type="dxa"/>
              <w:right w:w="120" w:type="dxa"/>
            </w:tcMar>
            <w:vAlign w:val="center"/>
          </w:tcPr>
          <w:p w14:paraId="46E9B9B2" w14:textId="77777777" w:rsidR="00AA25F9" w:rsidRDefault="00000000">
            <w:pPr>
              <w:spacing w:after="0" w:line="252" w:lineRule="auto"/>
            </w:pPr>
            <w:r>
              <w:rPr>
                <w:sz w:val="20"/>
              </w:rPr>
              <w:t>Operations</w:t>
            </w:r>
          </w:p>
        </w:tc>
        <w:tc>
          <w:tcPr>
            <w:tcW w:w="2232" w:type="dxa"/>
            <w:tcMar>
              <w:top w:w="100" w:type="dxa"/>
              <w:left w:w="120" w:type="dxa"/>
              <w:bottom w:w="100" w:type="dxa"/>
              <w:right w:w="120" w:type="dxa"/>
            </w:tcMar>
            <w:vAlign w:val="center"/>
          </w:tcPr>
          <w:p w14:paraId="0F85BA88" w14:textId="77777777" w:rsidR="00AA25F9" w:rsidRDefault="00000000">
            <w:pPr>
              <w:spacing w:after="0" w:line="252" w:lineRule="auto"/>
            </w:pPr>
            <w:r>
              <w:rPr>
                <w:sz w:val="20"/>
              </w:rPr>
              <w:t>Python logging + structured event records</w:t>
            </w:r>
          </w:p>
        </w:tc>
        <w:tc>
          <w:tcPr>
            <w:tcW w:w="5472" w:type="dxa"/>
            <w:tcMar>
              <w:top w:w="100" w:type="dxa"/>
              <w:left w:w="120" w:type="dxa"/>
              <w:bottom w:w="100" w:type="dxa"/>
              <w:right w:w="120" w:type="dxa"/>
            </w:tcMar>
            <w:vAlign w:val="center"/>
          </w:tcPr>
          <w:p w14:paraId="1851B738" w14:textId="77777777" w:rsidR="00AA25F9" w:rsidRDefault="00000000">
            <w:pPr>
              <w:spacing w:after="0" w:line="252" w:lineRule="auto"/>
            </w:pPr>
            <w:r>
              <w:rPr>
                <w:sz w:val="20"/>
              </w:rPr>
              <w:t>Separates runtime diagnostics from durable product events while preserving traceability.</w:t>
            </w:r>
          </w:p>
        </w:tc>
      </w:tr>
    </w:tbl>
    <w:p w14:paraId="0AB99A7D" w14:textId="77777777" w:rsidR="00AA25F9" w:rsidRDefault="00AA25F9">
      <w:pPr>
        <w:spacing w:after="0"/>
      </w:pPr>
    </w:p>
    <w:p w14:paraId="0D685A38" w14:textId="77777777" w:rsidR="00AA25F9" w:rsidRDefault="00000000">
      <w:r>
        <w:t>Add dependencies only when they reduce meaningful complexity or improve correctness. Exact versions and setup instructions belong in the project dependency files and README file.</w:t>
      </w:r>
    </w:p>
    <w:p w14:paraId="7759E1A5" w14:textId="77777777" w:rsidR="00AA25F9" w:rsidRDefault="00000000">
      <w:pPr>
        <w:pStyle w:val="Heading1"/>
      </w:pPr>
      <w:r>
        <w:rPr>
          <w:rFonts w:ascii="Avenir Next" w:eastAsia="Avenir Next" w:hAnsi="Avenir Next"/>
        </w:rPr>
        <w:t>9. Current Architecture</w:t>
      </w:r>
    </w:p>
    <w:p w14:paraId="4E3265D6" w14:textId="77777777" w:rsidR="00AA25F9" w:rsidRDefault="00000000">
      <w:r>
        <w:t>RiseOS follows a modular monolith architecture. Components share one deployable Python application and one SQLite database while remaining separated by responsibility and interface.</w:t>
      </w:r>
    </w:p>
    <w:tbl>
      <w:tblPr>
        <w:tblStyle w:val="TableGrid"/>
        <w:tblW w:w="0" w:type="auto"/>
        <w:tblLayout w:type="fixed"/>
        <w:tblLook w:val="04A0" w:firstRow="1" w:lastRow="0" w:firstColumn="1" w:lastColumn="0" w:noHBand="0" w:noVBand="1"/>
      </w:tblPr>
      <w:tblGrid>
        <w:gridCol w:w="1872"/>
        <w:gridCol w:w="4320"/>
        <w:gridCol w:w="3168"/>
      </w:tblGrid>
      <w:tr w:rsidR="00AA25F9" w14:paraId="397520AB" w14:textId="77777777">
        <w:trPr>
          <w:tblHeader/>
        </w:trPr>
        <w:tc>
          <w:tcPr>
            <w:tcW w:w="1872" w:type="dxa"/>
            <w:shd w:val="clear" w:color="auto" w:fill="2E5E86"/>
            <w:tcMar>
              <w:top w:w="100" w:type="dxa"/>
              <w:left w:w="120" w:type="dxa"/>
              <w:bottom w:w="100" w:type="dxa"/>
              <w:right w:w="120" w:type="dxa"/>
            </w:tcMar>
            <w:vAlign w:val="center"/>
          </w:tcPr>
          <w:p w14:paraId="7E7995FC" w14:textId="77777777" w:rsidR="00AA25F9" w:rsidRDefault="00000000">
            <w:pPr>
              <w:spacing w:after="0" w:line="252" w:lineRule="auto"/>
            </w:pPr>
            <w:r>
              <w:rPr>
                <w:b/>
                <w:color w:val="FFFFFF"/>
                <w:sz w:val="20"/>
              </w:rPr>
              <w:t>Component</w:t>
            </w:r>
          </w:p>
        </w:tc>
        <w:tc>
          <w:tcPr>
            <w:tcW w:w="4320" w:type="dxa"/>
            <w:shd w:val="clear" w:color="auto" w:fill="2E5E86"/>
            <w:tcMar>
              <w:top w:w="100" w:type="dxa"/>
              <w:left w:w="120" w:type="dxa"/>
              <w:bottom w:w="100" w:type="dxa"/>
              <w:right w:w="120" w:type="dxa"/>
            </w:tcMar>
            <w:vAlign w:val="center"/>
          </w:tcPr>
          <w:p w14:paraId="197BDD2F" w14:textId="77777777" w:rsidR="00AA25F9" w:rsidRDefault="00000000">
            <w:pPr>
              <w:spacing w:after="0" w:line="252" w:lineRule="auto"/>
            </w:pPr>
            <w:r>
              <w:rPr>
                <w:b/>
                <w:color w:val="FFFFFF"/>
                <w:sz w:val="20"/>
              </w:rPr>
              <w:t>Responsibility</w:t>
            </w:r>
          </w:p>
        </w:tc>
        <w:tc>
          <w:tcPr>
            <w:tcW w:w="3168" w:type="dxa"/>
            <w:shd w:val="clear" w:color="auto" w:fill="2E5E86"/>
            <w:tcMar>
              <w:top w:w="100" w:type="dxa"/>
              <w:left w:w="120" w:type="dxa"/>
              <w:bottom w:w="100" w:type="dxa"/>
              <w:right w:w="120" w:type="dxa"/>
            </w:tcMar>
            <w:vAlign w:val="center"/>
          </w:tcPr>
          <w:p w14:paraId="3FE1187C" w14:textId="77777777" w:rsidR="00AA25F9" w:rsidRDefault="00000000">
            <w:pPr>
              <w:spacing w:after="0" w:line="252" w:lineRule="auto"/>
            </w:pPr>
            <w:r>
              <w:rPr>
                <w:b/>
                <w:color w:val="FFFFFF"/>
                <w:sz w:val="20"/>
              </w:rPr>
              <w:t>Key boundary</w:t>
            </w:r>
          </w:p>
        </w:tc>
      </w:tr>
      <w:tr w:rsidR="00AA25F9" w14:paraId="1B588F66" w14:textId="77777777">
        <w:tc>
          <w:tcPr>
            <w:tcW w:w="1872" w:type="dxa"/>
            <w:tcMar>
              <w:top w:w="100" w:type="dxa"/>
              <w:left w:w="120" w:type="dxa"/>
              <w:bottom w:w="100" w:type="dxa"/>
              <w:right w:w="120" w:type="dxa"/>
            </w:tcMar>
            <w:vAlign w:val="center"/>
          </w:tcPr>
          <w:p w14:paraId="5D730EDF" w14:textId="77777777" w:rsidR="00AA25F9" w:rsidRDefault="00000000">
            <w:pPr>
              <w:spacing w:after="0" w:line="252" w:lineRule="auto"/>
            </w:pPr>
            <w:r>
              <w:rPr>
                <w:sz w:val="20"/>
              </w:rPr>
              <w:t>Source adapters</w:t>
            </w:r>
          </w:p>
        </w:tc>
        <w:tc>
          <w:tcPr>
            <w:tcW w:w="4320" w:type="dxa"/>
            <w:tcMar>
              <w:top w:w="100" w:type="dxa"/>
              <w:left w:w="120" w:type="dxa"/>
              <w:bottom w:w="100" w:type="dxa"/>
              <w:right w:w="120" w:type="dxa"/>
            </w:tcMar>
            <w:vAlign w:val="center"/>
          </w:tcPr>
          <w:p w14:paraId="220E572E" w14:textId="77777777" w:rsidR="00AA25F9" w:rsidRDefault="00000000">
            <w:pPr>
              <w:spacing w:after="0" w:line="252" w:lineRule="auto"/>
            </w:pPr>
            <w:r>
              <w:rPr>
                <w:sz w:val="20"/>
              </w:rPr>
              <w:t>Retrieve and normalize external or local data.</w:t>
            </w:r>
          </w:p>
        </w:tc>
        <w:tc>
          <w:tcPr>
            <w:tcW w:w="3168" w:type="dxa"/>
            <w:tcMar>
              <w:top w:w="100" w:type="dxa"/>
              <w:left w:w="120" w:type="dxa"/>
              <w:bottom w:w="100" w:type="dxa"/>
              <w:right w:w="120" w:type="dxa"/>
            </w:tcMar>
            <w:vAlign w:val="center"/>
          </w:tcPr>
          <w:p w14:paraId="1B335535" w14:textId="77777777" w:rsidR="00AA25F9" w:rsidRDefault="00000000">
            <w:pPr>
              <w:spacing w:after="0" w:line="252" w:lineRule="auto"/>
            </w:pPr>
            <w:r>
              <w:rPr>
                <w:sz w:val="20"/>
              </w:rPr>
              <w:t>Return domain-shaped results; do not format the final brief.</w:t>
            </w:r>
          </w:p>
        </w:tc>
      </w:tr>
      <w:tr w:rsidR="00AA25F9" w14:paraId="05543FF8" w14:textId="77777777">
        <w:tc>
          <w:tcPr>
            <w:tcW w:w="1872" w:type="dxa"/>
            <w:shd w:val="clear" w:color="auto" w:fill="F4F6F8"/>
            <w:tcMar>
              <w:top w:w="100" w:type="dxa"/>
              <w:left w:w="120" w:type="dxa"/>
              <w:bottom w:w="100" w:type="dxa"/>
              <w:right w:w="120" w:type="dxa"/>
            </w:tcMar>
            <w:vAlign w:val="center"/>
          </w:tcPr>
          <w:p w14:paraId="2F81F7EC" w14:textId="77777777" w:rsidR="00AA25F9" w:rsidRDefault="00000000">
            <w:pPr>
              <w:spacing w:after="0" w:line="252" w:lineRule="auto"/>
            </w:pPr>
            <w:r>
              <w:rPr>
                <w:sz w:val="20"/>
              </w:rPr>
              <w:t>Event monitor</w:t>
            </w:r>
          </w:p>
        </w:tc>
        <w:tc>
          <w:tcPr>
            <w:tcW w:w="4320" w:type="dxa"/>
            <w:shd w:val="clear" w:color="auto" w:fill="F4F6F8"/>
            <w:tcMar>
              <w:top w:w="100" w:type="dxa"/>
              <w:left w:w="120" w:type="dxa"/>
              <w:bottom w:w="100" w:type="dxa"/>
              <w:right w:w="120" w:type="dxa"/>
            </w:tcMar>
            <w:vAlign w:val="center"/>
          </w:tcPr>
          <w:p w14:paraId="2810F798" w14:textId="77777777" w:rsidR="00AA25F9" w:rsidRDefault="00000000">
            <w:pPr>
              <w:spacing w:after="0" w:line="252" w:lineRule="auto"/>
            </w:pPr>
            <w:r>
              <w:rPr>
                <w:sz w:val="20"/>
              </w:rPr>
              <w:t>Observe configured system conditions.</w:t>
            </w:r>
          </w:p>
        </w:tc>
        <w:tc>
          <w:tcPr>
            <w:tcW w:w="3168" w:type="dxa"/>
            <w:shd w:val="clear" w:color="auto" w:fill="F4F6F8"/>
            <w:tcMar>
              <w:top w:w="100" w:type="dxa"/>
              <w:left w:w="120" w:type="dxa"/>
              <w:bottom w:w="100" w:type="dxa"/>
              <w:right w:w="120" w:type="dxa"/>
            </w:tcMar>
            <w:vAlign w:val="center"/>
          </w:tcPr>
          <w:p w14:paraId="2DF75A69" w14:textId="77777777" w:rsidR="00AA25F9" w:rsidRDefault="00000000">
            <w:pPr>
              <w:spacing w:after="0" w:line="252" w:lineRule="auto"/>
            </w:pPr>
            <w:r>
              <w:rPr>
                <w:sz w:val="20"/>
              </w:rPr>
              <w:t>Emits normalized events; does not own persistence policy.</w:t>
            </w:r>
          </w:p>
        </w:tc>
      </w:tr>
      <w:tr w:rsidR="00AA25F9" w14:paraId="3B5F72F3" w14:textId="77777777">
        <w:tc>
          <w:tcPr>
            <w:tcW w:w="1872" w:type="dxa"/>
            <w:tcMar>
              <w:top w:w="100" w:type="dxa"/>
              <w:left w:w="120" w:type="dxa"/>
              <w:bottom w:w="100" w:type="dxa"/>
              <w:right w:w="120" w:type="dxa"/>
            </w:tcMar>
            <w:vAlign w:val="center"/>
          </w:tcPr>
          <w:p w14:paraId="0C26CE0F" w14:textId="77777777" w:rsidR="00AA25F9" w:rsidRDefault="00000000">
            <w:pPr>
              <w:spacing w:after="0" w:line="252" w:lineRule="auto"/>
            </w:pPr>
            <w:r>
              <w:rPr>
                <w:sz w:val="20"/>
              </w:rPr>
              <w:t>Event repository/logger</w:t>
            </w:r>
          </w:p>
        </w:tc>
        <w:tc>
          <w:tcPr>
            <w:tcW w:w="4320" w:type="dxa"/>
            <w:tcMar>
              <w:top w:w="100" w:type="dxa"/>
              <w:left w:w="120" w:type="dxa"/>
              <w:bottom w:w="100" w:type="dxa"/>
              <w:right w:w="120" w:type="dxa"/>
            </w:tcMar>
            <w:vAlign w:val="center"/>
          </w:tcPr>
          <w:p w14:paraId="47BBDB6F" w14:textId="77777777" w:rsidR="00AA25F9" w:rsidRDefault="00000000">
            <w:pPr>
              <w:spacing w:after="0" w:line="252" w:lineRule="auto"/>
            </w:pPr>
            <w:r>
              <w:rPr>
                <w:sz w:val="20"/>
              </w:rPr>
              <w:t>Validate and persist durable event records.</w:t>
            </w:r>
          </w:p>
        </w:tc>
        <w:tc>
          <w:tcPr>
            <w:tcW w:w="3168" w:type="dxa"/>
            <w:tcMar>
              <w:top w:w="100" w:type="dxa"/>
              <w:left w:w="120" w:type="dxa"/>
              <w:bottom w:w="100" w:type="dxa"/>
              <w:right w:w="120" w:type="dxa"/>
            </w:tcMar>
            <w:vAlign w:val="center"/>
          </w:tcPr>
          <w:p w14:paraId="0CDDFDD4" w14:textId="77777777" w:rsidR="00AA25F9" w:rsidRDefault="00000000">
            <w:pPr>
              <w:spacing w:after="0" w:line="252" w:lineRule="auto"/>
            </w:pPr>
            <w:r>
              <w:rPr>
                <w:sz w:val="20"/>
              </w:rPr>
              <w:t>Owns event schema and database access.</w:t>
            </w:r>
          </w:p>
        </w:tc>
      </w:tr>
      <w:tr w:rsidR="00AA25F9" w14:paraId="40909D9E" w14:textId="77777777">
        <w:tc>
          <w:tcPr>
            <w:tcW w:w="1872" w:type="dxa"/>
            <w:shd w:val="clear" w:color="auto" w:fill="F4F6F8"/>
            <w:tcMar>
              <w:top w:w="100" w:type="dxa"/>
              <w:left w:w="120" w:type="dxa"/>
              <w:bottom w:w="100" w:type="dxa"/>
              <w:right w:w="120" w:type="dxa"/>
            </w:tcMar>
            <w:vAlign w:val="center"/>
          </w:tcPr>
          <w:p w14:paraId="57C9B250" w14:textId="77777777" w:rsidR="00AA25F9" w:rsidRDefault="00000000">
            <w:pPr>
              <w:spacing w:after="0" w:line="252" w:lineRule="auto"/>
            </w:pPr>
            <w:r>
              <w:rPr>
                <w:sz w:val="20"/>
              </w:rPr>
              <w:t>Briefing service</w:t>
            </w:r>
          </w:p>
        </w:tc>
        <w:tc>
          <w:tcPr>
            <w:tcW w:w="4320" w:type="dxa"/>
            <w:shd w:val="clear" w:color="auto" w:fill="F4F6F8"/>
            <w:tcMar>
              <w:top w:w="100" w:type="dxa"/>
              <w:left w:w="120" w:type="dxa"/>
              <w:bottom w:w="100" w:type="dxa"/>
              <w:right w:w="120" w:type="dxa"/>
            </w:tcMar>
            <w:vAlign w:val="center"/>
          </w:tcPr>
          <w:p w14:paraId="6FCA7F53" w14:textId="77777777" w:rsidR="00AA25F9" w:rsidRDefault="00000000">
            <w:pPr>
              <w:spacing w:after="0" w:line="252" w:lineRule="auto"/>
            </w:pPr>
            <w:r>
              <w:rPr>
                <w:sz w:val="20"/>
              </w:rPr>
              <w:t>Orchestrate sources and compose a daily briefing model.</w:t>
            </w:r>
          </w:p>
        </w:tc>
        <w:tc>
          <w:tcPr>
            <w:tcW w:w="3168" w:type="dxa"/>
            <w:shd w:val="clear" w:color="auto" w:fill="F4F6F8"/>
            <w:tcMar>
              <w:top w:w="100" w:type="dxa"/>
              <w:left w:w="120" w:type="dxa"/>
              <w:bottom w:w="100" w:type="dxa"/>
              <w:right w:w="120" w:type="dxa"/>
            </w:tcMar>
            <w:vAlign w:val="center"/>
          </w:tcPr>
          <w:p w14:paraId="4683924E" w14:textId="77777777" w:rsidR="00AA25F9" w:rsidRDefault="00000000">
            <w:pPr>
              <w:spacing w:after="0" w:line="252" w:lineRule="auto"/>
            </w:pPr>
            <w:r>
              <w:rPr>
                <w:sz w:val="20"/>
              </w:rPr>
              <w:t>Tolerates unavailable sections and records provenance/errors.</w:t>
            </w:r>
          </w:p>
        </w:tc>
      </w:tr>
      <w:tr w:rsidR="00AA25F9" w14:paraId="194562EF" w14:textId="77777777">
        <w:tc>
          <w:tcPr>
            <w:tcW w:w="1872" w:type="dxa"/>
            <w:tcMar>
              <w:top w:w="100" w:type="dxa"/>
              <w:left w:w="120" w:type="dxa"/>
              <w:bottom w:w="100" w:type="dxa"/>
              <w:right w:w="120" w:type="dxa"/>
            </w:tcMar>
            <w:vAlign w:val="center"/>
          </w:tcPr>
          <w:p w14:paraId="06FB83BA" w14:textId="77777777" w:rsidR="00AA25F9" w:rsidRDefault="00000000">
            <w:pPr>
              <w:spacing w:after="0" w:line="252" w:lineRule="auto"/>
            </w:pPr>
            <w:r>
              <w:rPr>
                <w:sz w:val="20"/>
              </w:rPr>
              <w:t>API layer</w:t>
            </w:r>
          </w:p>
        </w:tc>
        <w:tc>
          <w:tcPr>
            <w:tcW w:w="4320" w:type="dxa"/>
            <w:tcMar>
              <w:top w:w="100" w:type="dxa"/>
              <w:left w:w="120" w:type="dxa"/>
              <w:bottom w:w="100" w:type="dxa"/>
              <w:right w:w="120" w:type="dxa"/>
            </w:tcMar>
            <w:vAlign w:val="center"/>
          </w:tcPr>
          <w:p w14:paraId="79F93B6D" w14:textId="77777777" w:rsidR="00AA25F9" w:rsidRDefault="00000000">
            <w:pPr>
              <w:spacing w:after="0" w:line="252" w:lineRule="auto"/>
            </w:pPr>
            <w:r>
              <w:rPr>
                <w:sz w:val="20"/>
              </w:rPr>
              <w:t>Validate requests and serialize application results.</w:t>
            </w:r>
          </w:p>
        </w:tc>
        <w:tc>
          <w:tcPr>
            <w:tcW w:w="3168" w:type="dxa"/>
            <w:tcMar>
              <w:top w:w="100" w:type="dxa"/>
              <w:left w:w="120" w:type="dxa"/>
              <w:bottom w:w="100" w:type="dxa"/>
              <w:right w:w="120" w:type="dxa"/>
            </w:tcMar>
            <w:vAlign w:val="center"/>
          </w:tcPr>
          <w:p w14:paraId="6969C207" w14:textId="77777777" w:rsidR="00AA25F9" w:rsidRDefault="00000000">
            <w:pPr>
              <w:spacing w:after="0" w:line="252" w:lineRule="auto"/>
            </w:pPr>
            <w:r>
              <w:rPr>
                <w:sz w:val="20"/>
              </w:rPr>
              <w:t>Routes stay thin; business logic remains in services.</w:t>
            </w:r>
          </w:p>
        </w:tc>
      </w:tr>
      <w:tr w:rsidR="00AA25F9" w14:paraId="7A5C0740" w14:textId="77777777">
        <w:tc>
          <w:tcPr>
            <w:tcW w:w="1872" w:type="dxa"/>
            <w:shd w:val="clear" w:color="auto" w:fill="F4F6F8"/>
            <w:tcMar>
              <w:top w:w="100" w:type="dxa"/>
              <w:left w:w="120" w:type="dxa"/>
              <w:bottom w:w="100" w:type="dxa"/>
              <w:right w:w="120" w:type="dxa"/>
            </w:tcMar>
            <w:vAlign w:val="center"/>
          </w:tcPr>
          <w:p w14:paraId="15F11CE1" w14:textId="77777777" w:rsidR="00AA25F9" w:rsidRDefault="00000000">
            <w:pPr>
              <w:spacing w:after="0" w:line="252" w:lineRule="auto"/>
            </w:pPr>
            <w:r>
              <w:rPr>
                <w:sz w:val="20"/>
              </w:rPr>
              <w:t>Scheduler</w:t>
            </w:r>
          </w:p>
        </w:tc>
        <w:tc>
          <w:tcPr>
            <w:tcW w:w="4320" w:type="dxa"/>
            <w:shd w:val="clear" w:color="auto" w:fill="F4F6F8"/>
            <w:tcMar>
              <w:top w:w="100" w:type="dxa"/>
              <w:left w:w="120" w:type="dxa"/>
              <w:bottom w:w="100" w:type="dxa"/>
              <w:right w:w="120" w:type="dxa"/>
            </w:tcMar>
            <w:vAlign w:val="center"/>
          </w:tcPr>
          <w:p w14:paraId="5DEDA41A" w14:textId="77777777" w:rsidR="00AA25F9" w:rsidRDefault="00000000">
            <w:pPr>
              <w:spacing w:after="0" w:line="252" w:lineRule="auto"/>
            </w:pPr>
            <w:r>
              <w:rPr>
                <w:sz w:val="20"/>
              </w:rPr>
              <w:t>Trigger application use cases at configured times.</w:t>
            </w:r>
          </w:p>
        </w:tc>
        <w:tc>
          <w:tcPr>
            <w:tcW w:w="3168" w:type="dxa"/>
            <w:shd w:val="clear" w:color="auto" w:fill="F4F6F8"/>
            <w:tcMar>
              <w:top w:w="100" w:type="dxa"/>
              <w:left w:w="120" w:type="dxa"/>
              <w:bottom w:w="100" w:type="dxa"/>
              <w:right w:w="120" w:type="dxa"/>
            </w:tcMar>
            <w:vAlign w:val="center"/>
          </w:tcPr>
          <w:p w14:paraId="00BD546A" w14:textId="77777777" w:rsidR="00AA25F9" w:rsidRDefault="00000000">
            <w:pPr>
              <w:spacing w:after="0" w:line="252" w:lineRule="auto"/>
            </w:pPr>
            <w:r>
              <w:rPr>
                <w:sz w:val="20"/>
              </w:rPr>
              <w:t>Calls the same service functions used by manual/API flows.</w:t>
            </w:r>
          </w:p>
        </w:tc>
      </w:tr>
    </w:tbl>
    <w:p w14:paraId="378F0A8D" w14:textId="77777777" w:rsidR="00AA25F9" w:rsidRDefault="00AA25F9">
      <w:pPr>
        <w:spacing w:after="0"/>
      </w:pPr>
    </w:p>
    <w:p w14:paraId="0594A29C" w14:textId="77777777" w:rsidR="00AA25F9" w:rsidRDefault="00000000">
      <w:pPr>
        <w:pStyle w:val="Heading2"/>
      </w:pPr>
      <w:r>
        <w:rPr>
          <w:rFonts w:ascii="Avenir Next" w:eastAsia="Avenir Next" w:hAnsi="Avenir Next"/>
        </w:rPr>
        <w:t>Conceptual flow</w:t>
      </w:r>
    </w:p>
    <w:p w14:paraId="322EF6EA" w14:textId="77777777" w:rsidR="00AA25F9" w:rsidRDefault="00000000">
      <w:r>
        <w:t>Configured sources move through source adapters into normalized briefing data. The briefing service then creates and stores a readable brief that the REST API can return. At the same time, the event monitor sends system observations to the event repository. Those events become an overnight summary that is available to both the briefing service and the API.</w:t>
      </w:r>
    </w:p>
    <w:p w14:paraId="4EC34A58" w14:textId="77777777" w:rsidR="00AA25F9" w:rsidRDefault="00000000">
      <w:pPr>
        <w:pStyle w:val="Heading2"/>
      </w:pPr>
      <w:r>
        <w:rPr>
          <w:rFonts w:ascii="Avenir Next" w:eastAsia="Avenir Next" w:hAnsi="Avenir Next"/>
        </w:rPr>
        <w:lastRenderedPageBreak/>
        <w:t>Failure model</w:t>
      </w:r>
    </w:p>
    <w:p w14:paraId="3507FBEB" w14:textId="77777777" w:rsidR="00AA25F9" w:rsidRDefault="00000000">
      <w:r>
        <w:t>External-source failure should be isolated, logged with context, and represented as unavailable data in the brief. Database or core configuration failure is considered a system-level failure and should produce a clear non-success outcome rather than a misleading partial success.</w:t>
      </w:r>
    </w:p>
    <w:p w14:paraId="0E583A12" w14:textId="77777777" w:rsidR="00AA25F9" w:rsidRDefault="00000000">
      <w:pPr>
        <w:pStyle w:val="Heading1"/>
      </w:pPr>
      <w:r>
        <w:rPr>
          <w:rFonts w:ascii="Avenir Next" w:eastAsia="Avenir Next" w:hAnsi="Avenir Next"/>
        </w:rPr>
        <w:t>10. Engineering Principles</w:t>
      </w:r>
    </w:p>
    <w:p w14:paraId="69B873E4" w14:textId="77777777" w:rsidR="00AA25F9" w:rsidRDefault="00000000">
      <w:pPr>
        <w:pStyle w:val="ListBullet"/>
      </w:pPr>
      <w:r>
        <w:t>Keep interfaces narrow and responsibilities explicit.</w:t>
      </w:r>
    </w:p>
    <w:p w14:paraId="6442EA3C" w14:textId="77777777" w:rsidR="00AA25F9" w:rsidRDefault="00000000">
      <w:pPr>
        <w:pStyle w:val="ListBullet"/>
      </w:pPr>
      <w:r>
        <w:t>Prefer a modular monolith until operational evidence justifies distribution.</w:t>
      </w:r>
    </w:p>
    <w:p w14:paraId="7620FC06" w14:textId="77777777" w:rsidR="00AA25F9" w:rsidRDefault="00000000">
      <w:pPr>
        <w:pStyle w:val="ListBullet"/>
      </w:pPr>
      <w:r>
        <w:t>Separate transport, orchestration, domain logic, integration code, and persistence.</w:t>
      </w:r>
    </w:p>
    <w:p w14:paraId="6A717886" w14:textId="77777777" w:rsidR="00AA25F9" w:rsidRDefault="00000000">
      <w:pPr>
        <w:pStyle w:val="ListBullet"/>
      </w:pPr>
      <w:r>
        <w:t>Design for deterministic tests by injecting clocks, clients, configuration, and repositories where useful.</w:t>
      </w:r>
    </w:p>
    <w:p w14:paraId="1E29A0BF" w14:textId="77777777" w:rsidR="00AA25F9" w:rsidRDefault="00000000">
      <w:pPr>
        <w:pStyle w:val="ListBullet"/>
      </w:pPr>
      <w:r>
        <w:t>Treat failures as expected system behavior. Validate inputs, add useful context, choose severity levels carefully, and never hide exceptions without a reason.</w:t>
      </w:r>
    </w:p>
    <w:p w14:paraId="3E0880BA" w14:textId="77777777" w:rsidR="00AA25F9" w:rsidRDefault="00000000">
      <w:pPr>
        <w:pStyle w:val="ListBullet"/>
      </w:pPr>
      <w:r>
        <w:t>Make the safe path easy to follow. Keep secrets out of source control, use parameterized Structured Query Language (SQL), limit external calls with timeouts, and choose conservative defaults.</w:t>
      </w:r>
    </w:p>
    <w:p w14:paraId="673F2208" w14:textId="77777777" w:rsidR="00AA25F9" w:rsidRDefault="00000000">
      <w:pPr>
        <w:pStyle w:val="ListBullet"/>
      </w:pPr>
      <w:r>
        <w:t>Optimize for maintainability and observable correctness before optimization for scale.</w:t>
      </w:r>
    </w:p>
    <w:p w14:paraId="7C096B2A" w14:textId="77777777" w:rsidR="00AA25F9" w:rsidRDefault="00000000">
      <w:pPr>
        <w:pStyle w:val="Heading1"/>
      </w:pPr>
      <w:r>
        <w:rPr>
          <w:rFonts w:ascii="Avenir Next" w:eastAsia="Avenir Next" w:hAnsi="Avenir Next"/>
        </w:rPr>
        <w:t>11. Documentation Philosophy</w:t>
      </w:r>
    </w:p>
    <w:p w14:paraId="1061176E" w14:textId="77777777" w:rsidR="00AA25F9" w:rsidRDefault="00000000">
      <w:r>
        <w:t>Documentation evolves with the software. The objective is not to predict every future detail; it is to keep the current design, setup, interfaces, and decisions accurate enough that a maintainer can form a correct mental model.</w:t>
      </w:r>
    </w:p>
    <w:tbl>
      <w:tblPr>
        <w:tblStyle w:val="TableGrid"/>
        <w:tblW w:w="9120" w:type="dxa"/>
        <w:tblInd w:w="120" w:type="dxa"/>
        <w:tblLayout w:type="fixed"/>
        <w:tblLook w:val="04A0" w:firstRow="1" w:lastRow="0" w:firstColumn="1" w:lastColumn="0" w:noHBand="0" w:noVBand="1"/>
      </w:tblPr>
      <w:tblGrid>
        <w:gridCol w:w="3400"/>
        <w:gridCol w:w="3100"/>
        <w:gridCol w:w="2620"/>
      </w:tblGrid>
      <w:tr w:rsidR="00AA25F9" w14:paraId="21341384" w14:textId="77777777">
        <w:trPr>
          <w:tblHeader/>
        </w:trPr>
        <w:tc>
          <w:tcPr>
            <w:tcW w:w="3400" w:type="dxa"/>
            <w:shd w:val="clear" w:color="auto" w:fill="2E5E86"/>
            <w:tcMar>
              <w:top w:w="100" w:type="dxa"/>
              <w:left w:w="120" w:type="dxa"/>
              <w:bottom w:w="100" w:type="dxa"/>
              <w:right w:w="120" w:type="dxa"/>
            </w:tcMar>
            <w:vAlign w:val="center"/>
          </w:tcPr>
          <w:p w14:paraId="77CCA376" w14:textId="77777777" w:rsidR="00AA25F9" w:rsidRDefault="00000000">
            <w:pPr>
              <w:spacing w:after="0" w:line="252" w:lineRule="auto"/>
            </w:pPr>
            <w:r>
              <w:rPr>
                <w:b/>
                <w:color w:val="FFFFFF"/>
                <w:sz w:val="20"/>
              </w:rPr>
              <w:t>Artifact</w:t>
            </w:r>
          </w:p>
        </w:tc>
        <w:tc>
          <w:tcPr>
            <w:tcW w:w="3100" w:type="dxa"/>
            <w:shd w:val="clear" w:color="auto" w:fill="2E5E86"/>
            <w:tcMar>
              <w:top w:w="100" w:type="dxa"/>
              <w:left w:w="120" w:type="dxa"/>
              <w:bottom w:w="100" w:type="dxa"/>
              <w:right w:w="120" w:type="dxa"/>
            </w:tcMar>
            <w:vAlign w:val="center"/>
          </w:tcPr>
          <w:p w14:paraId="00A7D12B" w14:textId="77777777" w:rsidR="00AA25F9" w:rsidRDefault="00000000">
            <w:pPr>
              <w:spacing w:after="0" w:line="252" w:lineRule="auto"/>
            </w:pPr>
            <w:r>
              <w:rPr>
                <w:b/>
                <w:color w:val="FFFFFF"/>
                <w:sz w:val="20"/>
              </w:rPr>
              <w:t>Purpose</w:t>
            </w:r>
          </w:p>
        </w:tc>
        <w:tc>
          <w:tcPr>
            <w:tcW w:w="2620" w:type="dxa"/>
            <w:shd w:val="clear" w:color="auto" w:fill="2E5E86"/>
            <w:tcMar>
              <w:top w:w="100" w:type="dxa"/>
              <w:left w:w="120" w:type="dxa"/>
              <w:bottom w:w="100" w:type="dxa"/>
              <w:right w:w="120" w:type="dxa"/>
            </w:tcMar>
            <w:vAlign w:val="center"/>
          </w:tcPr>
          <w:p w14:paraId="4110164B" w14:textId="77777777" w:rsidR="00AA25F9" w:rsidRDefault="00000000">
            <w:pPr>
              <w:spacing w:after="0" w:line="252" w:lineRule="auto"/>
            </w:pPr>
            <w:r>
              <w:rPr>
                <w:b/>
                <w:color w:val="FFFFFF"/>
                <w:sz w:val="20"/>
              </w:rPr>
              <w:t>Update trigger</w:t>
            </w:r>
          </w:p>
        </w:tc>
      </w:tr>
      <w:tr w:rsidR="00AA25F9" w14:paraId="5B7FA3EF" w14:textId="77777777">
        <w:tc>
          <w:tcPr>
            <w:tcW w:w="3400" w:type="dxa"/>
            <w:tcMar>
              <w:top w:w="100" w:type="dxa"/>
              <w:left w:w="120" w:type="dxa"/>
              <w:bottom w:w="100" w:type="dxa"/>
              <w:right w:w="120" w:type="dxa"/>
            </w:tcMar>
            <w:vAlign w:val="center"/>
          </w:tcPr>
          <w:p w14:paraId="65DD6CD8" w14:textId="77777777" w:rsidR="00AA25F9" w:rsidRDefault="00000000">
            <w:pPr>
              <w:spacing w:after="0" w:line="252" w:lineRule="auto"/>
            </w:pPr>
            <w:r>
              <w:rPr>
                <w:sz w:val="20"/>
              </w:rPr>
              <w:t>README.md</w:t>
            </w:r>
          </w:p>
        </w:tc>
        <w:tc>
          <w:tcPr>
            <w:tcW w:w="3100" w:type="dxa"/>
            <w:tcMar>
              <w:top w:w="100" w:type="dxa"/>
              <w:left w:w="120" w:type="dxa"/>
              <w:bottom w:w="100" w:type="dxa"/>
              <w:right w:w="120" w:type="dxa"/>
            </w:tcMar>
            <w:vAlign w:val="center"/>
          </w:tcPr>
          <w:p w14:paraId="7AA575A7" w14:textId="77777777" w:rsidR="00AA25F9" w:rsidRDefault="00000000">
            <w:pPr>
              <w:spacing w:after="0" w:line="252" w:lineRule="auto"/>
            </w:pPr>
            <w:r>
              <w:rPr>
                <w:sz w:val="20"/>
              </w:rPr>
              <w:t>Public entry point for purpose, setup, usage, architecture summary, and project maturity.</w:t>
            </w:r>
          </w:p>
        </w:tc>
        <w:tc>
          <w:tcPr>
            <w:tcW w:w="2620" w:type="dxa"/>
            <w:tcMar>
              <w:top w:w="100" w:type="dxa"/>
              <w:left w:w="120" w:type="dxa"/>
              <w:bottom w:w="100" w:type="dxa"/>
              <w:right w:w="120" w:type="dxa"/>
            </w:tcMar>
            <w:vAlign w:val="center"/>
          </w:tcPr>
          <w:p w14:paraId="389F8A0B" w14:textId="77777777" w:rsidR="00AA25F9" w:rsidRDefault="00000000">
            <w:pPr>
              <w:spacing w:after="0" w:line="252" w:lineRule="auto"/>
            </w:pPr>
            <w:r>
              <w:rPr>
                <w:sz w:val="20"/>
              </w:rPr>
              <w:t>User-facing behavior or setup changes.</w:t>
            </w:r>
          </w:p>
        </w:tc>
      </w:tr>
      <w:tr w:rsidR="00AA25F9" w14:paraId="1CFC16BE" w14:textId="77777777">
        <w:tc>
          <w:tcPr>
            <w:tcW w:w="3400" w:type="dxa"/>
            <w:shd w:val="clear" w:color="auto" w:fill="F4F6F8"/>
            <w:tcMar>
              <w:top w:w="100" w:type="dxa"/>
              <w:left w:w="120" w:type="dxa"/>
              <w:bottom w:w="100" w:type="dxa"/>
              <w:right w:w="120" w:type="dxa"/>
            </w:tcMar>
            <w:vAlign w:val="center"/>
          </w:tcPr>
          <w:p w14:paraId="4AC0DCCB" w14:textId="77777777" w:rsidR="00AA25F9" w:rsidRDefault="00000000">
            <w:pPr>
              <w:spacing w:after="0" w:line="252" w:lineRule="auto"/>
            </w:pPr>
            <w:r>
              <w:rPr>
                <w:sz w:val="20"/>
              </w:rPr>
              <w:t>PROJECT_CONTEXT.docx</w:t>
            </w:r>
          </w:p>
        </w:tc>
        <w:tc>
          <w:tcPr>
            <w:tcW w:w="3100" w:type="dxa"/>
            <w:shd w:val="clear" w:color="auto" w:fill="F4F6F8"/>
            <w:tcMar>
              <w:top w:w="100" w:type="dxa"/>
              <w:left w:w="120" w:type="dxa"/>
              <w:bottom w:w="100" w:type="dxa"/>
              <w:right w:w="120" w:type="dxa"/>
            </w:tcMar>
            <w:vAlign w:val="center"/>
          </w:tcPr>
          <w:p w14:paraId="63E330D5" w14:textId="77777777" w:rsidR="00AA25F9" w:rsidRDefault="00000000">
            <w:pPr>
              <w:spacing w:after="0" w:line="252" w:lineRule="auto"/>
            </w:pPr>
            <w:r>
              <w:rPr>
                <w:sz w:val="20"/>
              </w:rPr>
              <w:t>Durable product intent, scope, principles, and engineering baseline.</w:t>
            </w:r>
          </w:p>
        </w:tc>
        <w:tc>
          <w:tcPr>
            <w:tcW w:w="2620" w:type="dxa"/>
            <w:shd w:val="clear" w:color="auto" w:fill="F4F6F8"/>
            <w:tcMar>
              <w:top w:w="100" w:type="dxa"/>
              <w:left w:w="120" w:type="dxa"/>
              <w:bottom w:w="100" w:type="dxa"/>
              <w:right w:w="120" w:type="dxa"/>
            </w:tcMar>
            <w:vAlign w:val="center"/>
          </w:tcPr>
          <w:p w14:paraId="1DD55A76" w14:textId="77777777" w:rsidR="00AA25F9" w:rsidRDefault="00000000">
            <w:pPr>
              <w:spacing w:after="0" w:line="252" w:lineRule="auto"/>
            </w:pPr>
            <w:r>
              <w:rPr>
                <w:sz w:val="20"/>
              </w:rPr>
              <w:t>A durable product or engineering decision changes.</w:t>
            </w:r>
          </w:p>
        </w:tc>
      </w:tr>
      <w:tr w:rsidR="00AA25F9" w14:paraId="016B3E5B" w14:textId="77777777">
        <w:tc>
          <w:tcPr>
            <w:tcW w:w="3400" w:type="dxa"/>
            <w:tcMar>
              <w:top w:w="100" w:type="dxa"/>
              <w:left w:w="120" w:type="dxa"/>
              <w:bottom w:w="100" w:type="dxa"/>
              <w:right w:w="120" w:type="dxa"/>
            </w:tcMar>
            <w:vAlign w:val="center"/>
          </w:tcPr>
          <w:p w14:paraId="0E014181" w14:textId="77777777" w:rsidR="00AA25F9" w:rsidRDefault="00000000">
            <w:pPr>
              <w:spacing w:after="0" w:line="252" w:lineRule="auto"/>
            </w:pPr>
            <w:r>
              <w:rPr>
                <w:sz w:val="20"/>
              </w:rPr>
              <w:t>ADRs</w:t>
            </w:r>
          </w:p>
        </w:tc>
        <w:tc>
          <w:tcPr>
            <w:tcW w:w="3100" w:type="dxa"/>
            <w:tcMar>
              <w:top w:w="100" w:type="dxa"/>
              <w:left w:w="120" w:type="dxa"/>
              <w:bottom w:w="100" w:type="dxa"/>
              <w:right w:w="120" w:type="dxa"/>
            </w:tcMar>
            <w:vAlign w:val="center"/>
          </w:tcPr>
          <w:p w14:paraId="613ABA78" w14:textId="77777777" w:rsidR="00AA25F9" w:rsidRDefault="00000000">
            <w:pPr>
              <w:spacing w:after="0" w:line="252" w:lineRule="auto"/>
            </w:pPr>
            <w:r>
              <w:rPr>
                <w:sz w:val="20"/>
              </w:rPr>
              <w:t>Context, options, decision, and consequences for a material technical choice.</w:t>
            </w:r>
          </w:p>
        </w:tc>
        <w:tc>
          <w:tcPr>
            <w:tcW w:w="2620" w:type="dxa"/>
            <w:tcMar>
              <w:top w:w="100" w:type="dxa"/>
              <w:left w:w="120" w:type="dxa"/>
              <w:bottom w:w="100" w:type="dxa"/>
              <w:right w:w="120" w:type="dxa"/>
            </w:tcMar>
            <w:vAlign w:val="center"/>
          </w:tcPr>
          <w:p w14:paraId="251067CF" w14:textId="77777777" w:rsidR="00AA25F9" w:rsidRDefault="00000000">
            <w:pPr>
              <w:spacing w:after="0" w:line="252" w:lineRule="auto"/>
            </w:pPr>
            <w:r>
              <w:rPr>
                <w:sz w:val="20"/>
              </w:rPr>
              <w:t>A significant architectural choice is accepted or replaced.</w:t>
            </w:r>
          </w:p>
        </w:tc>
      </w:tr>
      <w:tr w:rsidR="00AA25F9" w14:paraId="21ABC57D" w14:textId="77777777">
        <w:tc>
          <w:tcPr>
            <w:tcW w:w="3400" w:type="dxa"/>
            <w:shd w:val="clear" w:color="auto" w:fill="F4F6F8"/>
            <w:tcMar>
              <w:top w:w="100" w:type="dxa"/>
              <w:left w:w="120" w:type="dxa"/>
              <w:bottom w:w="100" w:type="dxa"/>
              <w:right w:w="120" w:type="dxa"/>
            </w:tcMar>
            <w:vAlign w:val="center"/>
          </w:tcPr>
          <w:p w14:paraId="0A43C77C" w14:textId="77777777" w:rsidR="00AA25F9" w:rsidRDefault="00000000">
            <w:pPr>
              <w:spacing w:after="0" w:line="252" w:lineRule="auto"/>
            </w:pPr>
            <w:r>
              <w:rPr>
                <w:sz w:val="20"/>
              </w:rPr>
              <w:t>API documentation</w:t>
            </w:r>
          </w:p>
        </w:tc>
        <w:tc>
          <w:tcPr>
            <w:tcW w:w="3100" w:type="dxa"/>
            <w:shd w:val="clear" w:color="auto" w:fill="F4F6F8"/>
            <w:tcMar>
              <w:top w:w="100" w:type="dxa"/>
              <w:left w:w="120" w:type="dxa"/>
              <w:bottom w:w="100" w:type="dxa"/>
              <w:right w:w="120" w:type="dxa"/>
            </w:tcMar>
            <w:vAlign w:val="center"/>
          </w:tcPr>
          <w:p w14:paraId="654889C8" w14:textId="77777777" w:rsidR="00AA25F9" w:rsidRDefault="00000000">
            <w:pPr>
              <w:spacing w:after="0" w:line="252" w:lineRule="auto"/>
            </w:pPr>
            <w:r>
              <w:rPr>
                <w:sz w:val="20"/>
              </w:rPr>
              <w:t>Request/response contracts, errors, and examples.</w:t>
            </w:r>
          </w:p>
        </w:tc>
        <w:tc>
          <w:tcPr>
            <w:tcW w:w="2620" w:type="dxa"/>
            <w:shd w:val="clear" w:color="auto" w:fill="F4F6F8"/>
            <w:tcMar>
              <w:top w:w="100" w:type="dxa"/>
              <w:left w:w="120" w:type="dxa"/>
              <w:bottom w:w="100" w:type="dxa"/>
              <w:right w:w="120" w:type="dxa"/>
            </w:tcMar>
            <w:vAlign w:val="center"/>
          </w:tcPr>
          <w:p w14:paraId="2ADAA9AB" w14:textId="77777777" w:rsidR="00AA25F9" w:rsidRDefault="00000000">
            <w:pPr>
              <w:spacing w:after="0" w:line="252" w:lineRule="auto"/>
            </w:pPr>
            <w:r>
              <w:rPr>
                <w:sz w:val="20"/>
              </w:rPr>
              <w:t>An endpoint contract changes.</w:t>
            </w:r>
          </w:p>
        </w:tc>
      </w:tr>
      <w:tr w:rsidR="00AA25F9" w14:paraId="607C4613" w14:textId="77777777">
        <w:tc>
          <w:tcPr>
            <w:tcW w:w="3400" w:type="dxa"/>
            <w:tcMar>
              <w:top w:w="100" w:type="dxa"/>
              <w:left w:w="120" w:type="dxa"/>
              <w:bottom w:w="100" w:type="dxa"/>
              <w:right w:w="120" w:type="dxa"/>
            </w:tcMar>
            <w:vAlign w:val="center"/>
          </w:tcPr>
          <w:p w14:paraId="55C40102" w14:textId="77777777" w:rsidR="00AA25F9" w:rsidRDefault="00000000">
            <w:pPr>
              <w:spacing w:after="0" w:line="252" w:lineRule="auto"/>
            </w:pPr>
            <w:r>
              <w:rPr>
                <w:sz w:val="20"/>
              </w:rPr>
              <w:t>Release notes</w:t>
            </w:r>
          </w:p>
        </w:tc>
        <w:tc>
          <w:tcPr>
            <w:tcW w:w="3100" w:type="dxa"/>
            <w:tcMar>
              <w:top w:w="100" w:type="dxa"/>
              <w:left w:w="120" w:type="dxa"/>
              <w:bottom w:w="100" w:type="dxa"/>
              <w:right w:w="120" w:type="dxa"/>
            </w:tcMar>
            <w:vAlign w:val="center"/>
          </w:tcPr>
          <w:p w14:paraId="5B679732" w14:textId="77777777" w:rsidR="00AA25F9" w:rsidRDefault="00000000">
            <w:pPr>
              <w:spacing w:after="0" w:line="252" w:lineRule="auto"/>
            </w:pPr>
            <w:r>
              <w:rPr>
                <w:sz w:val="20"/>
              </w:rPr>
              <w:t>User-visible additions, fixes, and breaking changes.</w:t>
            </w:r>
          </w:p>
        </w:tc>
        <w:tc>
          <w:tcPr>
            <w:tcW w:w="2620" w:type="dxa"/>
            <w:tcMar>
              <w:top w:w="100" w:type="dxa"/>
              <w:left w:w="120" w:type="dxa"/>
              <w:bottom w:w="100" w:type="dxa"/>
              <w:right w:w="120" w:type="dxa"/>
            </w:tcMar>
            <w:vAlign w:val="center"/>
          </w:tcPr>
          <w:p w14:paraId="30204177" w14:textId="77777777" w:rsidR="00AA25F9" w:rsidRDefault="00000000">
            <w:pPr>
              <w:spacing w:after="0" w:line="252" w:lineRule="auto"/>
            </w:pPr>
            <w:r>
              <w:rPr>
                <w:sz w:val="20"/>
              </w:rPr>
              <w:t>Each tagged release.</w:t>
            </w:r>
          </w:p>
        </w:tc>
      </w:tr>
    </w:tbl>
    <w:p w14:paraId="1A992A8F" w14:textId="77777777" w:rsidR="00AA25F9" w:rsidRDefault="00AA25F9">
      <w:pPr>
        <w:spacing w:after="0"/>
      </w:pPr>
    </w:p>
    <w:p w14:paraId="010279C2" w14:textId="77777777" w:rsidR="00AA25F9" w:rsidRDefault="00000000">
      <w:r>
        <w:t>Documentation should explain what is true now, clearly label proposals, and avoid repeating implementation details that are already clear in the code.</w:t>
      </w:r>
    </w:p>
    <w:p w14:paraId="5705B7BB" w14:textId="77777777" w:rsidR="00AA25F9" w:rsidRDefault="00000000">
      <w:pPr>
        <w:pStyle w:val="Heading1"/>
      </w:pPr>
      <w:r>
        <w:rPr>
          <w:rFonts w:ascii="Avenir Next" w:eastAsia="Avenir Next" w:hAnsi="Avenir Next"/>
        </w:rPr>
        <w:t>12. Development Workflow</w:t>
      </w:r>
    </w:p>
    <w:p w14:paraId="116659E1" w14:textId="77777777" w:rsidR="00AA25F9" w:rsidRDefault="00000000">
      <w:r>
        <w:t>1. Frame. Define the user outcome, acceptance criteria, and whether the change belongs in the current release.</w:t>
      </w:r>
    </w:p>
    <w:p w14:paraId="1E92BC9F" w14:textId="77777777" w:rsidR="00AA25F9" w:rsidRDefault="00000000">
      <w:r>
        <w:t>2. Design. Identify affected boundaries, data changes, failure behavior, security implications, and documentation impact.</w:t>
      </w:r>
    </w:p>
    <w:p w14:paraId="7E5AD5DB" w14:textId="77777777" w:rsidR="00AA25F9" w:rsidRDefault="00000000">
      <w:r>
        <w:t>3. Implement. Work in a focused branch; keep commits coherent and avoid mixing unrelated cleanup with behavior changes.</w:t>
      </w:r>
    </w:p>
    <w:p w14:paraId="7DCB384D" w14:textId="77777777" w:rsidR="00AA25F9" w:rsidRDefault="00000000">
      <w:r>
        <w:t>4. Verify. Run automated tests, exercise the end-to-end path, inspect logs/output, and add regression coverage for fixed defects.</w:t>
      </w:r>
    </w:p>
    <w:p w14:paraId="783BEB03" w14:textId="77777777" w:rsidR="00AA25F9" w:rsidRDefault="00000000">
      <w:r>
        <w:t>5. Review. Check correctness, clarity, compatibility, error handling, privacy, and whether complexity is justified.</w:t>
      </w:r>
    </w:p>
    <w:p w14:paraId="2DB3DAD6" w14:textId="77777777" w:rsidR="00AA25F9" w:rsidRDefault="00000000">
      <w:r>
        <w:t>6. Integrate and release. Merge after checks pass; update relevant documentation; tag releases from a stable main branch.</w:t>
      </w:r>
    </w:p>
    <w:p w14:paraId="67DF0A3F" w14:textId="77777777" w:rsidR="00AA25F9" w:rsidRDefault="00000000">
      <w:pPr>
        <w:pStyle w:val="Heading2"/>
      </w:pPr>
      <w:r>
        <w:rPr>
          <w:rFonts w:ascii="Avenir Next" w:eastAsia="Avenir Next" w:hAnsi="Avenir Next"/>
        </w:rPr>
        <w:t>Definition of done</w:t>
      </w:r>
    </w:p>
    <w:p w14:paraId="7299102A" w14:textId="77777777" w:rsidR="00AA25F9" w:rsidRDefault="00000000">
      <w:pPr>
        <w:pStyle w:val="ListBullet"/>
      </w:pPr>
      <w:r>
        <w:t>Acceptance criteria are met and important failure paths are handled.</w:t>
      </w:r>
    </w:p>
    <w:p w14:paraId="750E1011" w14:textId="77777777" w:rsidR="00AA25F9" w:rsidRDefault="00000000">
      <w:pPr>
        <w:pStyle w:val="ListBullet"/>
      </w:pPr>
      <w:r>
        <w:t>Tests pass and new behavior has proportionate automated coverage.</w:t>
      </w:r>
    </w:p>
    <w:p w14:paraId="378B6346" w14:textId="77777777" w:rsidR="00AA25F9" w:rsidRDefault="00000000">
      <w:pPr>
        <w:pStyle w:val="ListBullet"/>
      </w:pPr>
      <w:r>
        <w:t>No secrets or personal data were introduced into tracked files or test fixtures.</w:t>
      </w:r>
    </w:p>
    <w:p w14:paraId="796C3B15" w14:textId="77777777" w:rsidR="00AA25F9" w:rsidRDefault="00000000">
      <w:pPr>
        <w:pStyle w:val="ListBullet"/>
      </w:pPr>
      <w:r>
        <w:t>Public or durable internal documentation reflects the change.</w:t>
      </w:r>
    </w:p>
    <w:p w14:paraId="48239FD8" w14:textId="77777777" w:rsidR="00AA25F9" w:rsidRDefault="00000000">
      <w:pPr>
        <w:pStyle w:val="ListBullet"/>
      </w:pPr>
      <w:r>
        <w:t>The branch is reviewable, and the release impact is identified as major, minor, patch, or no release.</w:t>
      </w:r>
    </w:p>
    <w:p w14:paraId="19B80E0B" w14:textId="77777777" w:rsidR="00AA25F9" w:rsidRDefault="00000000">
      <w:pPr>
        <w:pStyle w:val="Heading1"/>
      </w:pPr>
      <w:r>
        <w:rPr>
          <w:rFonts w:ascii="Avenir Next" w:eastAsia="Avenir Next" w:hAnsi="Avenir Next"/>
        </w:rPr>
        <w:t>13. Semantic Versioning Strategy</w:t>
      </w:r>
    </w:p>
    <w:p w14:paraId="44FF770A" w14:textId="77777777" w:rsidR="00AA25F9" w:rsidRDefault="00000000">
      <w:r>
        <w:t>RiseOS uses Semantic Versioning in a MAJOR.MINOR.PATCH format. Git tags and releases use the v prefix, such as v1.2.0, while product references may use 1.2.0. Version components are integers, not decimals, so 1.10.0 correctly follows 1.9.0.</w:t>
      </w:r>
    </w:p>
    <w:tbl>
      <w:tblPr>
        <w:tblStyle w:val="TableGrid"/>
        <w:tblW w:w="0" w:type="auto"/>
        <w:tblLayout w:type="fixed"/>
        <w:tblLook w:val="04A0" w:firstRow="1" w:lastRow="0" w:firstColumn="1" w:lastColumn="0" w:noHBand="0" w:noVBand="1"/>
      </w:tblPr>
      <w:tblGrid>
        <w:gridCol w:w="1440"/>
        <w:gridCol w:w="4608"/>
        <w:gridCol w:w="3312"/>
      </w:tblGrid>
      <w:tr w:rsidR="00AA25F9" w14:paraId="5BCCF7C0" w14:textId="77777777">
        <w:trPr>
          <w:tblHeader/>
        </w:trPr>
        <w:tc>
          <w:tcPr>
            <w:tcW w:w="1440" w:type="dxa"/>
            <w:shd w:val="clear" w:color="auto" w:fill="2E5E86"/>
            <w:tcMar>
              <w:top w:w="100" w:type="dxa"/>
              <w:left w:w="120" w:type="dxa"/>
              <w:bottom w:w="100" w:type="dxa"/>
              <w:right w:w="120" w:type="dxa"/>
            </w:tcMar>
            <w:vAlign w:val="center"/>
          </w:tcPr>
          <w:p w14:paraId="17869992" w14:textId="77777777" w:rsidR="00AA25F9" w:rsidRDefault="00000000">
            <w:pPr>
              <w:spacing w:after="0" w:line="252" w:lineRule="auto"/>
            </w:pPr>
            <w:r>
              <w:rPr>
                <w:b/>
                <w:color w:val="FFFFFF"/>
                <w:sz w:val="20"/>
              </w:rPr>
              <w:t>Increment</w:t>
            </w:r>
          </w:p>
        </w:tc>
        <w:tc>
          <w:tcPr>
            <w:tcW w:w="4608" w:type="dxa"/>
            <w:shd w:val="clear" w:color="auto" w:fill="2E5E86"/>
            <w:tcMar>
              <w:top w:w="100" w:type="dxa"/>
              <w:left w:w="120" w:type="dxa"/>
              <w:bottom w:w="100" w:type="dxa"/>
              <w:right w:w="120" w:type="dxa"/>
            </w:tcMar>
            <w:vAlign w:val="center"/>
          </w:tcPr>
          <w:p w14:paraId="21BE2ED6" w14:textId="77777777" w:rsidR="00AA25F9" w:rsidRDefault="00000000">
            <w:pPr>
              <w:spacing w:after="0" w:line="252" w:lineRule="auto"/>
            </w:pPr>
            <w:r>
              <w:rPr>
                <w:b/>
                <w:color w:val="FFFFFF"/>
                <w:sz w:val="20"/>
              </w:rPr>
              <w:t>Use when</w:t>
            </w:r>
          </w:p>
        </w:tc>
        <w:tc>
          <w:tcPr>
            <w:tcW w:w="3312" w:type="dxa"/>
            <w:shd w:val="clear" w:color="auto" w:fill="2E5E86"/>
            <w:tcMar>
              <w:top w:w="100" w:type="dxa"/>
              <w:left w:w="120" w:type="dxa"/>
              <w:bottom w:w="100" w:type="dxa"/>
              <w:right w:w="120" w:type="dxa"/>
            </w:tcMar>
            <w:vAlign w:val="center"/>
          </w:tcPr>
          <w:p w14:paraId="18179572" w14:textId="77777777" w:rsidR="00AA25F9" w:rsidRDefault="00000000">
            <w:pPr>
              <w:spacing w:after="0" w:line="252" w:lineRule="auto"/>
            </w:pPr>
            <w:r>
              <w:rPr>
                <w:b/>
                <w:color w:val="FFFFFF"/>
                <w:sz w:val="20"/>
              </w:rPr>
              <w:t>RiseOS example</w:t>
            </w:r>
          </w:p>
        </w:tc>
      </w:tr>
      <w:tr w:rsidR="00AA25F9" w14:paraId="5D75A11A" w14:textId="77777777">
        <w:tc>
          <w:tcPr>
            <w:tcW w:w="1440" w:type="dxa"/>
            <w:tcMar>
              <w:top w:w="100" w:type="dxa"/>
              <w:left w:w="120" w:type="dxa"/>
              <w:bottom w:w="100" w:type="dxa"/>
              <w:right w:w="120" w:type="dxa"/>
            </w:tcMar>
            <w:vAlign w:val="center"/>
          </w:tcPr>
          <w:p w14:paraId="61496993" w14:textId="77777777" w:rsidR="00AA25F9" w:rsidRDefault="00000000">
            <w:pPr>
              <w:spacing w:after="0" w:line="252" w:lineRule="auto"/>
            </w:pPr>
            <w:r>
              <w:rPr>
                <w:sz w:val="20"/>
              </w:rPr>
              <w:t>MAJOR</w:t>
            </w:r>
          </w:p>
        </w:tc>
        <w:tc>
          <w:tcPr>
            <w:tcW w:w="4608" w:type="dxa"/>
            <w:tcMar>
              <w:top w:w="100" w:type="dxa"/>
              <w:left w:w="120" w:type="dxa"/>
              <w:bottom w:w="100" w:type="dxa"/>
              <w:right w:w="120" w:type="dxa"/>
            </w:tcMar>
            <w:vAlign w:val="center"/>
          </w:tcPr>
          <w:p w14:paraId="58640AA9" w14:textId="77777777" w:rsidR="00AA25F9" w:rsidRDefault="00000000">
            <w:pPr>
              <w:spacing w:after="0" w:line="252" w:lineRule="auto"/>
            </w:pPr>
            <w:r>
              <w:rPr>
                <w:sz w:val="20"/>
              </w:rPr>
              <w:t>An incompatible API, configuration, data, or extension contract changes after 1.0.0.</w:t>
            </w:r>
          </w:p>
        </w:tc>
        <w:tc>
          <w:tcPr>
            <w:tcW w:w="3312" w:type="dxa"/>
            <w:tcMar>
              <w:top w:w="100" w:type="dxa"/>
              <w:left w:w="120" w:type="dxa"/>
              <w:bottom w:w="100" w:type="dxa"/>
              <w:right w:w="120" w:type="dxa"/>
            </w:tcMar>
            <w:vAlign w:val="center"/>
          </w:tcPr>
          <w:p w14:paraId="10F9E291" w14:textId="77777777" w:rsidR="00AA25F9" w:rsidRDefault="00000000">
            <w:pPr>
              <w:spacing w:after="0" w:line="252" w:lineRule="auto"/>
            </w:pPr>
            <w:r>
              <w:rPr>
                <w:sz w:val="20"/>
              </w:rPr>
              <w:t>2.0.0 changes a stable briefing/API contract and requires migration.</w:t>
            </w:r>
          </w:p>
        </w:tc>
      </w:tr>
      <w:tr w:rsidR="00AA25F9" w14:paraId="16A84D6B" w14:textId="77777777">
        <w:tc>
          <w:tcPr>
            <w:tcW w:w="1440" w:type="dxa"/>
            <w:shd w:val="clear" w:color="auto" w:fill="F4F6F8"/>
            <w:tcMar>
              <w:top w:w="100" w:type="dxa"/>
              <w:left w:w="120" w:type="dxa"/>
              <w:bottom w:w="100" w:type="dxa"/>
              <w:right w:w="120" w:type="dxa"/>
            </w:tcMar>
            <w:vAlign w:val="center"/>
          </w:tcPr>
          <w:p w14:paraId="04B246C7" w14:textId="77777777" w:rsidR="00AA25F9" w:rsidRDefault="00000000">
            <w:pPr>
              <w:spacing w:after="0" w:line="252" w:lineRule="auto"/>
            </w:pPr>
            <w:r>
              <w:rPr>
                <w:sz w:val="20"/>
              </w:rPr>
              <w:t>MINOR</w:t>
            </w:r>
          </w:p>
        </w:tc>
        <w:tc>
          <w:tcPr>
            <w:tcW w:w="4608" w:type="dxa"/>
            <w:shd w:val="clear" w:color="auto" w:fill="F4F6F8"/>
            <w:tcMar>
              <w:top w:w="100" w:type="dxa"/>
              <w:left w:w="120" w:type="dxa"/>
              <w:bottom w:w="100" w:type="dxa"/>
              <w:right w:w="120" w:type="dxa"/>
            </w:tcMar>
            <w:vAlign w:val="center"/>
          </w:tcPr>
          <w:p w14:paraId="4651FC16" w14:textId="77777777" w:rsidR="00AA25F9" w:rsidRDefault="00000000">
            <w:pPr>
              <w:spacing w:after="0" w:line="252" w:lineRule="auto"/>
            </w:pPr>
            <w:r>
              <w:rPr>
                <w:sz w:val="20"/>
              </w:rPr>
              <w:t>Backward-compatible functionality is added.</w:t>
            </w:r>
          </w:p>
        </w:tc>
        <w:tc>
          <w:tcPr>
            <w:tcW w:w="3312" w:type="dxa"/>
            <w:shd w:val="clear" w:color="auto" w:fill="F4F6F8"/>
            <w:tcMar>
              <w:top w:w="100" w:type="dxa"/>
              <w:left w:w="120" w:type="dxa"/>
              <w:bottom w:w="100" w:type="dxa"/>
              <w:right w:w="120" w:type="dxa"/>
            </w:tcMar>
            <w:vAlign w:val="center"/>
          </w:tcPr>
          <w:p w14:paraId="5240AFE2" w14:textId="77777777" w:rsidR="00AA25F9" w:rsidRDefault="00000000">
            <w:pPr>
              <w:spacing w:after="0" w:line="252" w:lineRule="auto"/>
            </w:pPr>
            <w:r>
              <w:rPr>
                <w:sz w:val="20"/>
              </w:rPr>
              <w:t xml:space="preserve">1.3.0 adds a new source adapter </w:t>
            </w:r>
            <w:r>
              <w:rPr>
                <w:sz w:val="20"/>
              </w:rPr>
              <w:lastRenderedPageBreak/>
              <w:t>or user-facing module.</w:t>
            </w:r>
          </w:p>
        </w:tc>
      </w:tr>
      <w:tr w:rsidR="00AA25F9" w14:paraId="1F3C37A2" w14:textId="77777777">
        <w:tc>
          <w:tcPr>
            <w:tcW w:w="1440" w:type="dxa"/>
            <w:tcMar>
              <w:top w:w="100" w:type="dxa"/>
              <w:left w:w="120" w:type="dxa"/>
              <w:bottom w:w="100" w:type="dxa"/>
              <w:right w:w="120" w:type="dxa"/>
            </w:tcMar>
            <w:vAlign w:val="center"/>
          </w:tcPr>
          <w:p w14:paraId="51AEACF4" w14:textId="77777777" w:rsidR="00AA25F9" w:rsidRDefault="00000000">
            <w:pPr>
              <w:spacing w:after="0" w:line="252" w:lineRule="auto"/>
            </w:pPr>
            <w:r>
              <w:rPr>
                <w:sz w:val="20"/>
              </w:rPr>
              <w:t>PATCH</w:t>
            </w:r>
          </w:p>
        </w:tc>
        <w:tc>
          <w:tcPr>
            <w:tcW w:w="4608" w:type="dxa"/>
            <w:tcMar>
              <w:top w:w="100" w:type="dxa"/>
              <w:left w:w="120" w:type="dxa"/>
              <w:bottom w:w="100" w:type="dxa"/>
              <w:right w:w="120" w:type="dxa"/>
            </w:tcMar>
            <w:vAlign w:val="center"/>
          </w:tcPr>
          <w:p w14:paraId="352DF77D" w14:textId="77777777" w:rsidR="00AA25F9" w:rsidRDefault="00000000">
            <w:pPr>
              <w:spacing w:after="0" w:line="252" w:lineRule="auto"/>
            </w:pPr>
            <w:r>
              <w:rPr>
                <w:sz w:val="20"/>
              </w:rPr>
              <w:t>A backward-compatible defect, security fix, or small internal correction ships.</w:t>
            </w:r>
          </w:p>
        </w:tc>
        <w:tc>
          <w:tcPr>
            <w:tcW w:w="3312" w:type="dxa"/>
            <w:tcMar>
              <w:top w:w="100" w:type="dxa"/>
              <w:left w:w="120" w:type="dxa"/>
              <w:bottom w:w="100" w:type="dxa"/>
              <w:right w:w="120" w:type="dxa"/>
            </w:tcMar>
            <w:vAlign w:val="center"/>
          </w:tcPr>
          <w:p w14:paraId="3F7C5100" w14:textId="77777777" w:rsidR="00AA25F9" w:rsidRDefault="00000000">
            <w:pPr>
              <w:spacing w:after="0" w:line="252" w:lineRule="auto"/>
            </w:pPr>
            <w:r>
              <w:rPr>
                <w:sz w:val="20"/>
              </w:rPr>
              <w:t>1.3.1 fixes weather timeout handling.</w:t>
            </w:r>
          </w:p>
        </w:tc>
      </w:tr>
    </w:tbl>
    <w:p w14:paraId="642EF207" w14:textId="77777777" w:rsidR="00AA25F9" w:rsidRDefault="00AA25F9">
      <w:pPr>
        <w:spacing w:after="0"/>
      </w:pPr>
    </w:p>
    <w:p w14:paraId="7807EEE0" w14:textId="77777777" w:rsidR="00AA25F9" w:rsidRDefault="00000000">
      <w:pPr>
        <w:pStyle w:val="Heading2"/>
      </w:pPr>
      <w:r>
        <w:rPr>
          <w:rFonts w:ascii="Avenir Next" w:eastAsia="Avenir Next" w:hAnsi="Avenir Next"/>
        </w:rPr>
        <w:t>Release baseline</w:t>
      </w:r>
    </w:p>
    <w:p w14:paraId="6363FCA3" w14:textId="77777777" w:rsidR="00AA25F9" w:rsidRDefault="00000000">
      <w:r>
        <w:t>The first release labeled 1.0.0 should represent a credible MVP: the documented end-to-end workflow works, stable interfaces are identified, setup is reproducible, and core behavior is tested. Development snapshots may use pre-release identifiers such as 1.0.0-alpha.1 or 1.0.0-rc.1; routine commits do not each require a version bump.</w:t>
      </w:r>
    </w:p>
    <w:p w14:paraId="0DDFDD66" w14:textId="77777777" w:rsidR="00AA25F9" w:rsidRDefault="00000000">
      <w:r>
        <w:t>Major releases are driven by compatibility, not by the number of minor releases. A sequence may legitimately continue through 1.9.0, 1.10.0, and 1.11.0 without becoming 2.0.0.</w:t>
      </w:r>
    </w:p>
    <w:p w14:paraId="603D3FE9" w14:textId="77777777" w:rsidR="00AA25F9" w:rsidRDefault="00000000">
      <w:pPr>
        <w:pStyle w:val="Heading1"/>
      </w:pPr>
      <w:r>
        <w:rPr>
          <w:rFonts w:ascii="Avenir Next" w:eastAsia="Avenir Next" w:hAnsi="Avenir Next"/>
        </w:rPr>
        <w:t>14. Git Workflow</w:t>
      </w:r>
    </w:p>
    <w:p w14:paraId="28C9ADC7" w14:textId="77777777" w:rsidR="00AA25F9" w:rsidRDefault="00000000">
      <w:pPr>
        <w:pStyle w:val="ListBullet"/>
      </w:pPr>
      <w:r>
        <w:t>main remains releasable; direct feature work occurs on short-lived branches.</w:t>
      </w:r>
    </w:p>
    <w:p w14:paraId="5C1C86DB" w14:textId="77777777" w:rsidR="00AA25F9" w:rsidRDefault="00000000">
      <w:pPr>
        <w:pStyle w:val="ListBullet"/>
      </w:pPr>
      <w:r>
        <w:t>Use descriptive branch names such as feat/weather-adapter, fix/event-query-validation, or docs/project-context.</w:t>
      </w:r>
    </w:p>
    <w:p w14:paraId="4D6E580C" w14:textId="77777777" w:rsidR="00AA25F9" w:rsidRDefault="00000000">
      <w:pPr>
        <w:pStyle w:val="ListBullet"/>
      </w:pPr>
      <w:r>
        <w:t>Prefer small, focused commits with imperative messages that describe intent.</w:t>
      </w:r>
    </w:p>
    <w:p w14:paraId="1D34B20F" w14:textId="77777777" w:rsidR="00AA25F9" w:rsidRDefault="00000000">
      <w:pPr>
        <w:pStyle w:val="ListBullet"/>
      </w:pPr>
      <w:r>
        <w:t>Open a reviewable pull request for meaningful changes, even in a solo workflow when the review record adds value.</w:t>
      </w:r>
    </w:p>
    <w:p w14:paraId="099F99EE" w14:textId="77777777" w:rsidR="00AA25F9" w:rsidRDefault="00000000">
      <w:pPr>
        <w:pStyle w:val="ListBullet"/>
      </w:pPr>
      <w:r>
        <w:t>Require relevant tests and documentation checks before merge.</w:t>
      </w:r>
    </w:p>
    <w:p w14:paraId="4AE106F1" w14:textId="77777777" w:rsidR="00AA25F9" w:rsidRDefault="00000000">
      <w:pPr>
        <w:pStyle w:val="ListBullet"/>
      </w:pPr>
      <w:r>
        <w:t>Tag releases from main using signed or annotated tags when practical; never move a published release tag.</w:t>
      </w:r>
    </w:p>
    <w:p w14:paraId="35D43055" w14:textId="77777777" w:rsidR="00AA25F9" w:rsidRDefault="00000000">
      <w:pPr>
        <w:pStyle w:val="ListBullet"/>
      </w:pPr>
      <w:r>
        <w:t>Do not commit secrets, local databases, generated briefs containing personal data, virtual environments, or editor artifacts.</w:t>
      </w:r>
    </w:p>
    <w:p w14:paraId="284EEC1F" w14:textId="77777777" w:rsidR="00AA25F9" w:rsidRDefault="00000000">
      <w:pPr>
        <w:pStyle w:val="Heading1"/>
      </w:pPr>
      <w:r>
        <w:rPr>
          <w:rFonts w:ascii="Avenir Next" w:eastAsia="Avenir Next" w:hAnsi="Avenir Next"/>
        </w:rPr>
        <w:t>15. Coding Standards</w:t>
      </w:r>
    </w:p>
    <w:p w14:paraId="76C5206C" w14:textId="77777777" w:rsidR="00AA25F9" w:rsidRDefault="00000000">
      <w:pPr>
        <w:pStyle w:val="ListBullet"/>
      </w:pPr>
      <w:r>
        <w:t>Follow current Python style conventions and use an automated formatter and linter selected by the repository configuration.</w:t>
      </w:r>
    </w:p>
    <w:p w14:paraId="0379D429" w14:textId="77777777" w:rsidR="00AA25F9" w:rsidRDefault="00000000">
      <w:pPr>
        <w:pStyle w:val="ListBullet"/>
      </w:pPr>
      <w:r>
        <w:t>Use type hints for public interfaces and non-trivial domain structures; prefer explicit data models over loosely shaped dictionaries at boundaries.</w:t>
      </w:r>
    </w:p>
    <w:p w14:paraId="73CCE535" w14:textId="77777777" w:rsidR="00AA25F9" w:rsidRDefault="00000000">
      <w:pPr>
        <w:pStyle w:val="ListBullet"/>
      </w:pPr>
      <w:r>
        <w:t>Name functions and modules for responsibility; keep functions focused and avoid hidden global state.</w:t>
      </w:r>
    </w:p>
    <w:p w14:paraId="16822AED" w14:textId="77777777" w:rsidR="00AA25F9" w:rsidRDefault="00000000">
      <w:pPr>
        <w:pStyle w:val="ListBullet"/>
      </w:pPr>
      <w:r>
        <w:t>Use configuration and dependency injection for external clients, clocks, file paths, and repositories when this improves testability.</w:t>
      </w:r>
    </w:p>
    <w:p w14:paraId="1AB58591" w14:textId="77777777" w:rsidR="00AA25F9" w:rsidRDefault="00000000">
      <w:pPr>
        <w:pStyle w:val="ListBullet"/>
      </w:pPr>
      <w:r>
        <w:lastRenderedPageBreak/>
        <w:t>Use parameterized SQL and manage schema changes explicitly. Keep persistence logic out of route handlers.</w:t>
      </w:r>
    </w:p>
    <w:p w14:paraId="40D1B962" w14:textId="77777777" w:rsidR="00AA25F9" w:rsidRDefault="00000000">
      <w:pPr>
        <w:pStyle w:val="ListBullet"/>
      </w:pPr>
      <w:r>
        <w:t>Add timeouts to external calls; distinguish expected operational errors from programming defects.</w:t>
      </w:r>
    </w:p>
    <w:p w14:paraId="48C1B6CC" w14:textId="77777777" w:rsidR="00AA25F9" w:rsidRDefault="00000000">
      <w:pPr>
        <w:pStyle w:val="ListBullet"/>
      </w:pPr>
      <w:r>
        <w:t>Log actionable context without secrets or sensitive payloads. Use durable event records only for events that matter to the product.</w:t>
      </w:r>
    </w:p>
    <w:p w14:paraId="4A8E93EA" w14:textId="77777777" w:rsidR="00AA25F9" w:rsidRDefault="00000000">
      <w:pPr>
        <w:pStyle w:val="ListBullet"/>
      </w:pPr>
      <w:r>
        <w:t>Write tests around behavior and contracts. Avoid tests that merely mirror implementation details.</w:t>
      </w:r>
    </w:p>
    <w:p w14:paraId="5ACD4FBF" w14:textId="77777777" w:rsidR="00AA25F9" w:rsidRDefault="00000000">
      <w:pPr>
        <w:pStyle w:val="Heading1"/>
      </w:pPr>
      <w:r>
        <w:rPr>
          <w:rFonts w:ascii="Avenir Next" w:eastAsia="Avenir Next" w:hAnsi="Avenir Next"/>
        </w:rPr>
        <w:t>16. Technical Decisions</w:t>
      </w:r>
    </w:p>
    <w:tbl>
      <w:tblPr>
        <w:tblStyle w:val="TableGrid"/>
        <w:tblW w:w="0" w:type="auto"/>
        <w:tblLayout w:type="fixed"/>
        <w:tblLook w:val="04A0" w:firstRow="1" w:lastRow="0" w:firstColumn="1" w:lastColumn="0" w:noHBand="0" w:noVBand="1"/>
      </w:tblPr>
      <w:tblGrid>
        <w:gridCol w:w="2376"/>
        <w:gridCol w:w="1656"/>
        <w:gridCol w:w="5328"/>
      </w:tblGrid>
      <w:tr w:rsidR="00AA25F9" w14:paraId="23EAE187" w14:textId="77777777">
        <w:trPr>
          <w:tblHeader/>
        </w:trPr>
        <w:tc>
          <w:tcPr>
            <w:tcW w:w="2376" w:type="dxa"/>
            <w:shd w:val="clear" w:color="auto" w:fill="2E5E86"/>
            <w:tcMar>
              <w:top w:w="100" w:type="dxa"/>
              <w:left w:w="120" w:type="dxa"/>
              <w:bottom w:w="100" w:type="dxa"/>
              <w:right w:w="120" w:type="dxa"/>
            </w:tcMar>
            <w:vAlign w:val="center"/>
          </w:tcPr>
          <w:p w14:paraId="11794721" w14:textId="77777777" w:rsidR="00AA25F9" w:rsidRDefault="00000000">
            <w:pPr>
              <w:spacing w:after="0" w:line="252" w:lineRule="auto"/>
            </w:pPr>
            <w:r>
              <w:rPr>
                <w:b/>
                <w:color w:val="FFFFFF"/>
                <w:sz w:val="20"/>
              </w:rPr>
              <w:t>Decision</w:t>
            </w:r>
          </w:p>
        </w:tc>
        <w:tc>
          <w:tcPr>
            <w:tcW w:w="1656" w:type="dxa"/>
            <w:shd w:val="clear" w:color="auto" w:fill="2E5E86"/>
            <w:tcMar>
              <w:top w:w="100" w:type="dxa"/>
              <w:left w:w="120" w:type="dxa"/>
              <w:bottom w:w="100" w:type="dxa"/>
              <w:right w:w="120" w:type="dxa"/>
            </w:tcMar>
            <w:vAlign w:val="center"/>
          </w:tcPr>
          <w:p w14:paraId="74AA7050" w14:textId="77777777" w:rsidR="00AA25F9" w:rsidRDefault="00000000">
            <w:pPr>
              <w:spacing w:after="0" w:line="252" w:lineRule="auto"/>
            </w:pPr>
            <w:r>
              <w:rPr>
                <w:b/>
                <w:color w:val="FFFFFF"/>
                <w:sz w:val="20"/>
              </w:rPr>
              <w:t>Status</w:t>
            </w:r>
          </w:p>
        </w:tc>
        <w:tc>
          <w:tcPr>
            <w:tcW w:w="5328" w:type="dxa"/>
            <w:shd w:val="clear" w:color="auto" w:fill="2E5E86"/>
            <w:tcMar>
              <w:top w:w="100" w:type="dxa"/>
              <w:left w:w="120" w:type="dxa"/>
              <w:bottom w:w="100" w:type="dxa"/>
              <w:right w:w="120" w:type="dxa"/>
            </w:tcMar>
            <w:vAlign w:val="center"/>
          </w:tcPr>
          <w:p w14:paraId="49A39729" w14:textId="77777777" w:rsidR="00AA25F9" w:rsidRDefault="00000000">
            <w:pPr>
              <w:spacing w:after="0" w:line="252" w:lineRule="auto"/>
            </w:pPr>
            <w:r>
              <w:rPr>
                <w:b/>
                <w:color w:val="FFFFFF"/>
                <w:sz w:val="20"/>
              </w:rPr>
              <w:t>Reasoning / consequence</w:t>
            </w:r>
          </w:p>
        </w:tc>
      </w:tr>
      <w:tr w:rsidR="00AA25F9" w14:paraId="5782338E" w14:textId="77777777">
        <w:tc>
          <w:tcPr>
            <w:tcW w:w="2376" w:type="dxa"/>
            <w:tcMar>
              <w:top w:w="100" w:type="dxa"/>
              <w:left w:w="120" w:type="dxa"/>
              <w:bottom w:w="100" w:type="dxa"/>
              <w:right w:w="120" w:type="dxa"/>
            </w:tcMar>
            <w:vAlign w:val="center"/>
          </w:tcPr>
          <w:p w14:paraId="04DAC586" w14:textId="77777777" w:rsidR="00AA25F9" w:rsidRDefault="00000000">
            <w:pPr>
              <w:spacing w:after="0" w:line="252" w:lineRule="auto"/>
            </w:pPr>
            <w:r>
              <w:rPr>
                <w:sz w:val="20"/>
              </w:rPr>
              <w:t>Modular monolith</w:t>
            </w:r>
          </w:p>
        </w:tc>
        <w:tc>
          <w:tcPr>
            <w:tcW w:w="1656" w:type="dxa"/>
            <w:tcMar>
              <w:top w:w="100" w:type="dxa"/>
              <w:left w:w="120" w:type="dxa"/>
              <w:bottom w:w="100" w:type="dxa"/>
              <w:right w:w="120" w:type="dxa"/>
            </w:tcMar>
            <w:vAlign w:val="center"/>
          </w:tcPr>
          <w:p w14:paraId="57D8521C" w14:textId="77777777" w:rsidR="00AA25F9" w:rsidRDefault="00000000">
            <w:pPr>
              <w:spacing w:after="0" w:line="252" w:lineRule="auto"/>
            </w:pPr>
            <w:r>
              <w:rPr>
                <w:sz w:val="20"/>
              </w:rPr>
              <w:t>Accepted</w:t>
            </w:r>
          </w:p>
        </w:tc>
        <w:tc>
          <w:tcPr>
            <w:tcW w:w="5328" w:type="dxa"/>
            <w:tcMar>
              <w:top w:w="100" w:type="dxa"/>
              <w:left w:w="120" w:type="dxa"/>
              <w:bottom w:w="100" w:type="dxa"/>
              <w:right w:w="120" w:type="dxa"/>
            </w:tcMar>
            <w:vAlign w:val="center"/>
          </w:tcPr>
          <w:p w14:paraId="20D2F15D" w14:textId="77777777" w:rsidR="00AA25F9" w:rsidRDefault="00000000">
            <w:pPr>
              <w:spacing w:after="0" w:line="252" w:lineRule="auto"/>
            </w:pPr>
            <w:r>
              <w:rPr>
                <w:sz w:val="20"/>
              </w:rPr>
              <w:t>Keeps deployment and debugging simple while maintaining clear internal boundaries. Revisit this choice only when there is a demonstrated need.</w:t>
            </w:r>
          </w:p>
        </w:tc>
      </w:tr>
      <w:tr w:rsidR="00AA25F9" w14:paraId="088DAEA3" w14:textId="77777777">
        <w:tc>
          <w:tcPr>
            <w:tcW w:w="2376" w:type="dxa"/>
            <w:shd w:val="clear" w:color="auto" w:fill="F4F6F8"/>
            <w:tcMar>
              <w:top w:w="100" w:type="dxa"/>
              <w:left w:w="120" w:type="dxa"/>
              <w:bottom w:w="100" w:type="dxa"/>
              <w:right w:w="120" w:type="dxa"/>
            </w:tcMar>
            <w:vAlign w:val="center"/>
          </w:tcPr>
          <w:p w14:paraId="3900C652" w14:textId="77777777" w:rsidR="00AA25F9" w:rsidRDefault="00000000">
            <w:pPr>
              <w:spacing w:after="0" w:line="252" w:lineRule="auto"/>
            </w:pPr>
            <w:r>
              <w:rPr>
                <w:sz w:val="20"/>
              </w:rPr>
              <w:t>SQLite persistence</w:t>
            </w:r>
          </w:p>
        </w:tc>
        <w:tc>
          <w:tcPr>
            <w:tcW w:w="1656" w:type="dxa"/>
            <w:shd w:val="clear" w:color="auto" w:fill="F4F6F8"/>
            <w:tcMar>
              <w:top w:w="100" w:type="dxa"/>
              <w:left w:w="120" w:type="dxa"/>
              <w:bottom w:w="100" w:type="dxa"/>
              <w:right w:w="120" w:type="dxa"/>
            </w:tcMar>
            <w:vAlign w:val="center"/>
          </w:tcPr>
          <w:p w14:paraId="6DC51BAA" w14:textId="77777777" w:rsidR="00AA25F9" w:rsidRDefault="00000000">
            <w:pPr>
              <w:spacing w:after="0" w:line="252" w:lineRule="auto"/>
            </w:pPr>
            <w:r>
              <w:rPr>
                <w:sz w:val="20"/>
              </w:rPr>
              <w:t>Accepted for MVP</w:t>
            </w:r>
          </w:p>
        </w:tc>
        <w:tc>
          <w:tcPr>
            <w:tcW w:w="5328" w:type="dxa"/>
            <w:shd w:val="clear" w:color="auto" w:fill="F4F6F8"/>
            <w:tcMar>
              <w:top w:w="100" w:type="dxa"/>
              <w:left w:w="120" w:type="dxa"/>
              <w:bottom w:w="100" w:type="dxa"/>
              <w:right w:w="120" w:type="dxa"/>
            </w:tcMar>
            <w:vAlign w:val="center"/>
          </w:tcPr>
          <w:p w14:paraId="3DC34DD5" w14:textId="77777777" w:rsidR="00AA25F9" w:rsidRDefault="00000000">
            <w:pPr>
              <w:spacing w:after="0" w:line="252" w:lineRule="auto"/>
            </w:pPr>
            <w:r>
              <w:rPr>
                <w:sz w:val="20"/>
              </w:rPr>
              <w:t>Appropriate for local, single-user transactional data. Schema and repository boundaries should allow a future migration.</w:t>
            </w:r>
          </w:p>
        </w:tc>
      </w:tr>
      <w:tr w:rsidR="00AA25F9" w14:paraId="63E625AA" w14:textId="77777777">
        <w:tc>
          <w:tcPr>
            <w:tcW w:w="2376" w:type="dxa"/>
            <w:tcMar>
              <w:top w:w="100" w:type="dxa"/>
              <w:left w:w="120" w:type="dxa"/>
              <w:bottom w:w="100" w:type="dxa"/>
              <w:right w:w="120" w:type="dxa"/>
            </w:tcMar>
            <w:vAlign w:val="center"/>
          </w:tcPr>
          <w:p w14:paraId="3E7156EA" w14:textId="77777777" w:rsidR="00AA25F9" w:rsidRDefault="00000000">
            <w:pPr>
              <w:spacing w:after="0" w:line="252" w:lineRule="auto"/>
            </w:pPr>
            <w:r>
              <w:rPr>
                <w:sz w:val="20"/>
              </w:rPr>
              <w:t>Flask REST API</w:t>
            </w:r>
          </w:p>
        </w:tc>
        <w:tc>
          <w:tcPr>
            <w:tcW w:w="1656" w:type="dxa"/>
            <w:tcMar>
              <w:top w:w="100" w:type="dxa"/>
              <w:left w:w="120" w:type="dxa"/>
              <w:bottom w:w="100" w:type="dxa"/>
              <w:right w:w="120" w:type="dxa"/>
            </w:tcMar>
            <w:vAlign w:val="center"/>
          </w:tcPr>
          <w:p w14:paraId="1D203596" w14:textId="77777777" w:rsidR="00AA25F9" w:rsidRDefault="00000000">
            <w:pPr>
              <w:spacing w:after="0" w:line="252" w:lineRule="auto"/>
            </w:pPr>
            <w:r>
              <w:rPr>
                <w:sz w:val="20"/>
              </w:rPr>
              <w:t>Accepted</w:t>
            </w:r>
          </w:p>
        </w:tc>
        <w:tc>
          <w:tcPr>
            <w:tcW w:w="5328" w:type="dxa"/>
            <w:tcMar>
              <w:top w:w="100" w:type="dxa"/>
              <w:left w:w="120" w:type="dxa"/>
              <w:bottom w:w="100" w:type="dxa"/>
              <w:right w:w="120" w:type="dxa"/>
            </w:tcMar>
            <w:vAlign w:val="center"/>
          </w:tcPr>
          <w:p w14:paraId="77B48884" w14:textId="77777777" w:rsidR="00AA25F9" w:rsidRDefault="00000000">
            <w:pPr>
              <w:spacing w:after="0" w:line="252" w:lineRule="auto"/>
            </w:pPr>
            <w:r>
              <w:rPr>
                <w:sz w:val="20"/>
              </w:rPr>
              <w:t>Provides an explicit and understandable HTTP layer. Routes should remain thin.</w:t>
            </w:r>
          </w:p>
        </w:tc>
      </w:tr>
      <w:tr w:rsidR="00AA25F9" w14:paraId="08F83FE7" w14:textId="77777777">
        <w:tc>
          <w:tcPr>
            <w:tcW w:w="2376" w:type="dxa"/>
            <w:shd w:val="clear" w:color="auto" w:fill="F4F6F8"/>
            <w:tcMar>
              <w:top w:w="100" w:type="dxa"/>
              <w:left w:w="120" w:type="dxa"/>
              <w:bottom w:w="100" w:type="dxa"/>
              <w:right w:w="120" w:type="dxa"/>
            </w:tcMar>
            <w:vAlign w:val="center"/>
          </w:tcPr>
          <w:p w14:paraId="0F3FD263" w14:textId="77777777" w:rsidR="00AA25F9" w:rsidRDefault="00000000">
            <w:pPr>
              <w:spacing w:after="0" w:line="252" w:lineRule="auto"/>
            </w:pPr>
            <w:r>
              <w:rPr>
                <w:sz w:val="20"/>
              </w:rPr>
              <w:t>APScheduler</w:t>
            </w:r>
          </w:p>
        </w:tc>
        <w:tc>
          <w:tcPr>
            <w:tcW w:w="1656" w:type="dxa"/>
            <w:shd w:val="clear" w:color="auto" w:fill="F4F6F8"/>
            <w:tcMar>
              <w:top w:w="100" w:type="dxa"/>
              <w:left w:w="120" w:type="dxa"/>
              <w:bottom w:w="100" w:type="dxa"/>
              <w:right w:w="120" w:type="dxa"/>
            </w:tcMar>
            <w:vAlign w:val="center"/>
          </w:tcPr>
          <w:p w14:paraId="1E76DB76" w14:textId="77777777" w:rsidR="00AA25F9" w:rsidRDefault="00000000">
            <w:pPr>
              <w:spacing w:after="0" w:line="252" w:lineRule="auto"/>
            </w:pPr>
            <w:r>
              <w:rPr>
                <w:sz w:val="20"/>
              </w:rPr>
              <w:t>Accepted</w:t>
            </w:r>
          </w:p>
        </w:tc>
        <w:tc>
          <w:tcPr>
            <w:tcW w:w="5328" w:type="dxa"/>
            <w:shd w:val="clear" w:color="auto" w:fill="F4F6F8"/>
            <w:tcMar>
              <w:top w:w="100" w:type="dxa"/>
              <w:left w:w="120" w:type="dxa"/>
              <w:bottom w:w="100" w:type="dxa"/>
              <w:right w:w="120" w:type="dxa"/>
            </w:tcMar>
            <w:vAlign w:val="center"/>
          </w:tcPr>
          <w:p w14:paraId="50CDF9E2" w14:textId="77777777" w:rsidR="00AA25F9" w:rsidRDefault="00000000">
            <w:pPr>
              <w:spacing w:after="0" w:line="252" w:lineRule="auto"/>
            </w:pPr>
            <w:r>
              <w:rPr>
                <w:sz w:val="20"/>
              </w:rPr>
              <w:t>Fits scheduled in-process jobs. Avoid multiple scheduler instances competing for the same work.</w:t>
            </w:r>
          </w:p>
        </w:tc>
      </w:tr>
      <w:tr w:rsidR="00AA25F9" w14:paraId="089ACED0" w14:textId="77777777">
        <w:tc>
          <w:tcPr>
            <w:tcW w:w="2376" w:type="dxa"/>
            <w:tcMar>
              <w:top w:w="100" w:type="dxa"/>
              <w:left w:w="120" w:type="dxa"/>
              <w:bottom w:w="100" w:type="dxa"/>
              <w:right w:w="120" w:type="dxa"/>
            </w:tcMar>
            <w:vAlign w:val="center"/>
          </w:tcPr>
          <w:p w14:paraId="36B82A81" w14:textId="77777777" w:rsidR="00AA25F9" w:rsidRDefault="00000000">
            <w:pPr>
              <w:spacing w:after="0" w:line="252" w:lineRule="auto"/>
            </w:pPr>
            <w:r>
              <w:rPr>
                <w:sz w:val="20"/>
              </w:rPr>
              <w:t>Pytest</w:t>
            </w:r>
          </w:p>
        </w:tc>
        <w:tc>
          <w:tcPr>
            <w:tcW w:w="1656" w:type="dxa"/>
            <w:tcMar>
              <w:top w:w="100" w:type="dxa"/>
              <w:left w:w="120" w:type="dxa"/>
              <w:bottom w:w="100" w:type="dxa"/>
              <w:right w:w="120" w:type="dxa"/>
            </w:tcMar>
            <w:vAlign w:val="center"/>
          </w:tcPr>
          <w:p w14:paraId="5243696F" w14:textId="77777777" w:rsidR="00AA25F9" w:rsidRDefault="00000000">
            <w:pPr>
              <w:spacing w:after="0" w:line="252" w:lineRule="auto"/>
            </w:pPr>
            <w:r>
              <w:rPr>
                <w:sz w:val="20"/>
              </w:rPr>
              <w:t>Accepted</w:t>
            </w:r>
          </w:p>
        </w:tc>
        <w:tc>
          <w:tcPr>
            <w:tcW w:w="5328" w:type="dxa"/>
            <w:tcMar>
              <w:top w:w="100" w:type="dxa"/>
              <w:left w:w="120" w:type="dxa"/>
              <w:bottom w:w="100" w:type="dxa"/>
              <w:right w:w="120" w:type="dxa"/>
            </w:tcMar>
            <w:vAlign w:val="center"/>
          </w:tcPr>
          <w:p w14:paraId="7F30A79B" w14:textId="77777777" w:rsidR="00AA25F9" w:rsidRDefault="00000000">
            <w:pPr>
              <w:spacing w:after="0" w:line="252" w:lineRule="auto"/>
            </w:pPr>
            <w:r>
              <w:rPr>
                <w:sz w:val="20"/>
              </w:rPr>
              <w:t>Supports fast unit tests, fixtures, parametrization, and integration coverage.</w:t>
            </w:r>
          </w:p>
        </w:tc>
      </w:tr>
      <w:tr w:rsidR="00AA25F9" w14:paraId="5AA27AD7" w14:textId="77777777">
        <w:tc>
          <w:tcPr>
            <w:tcW w:w="2376" w:type="dxa"/>
            <w:shd w:val="clear" w:color="auto" w:fill="F4F6F8"/>
            <w:tcMar>
              <w:top w:w="100" w:type="dxa"/>
              <w:left w:w="120" w:type="dxa"/>
              <w:bottom w:w="100" w:type="dxa"/>
              <w:right w:w="120" w:type="dxa"/>
            </w:tcMar>
            <w:vAlign w:val="center"/>
          </w:tcPr>
          <w:p w14:paraId="35FCAB73" w14:textId="77777777" w:rsidR="00AA25F9" w:rsidRDefault="00000000">
            <w:pPr>
              <w:spacing w:after="0" w:line="252" w:lineRule="auto"/>
            </w:pPr>
            <w:r>
              <w:rPr>
                <w:sz w:val="20"/>
              </w:rPr>
              <w:t>External sources via adapters</w:t>
            </w:r>
          </w:p>
        </w:tc>
        <w:tc>
          <w:tcPr>
            <w:tcW w:w="1656" w:type="dxa"/>
            <w:shd w:val="clear" w:color="auto" w:fill="F4F6F8"/>
            <w:tcMar>
              <w:top w:w="100" w:type="dxa"/>
              <w:left w:w="120" w:type="dxa"/>
              <w:bottom w:w="100" w:type="dxa"/>
              <w:right w:w="120" w:type="dxa"/>
            </w:tcMar>
            <w:vAlign w:val="center"/>
          </w:tcPr>
          <w:p w14:paraId="394A22DC" w14:textId="77777777" w:rsidR="00AA25F9" w:rsidRDefault="00000000">
            <w:pPr>
              <w:spacing w:after="0" w:line="252" w:lineRule="auto"/>
            </w:pPr>
            <w:r>
              <w:rPr>
                <w:sz w:val="20"/>
              </w:rPr>
              <w:t>Accepted</w:t>
            </w:r>
          </w:p>
        </w:tc>
        <w:tc>
          <w:tcPr>
            <w:tcW w:w="5328" w:type="dxa"/>
            <w:shd w:val="clear" w:color="auto" w:fill="F4F6F8"/>
            <w:tcMar>
              <w:top w:w="100" w:type="dxa"/>
              <w:left w:w="120" w:type="dxa"/>
              <w:bottom w:w="100" w:type="dxa"/>
              <w:right w:w="120" w:type="dxa"/>
            </w:tcMar>
            <w:vAlign w:val="center"/>
          </w:tcPr>
          <w:p w14:paraId="6C2821B8" w14:textId="77777777" w:rsidR="00AA25F9" w:rsidRDefault="00000000">
            <w:pPr>
              <w:spacing w:after="0" w:line="252" w:lineRule="auto"/>
            </w:pPr>
            <w:r>
              <w:rPr>
                <w:sz w:val="20"/>
              </w:rPr>
              <w:t>Limits provider coupling and enables deterministic fakes in tests.</w:t>
            </w:r>
          </w:p>
        </w:tc>
      </w:tr>
      <w:tr w:rsidR="00AA25F9" w14:paraId="5AB2A711" w14:textId="77777777">
        <w:tc>
          <w:tcPr>
            <w:tcW w:w="2376" w:type="dxa"/>
            <w:tcMar>
              <w:top w:w="100" w:type="dxa"/>
              <w:left w:w="120" w:type="dxa"/>
              <w:bottom w:w="100" w:type="dxa"/>
              <w:right w:w="120" w:type="dxa"/>
            </w:tcMar>
            <w:vAlign w:val="center"/>
          </w:tcPr>
          <w:p w14:paraId="264F72A2" w14:textId="77777777" w:rsidR="00AA25F9" w:rsidRDefault="00000000">
            <w:pPr>
              <w:spacing w:after="0" w:line="252" w:lineRule="auto"/>
            </w:pPr>
            <w:r>
              <w:rPr>
                <w:sz w:val="20"/>
              </w:rPr>
              <w:t>Formal plugin system</w:t>
            </w:r>
          </w:p>
        </w:tc>
        <w:tc>
          <w:tcPr>
            <w:tcW w:w="1656" w:type="dxa"/>
            <w:tcMar>
              <w:top w:w="100" w:type="dxa"/>
              <w:left w:w="120" w:type="dxa"/>
              <w:bottom w:w="100" w:type="dxa"/>
              <w:right w:w="120" w:type="dxa"/>
            </w:tcMar>
            <w:vAlign w:val="center"/>
          </w:tcPr>
          <w:p w14:paraId="50ED733D" w14:textId="77777777" w:rsidR="00AA25F9" w:rsidRDefault="00000000">
            <w:pPr>
              <w:spacing w:after="0" w:line="252" w:lineRule="auto"/>
            </w:pPr>
            <w:r>
              <w:rPr>
                <w:sz w:val="20"/>
              </w:rPr>
              <w:t>Deferred</w:t>
            </w:r>
          </w:p>
        </w:tc>
        <w:tc>
          <w:tcPr>
            <w:tcW w:w="5328" w:type="dxa"/>
            <w:tcMar>
              <w:top w:w="100" w:type="dxa"/>
              <w:left w:w="120" w:type="dxa"/>
              <w:bottom w:w="100" w:type="dxa"/>
              <w:right w:w="120" w:type="dxa"/>
            </w:tcMar>
            <w:vAlign w:val="center"/>
          </w:tcPr>
          <w:p w14:paraId="406AC274" w14:textId="77777777" w:rsidR="00AA25F9" w:rsidRDefault="00000000">
            <w:pPr>
              <w:spacing w:after="0" w:line="252" w:lineRule="auto"/>
            </w:pPr>
            <w:r>
              <w:rPr>
                <w:sz w:val="20"/>
              </w:rPr>
              <w:t>Stable extension contracts should emerge from real modules before a distribution mechanism is designed.</w:t>
            </w:r>
          </w:p>
        </w:tc>
      </w:tr>
    </w:tbl>
    <w:p w14:paraId="12C02998" w14:textId="77777777" w:rsidR="00AA25F9" w:rsidRDefault="00AA25F9">
      <w:pPr>
        <w:spacing w:after="0"/>
      </w:pPr>
    </w:p>
    <w:p w14:paraId="71086DB4" w14:textId="77777777" w:rsidR="00AA25F9" w:rsidRDefault="00000000">
      <w:r>
        <w:t>Accepted decisions are the current baseline, not permanent rules. When a decision changes, the new context and migration impact should be recorded in an ADR.</w:t>
      </w:r>
    </w:p>
    <w:p w14:paraId="6B658926" w14:textId="77777777" w:rsidR="00AA25F9" w:rsidRDefault="00000000">
      <w:pPr>
        <w:pStyle w:val="Heading1"/>
      </w:pPr>
      <w:r>
        <w:rPr>
          <w:rFonts w:ascii="Avenir Next" w:eastAsia="Avenir Next" w:hAnsi="Avenir Next"/>
        </w:rPr>
        <w:t>17. Current Project Status</w:t>
      </w:r>
    </w:p>
    <w:p w14:paraId="314B7343" w14:textId="77777777" w:rsidR="00AA25F9" w:rsidRDefault="00000000">
      <w:r>
        <w:t>RiseOS is in the design and foundation stage. The product concept, goals, high-level systems, initial technology choices, documentation approach, and versioning strategy are established. The README file is the public project overview, while this document is the internal engineering baseline.</w:t>
      </w:r>
    </w:p>
    <w:p w14:paraId="36919FF1" w14:textId="77777777" w:rsidR="00AA25F9" w:rsidRDefault="00000000">
      <w:r>
        <w:lastRenderedPageBreak/>
        <w:t>Several implementation details still need to be validated in code, including the final package layout, database schema, endpoint contracts, configuration schema, and release automation. This section should stay concise and factual. Day-to-day task tracking belongs in issues or a project board.</w:t>
      </w:r>
    </w:p>
    <w:p w14:paraId="0BB1A8C9" w14:textId="77777777" w:rsidR="00AA25F9" w:rsidRDefault="00000000">
      <w:pPr>
        <w:pStyle w:val="Heading1"/>
      </w:pPr>
      <w:r>
        <w:rPr>
          <w:rFonts w:ascii="Avenir Next" w:eastAsia="Avenir Next" w:hAnsi="Avenir Next"/>
        </w:rPr>
        <w:t>18. Open Questions</w:t>
      </w:r>
    </w:p>
    <w:tbl>
      <w:tblPr>
        <w:tblStyle w:val="TableGrid"/>
        <w:tblW w:w="0" w:type="auto"/>
        <w:tblLayout w:type="fixed"/>
        <w:tblLook w:val="04A0" w:firstRow="1" w:lastRow="0" w:firstColumn="1" w:lastColumn="0" w:noHBand="0" w:noVBand="1"/>
      </w:tblPr>
      <w:tblGrid>
        <w:gridCol w:w="6696"/>
        <w:gridCol w:w="2664"/>
      </w:tblGrid>
      <w:tr w:rsidR="00AA25F9" w14:paraId="33A25FE7" w14:textId="77777777">
        <w:trPr>
          <w:tblHeader/>
        </w:trPr>
        <w:tc>
          <w:tcPr>
            <w:tcW w:w="6696" w:type="dxa"/>
            <w:shd w:val="clear" w:color="auto" w:fill="2E5E86"/>
            <w:tcMar>
              <w:top w:w="100" w:type="dxa"/>
              <w:left w:w="120" w:type="dxa"/>
              <w:bottom w:w="100" w:type="dxa"/>
              <w:right w:w="120" w:type="dxa"/>
            </w:tcMar>
            <w:vAlign w:val="center"/>
          </w:tcPr>
          <w:p w14:paraId="39A4DE64" w14:textId="77777777" w:rsidR="00AA25F9" w:rsidRDefault="00000000">
            <w:pPr>
              <w:spacing w:after="0" w:line="252" w:lineRule="auto"/>
            </w:pPr>
            <w:r>
              <w:rPr>
                <w:b/>
                <w:color w:val="FFFFFF"/>
                <w:sz w:val="20"/>
              </w:rPr>
              <w:t>Question</w:t>
            </w:r>
          </w:p>
        </w:tc>
        <w:tc>
          <w:tcPr>
            <w:tcW w:w="2664" w:type="dxa"/>
            <w:shd w:val="clear" w:color="auto" w:fill="2E5E86"/>
            <w:tcMar>
              <w:top w:w="100" w:type="dxa"/>
              <w:left w:w="120" w:type="dxa"/>
              <w:bottom w:w="100" w:type="dxa"/>
              <w:right w:w="120" w:type="dxa"/>
            </w:tcMar>
            <w:vAlign w:val="center"/>
          </w:tcPr>
          <w:p w14:paraId="04F48516" w14:textId="77777777" w:rsidR="00AA25F9" w:rsidRDefault="00000000">
            <w:pPr>
              <w:spacing w:after="0" w:line="252" w:lineRule="auto"/>
            </w:pPr>
            <w:r>
              <w:rPr>
                <w:b/>
                <w:color w:val="FFFFFF"/>
                <w:sz w:val="20"/>
              </w:rPr>
              <w:t>Decision needed before</w:t>
            </w:r>
          </w:p>
        </w:tc>
      </w:tr>
      <w:tr w:rsidR="00AA25F9" w14:paraId="418717CA" w14:textId="77777777">
        <w:tc>
          <w:tcPr>
            <w:tcW w:w="6696" w:type="dxa"/>
            <w:tcMar>
              <w:top w:w="100" w:type="dxa"/>
              <w:left w:w="120" w:type="dxa"/>
              <w:bottom w:w="100" w:type="dxa"/>
              <w:right w:w="120" w:type="dxa"/>
            </w:tcMar>
            <w:vAlign w:val="center"/>
          </w:tcPr>
          <w:p w14:paraId="7746029F" w14:textId="77777777" w:rsidR="00AA25F9" w:rsidRDefault="00000000">
            <w:pPr>
              <w:spacing w:after="0" w:line="252" w:lineRule="auto"/>
            </w:pPr>
            <w:r>
              <w:rPr>
                <w:sz w:val="20"/>
              </w:rPr>
              <w:t>What exact content and output formats define the first useful morning brief?</w:t>
            </w:r>
          </w:p>
        </w:tc>
        <w:tc>
          <w:tcPr>
            <w:tcW w:w="2664" w:type="dxa"/>
            <w:tcMar>
              <w:top w:w="100" w:type="dxa"/>
              <w:left w:w="120" w:type="dxa"/>
              <w:bottom w:w="100" w:type="dxa"/>
              <w:right w:w="120" w:type="dxa"/>
            </w:tcMar>
            <w:vAlign w:val="center"/>
          </w:tcPr>
          <w:p w14:paraId="53DF8891" w14:textId="77777777" w:rsidR="00AA25F9" w:rsidRDefault="00000000">
            <w:pPr>
              <w:spacing w:after="0" w:line="252" w:lineRule="auto"/>
            </w:pPr>
            <w:r>
              <w:rPr>
                <w:sz w:val="20"/>
              </w:rPr>
              <w:t>Briefing model and renderer are finalized.</w:t>
            </w:r>
          </w:p>
        </w:tc>
      </w:tr>
      <w:tr w:rsidR="00AA25F9" w14:paraId="14655410" w14:textId="77777777">
        <w:tc>
          <w:tcPr>
            <w:tcW w:w="6696" w:type="dxa"/>
            <w:shd w:val="clear" w:color="auto" w:fill="F4F6F8"/>
            <w:tcMar>
              <w:top w:w="100" w:type="dxa"/>
              <w:left w:w="120" w:type="dxa"/>
              <w:bottom w:w="100" w:type="dxa"/>
              <w:right w:w="120" w:type="dxa"/>
            </w:tcMar>
            <w:vAlign w:val="center"/>
          </w:tcPr>
          <w:p w14:paraId="76A8768C" w14:textId="77777777" w:rsidR="00AA25F9" w:rsidRDefault="00000000">
            <w:pPr>
              <w:spacing w:after="0" w:line="252" w:lineRule="auto"/>
            </w:pPr>
            <w:r>
              <w:rPr>
                <w:sz w:val="20"/>
              </w:rPr>
              <w:t>Which file-system changes are valuable enough to monitor without creating noise or privacy risk?</w:t>
            </w:r>
          </w:p>
        </w:tc>
        <w:tc>
          <w:tcPr>
            <w:tcW w:w="2664" w:type="dxa"/>
            <w:shd w:val="clear" w:color="auto" w:fill="F4F6F8"/>
            <w:tcMar>
              <w:top w:w="100" w:type="dxa"/>
              <w:left w:w="120" w:type="dxa"/>
              <w:bottom w:w="100" w:type="dxa"/>
              <w:right w:w="120" w:type="dxa"/>
            </w:tcMar>
            <w:vAlign w:val="center"/>
          </w:tcPr>
          <w:p w14:paraId="37D8D4B7" w14:textId="77777777" w:rsidR="00AA25F9" w:rsidRDefault="00000000">
            <w:pPr>
              <w:spacing w:after="0" w:line="252" w:lineRule="auto"/>
            </w:pPr>
            <w:r>
              <w:rPr>
                <w:sz w:val="20"/>
              </w:rPr>
              <w:t>Event-monitor configuration is enabled by default.</w:t>
            </w:r>
          </w:p>
        </w:tc>
      </w:tr>
      <w:tr w:rsidR="00AA25F9" w14:paraId="248E7990" w14:textId="77777777">
        <w:tc>
          <w:tcPr>
            <w:tcW w:w="6696" w:type="dxa"/>
            <w:tcMar>
              <w:top w:w="100" w:type="dxa"/>
              <w:left w:w="120" w:type="dxa"/>
              <w:bottom w:w="100" w:type="dxa"/>
              <w:right w:w="120" w:type="dxa"/>
            </w:tcMar>
            <w:vAlign w:val="center"/>
          </w:tcPr>
          <w:p w14:paraId="0E56ACA7" w14:textId="77777777" w:rsidR="00AA25F9" w:rsidRDefault="00000000">
            <w:pPr>
              <w:spacing w:after="0" w:line="252" w:lineRule="auto"/>
            </w:pPr>
            <w:r>
              <w:rPr>
                <w:sz w:val="20"/>
              </w:rPr>
              <w:t>Should the scheduler run inside the API process or as a separate command/process?</w:t>
            </w:r>
          </w:p>
        </w:tc>
        <w:tc>
          <w:tcPr>
            <w:tcW w:w="2664" w:type="dxa"/>
            <w:tcMar>
              <w:top w:w="100" w:type="dxa"/>
              <w:left w:w="120" w:type="dxa"/>
              <w:bottom w:w="100" w:type="dxa"/>
              <w:right w:w="120" w:type="dxa"/>
            </w:tcMar>
            <w:vAlign w:val="center"/>
          </w:tcPr>
          <w:p w14:paraId="2E2A370B" w14:textId="77777777" w:rsidR="00AA25F9" w:rsidRDefault="00000000">
            <w:pPr>
              <w:spacing w:after="0" w:line="252" w:lineRule="auto"/>
            </w:pPr>
            <w:r>
              <w:rPr>
                <w:sz w:val="20"/>
              </w:rPr>
              <w:t>Deployment and concurrency behavior are finalized.</w:t>
            </w:r>
          </w:p>
        </w:tc>
      </w:tr>
      <w:tr w:rsidR="00AA25F9" w14:paraId="6B3D7E55" w14:textId="77777777">
        <w:tc>
          <w:tcPr>
            <w:tcW w:w="6696" w:type="dxa"/>
            <w:shd w:val="clear" w:color="auto" w:fill="F4F6F8"/>
            <w:tcMar>
              <w:top w:w="100" w:type="dxa"/>
              <w:left w:w="120" w:type="dxa"/>
              <w:bottom w:w="100" w:type="dxa"/>
              <w:right w:w="120" w:type="dxa"/>
            </w:tcMar>
            <w:vAlign w:val="center"/>
          </w:tcPr>
          <w:p w14:paraId="08DA579E" w14:textId="77777777" w:rsidR="00AA25F9" w:rsidRDefault="00000000">
            <w:pPr>
              <w:spacing w:after="0" w:line="252" w:lineRule="auto"/>
            </w:pPr>
            <w:r>
              <w:rPr>
                <w:sz w:val="20"/>
              </w:rPr>
              <w:t>How will SQLite schema migrations be managed?</w:t>
            </w:r>
          </w:p>
        </w:tc>
        <w:tc>
          <w:tcPr>
            <w:tcW w:w="2664" w:type="dxa"/>
            <w:shd w:val="clear" w:color="auto" w:fill="F4F6F8"/>
            <w:tcMar>
              <w:top w:w="100" w:type="dxa"/>
              <w:left w:w="120" w:type="dxa"/>
              <w:bottom w:w="100" w:type="dxa"/>
              <w:right w:w="120" w:type="dxa"/>
            </w:tcMar>
            <w:vAlign w:val="center"/>
          </w:tcPr>
          <w:p w14:paraId="3B5FF4C2" w14:textId="77777777" w:rsidR="00AA25F9" w:rsidRDefault="00000000">
            <w:pPr>
              <w:spacing w:after="0" w:line="252" w:lineRule="auto"/>
            </w:pPr>
            <w:r>
              <w:rPr>
                <w:sz w:val="20"/>
              </w:rPr>
              <w:t>The first post-baseline schema change.</w:t>
            </w:r>
          </w:p>
        </w:tc>
      </w:tr>
      <w:tr w:rsidR="00AA25F9" w14:paraId="2E582485" w14:textId="77777777">
        <w:tc>
          <w:tcPr>
            <w:tcW w:w="6696" w:type="dxa"/>
            <w:tcMar>
              <w:top w:w="100" w:type="dxa"/>
              <w:left w:w="120" w:type="dxa"/>
              <w:bottom w:w="100" w:type="dxa"/>
              <w:right w:w="120" w:type="dxa"/>
            </w:tcMar>
            <w:vAlign w:val="center"/>
          </w:tcPr>
          <w:p w14:paraId="31246423" w14:textId="77777777" w:rsidR="00AA25F9" w:rsidRDefault="00000000">
            <w:pPr>
              <w:spacing w:after="0" w:line="252" w:lineRule="auto"/>
            </w:pPr>
            <w:r>
              <w:rPr>
                <w:sz w:val="20"/>
              </w:rPr>
              <w:t>What authentication, if any, is required for non-local API access?</w:t>
            </w:r>
          </w:p>
        </w:tc>
        <w:tc>
          <w:tcPr>
            <w:tcW w:w="2664" w:type="dxa"/>
            <w:tcMar>
              <w:top w:w="100" w:type="dxa"/>
              <w:left w:w="120" w:type="dxa"/>
              <w:bottom w:w="100" w:type="dxa"/>
              <w:right w:w="120" w:type="dxa"/>
            </w:tcMar>
            <w:vAlign w:val="center"/>
          </w:tcPr>
          <w:p w14:paraId="5C2263B6" w14:textId="77777777" w:rsidR="00AA25F9" w:rsidRDefault="00000000">
            <w:pPr>
              <w:spacing w:after="0" w:line="252" w:lineRule="auto"/>
            </w:pPr>
            <w:r>
              <w:rPr>
                <w:sz w:val="20"/>
              </w:rPr>
              <w:t>The service is bound beyond localhost.</w:t>
            </w:r>
          </w:p>
        </w:tc>
      </w:tr>
      <w:tr w:rsidR="00AA25F9" w14:paraId="4CB8CB16" w14:textId="77777777">
        <w:tc>
          <w:tcPr>
            <w:tcW w:w="6696" w:type="dxa"/>
            <w:shd w:val="clear" w:color="auto" w:fill="F4F6F8"/>
            <w:tcMar>
              <w:top w:w="100" w:type="dxa"/>
              <w:left w:w="120" w:type="dxa"/>
              <w:bottom w:w="100" w:type="dxa"/>
              <w:right w:w="120" w:type="dxa"/>
            </w:tcMar>
            <w:vAlign w:val="center"/>
          </w:tcPr>
          <w:p w14:paraId="067DCF46" w14:textId="77777777" w:rsidR="00AA25F9" w:rsidRDefault="00000000">
            <w:pPr>
              <w:spacing w:after="0" w:line="252" w:lineRule="auto"/>
            </w:pPr>
            <w:r>
              <w:rPr>
                <w:sz w:val="20"/>
              </w:rPr>
              <w:t>Which endpoint and configuration contracts are declared stable at 1.0.0?</w:t>
            </w:r>
          </w:p>
        </w:tc>
        <w:tc>
          <w:tcPr>
            <w:tcW w:w="2664" w:type="dxa"/>
            <w:shd w:val="clear" w:color="auto" w:fill="F4F6F8"/>
            <w:tcMar>
              <w:top w:w="100" w:type="dxa"/>
              <w:left w:w="120" w:type="dxa"/>
              <w:bottom w:w="100" w:type="dxa"/>
              <w:right w:w="120" w:type="dxa"/>
            </w:tcMar>
            <w:vAlign w:val="center"/>
          </w:tcPr>
          <w:p w14:paraId="23855273" w14:textId="77777777" w:rsidR="00AA25F9" w:rsidRDefault="00000000">
            <w:pPr>
              <w:spacing w:after="0" w:line="252" w:lineRule="auto"/>
            </w:pPr>
            <w:r>
              <w:rPr>
                <w:sz w:val="20"/>
              </w:rPr>
              <w:t>The release candidate is tagged.</w:t>
            </w:r>
          </w:p>
        </w:tc>
      </w:tr>
      <w:tr w:rsidR="00AA25F9" w14:paraId="74093220" w14:textId="77777777">
        <w:tc>
          <w:tcPr>
            <w:tcW w:w="6696" w:type="dxa"/>
            <w:tcMar>
              <w:top w:w="100" w:type="dxa"/>
              <w:left w:w="120" w:type="dxa"/>
              <w:bottom w:w="100" w:type="dxa"/>
              <w:right w:w="120" w:type="dxa"/>
            </w:tcMar>
            <w:vAlign w:val="center"/>
          </w:tcPr>
          <w:p w14:paraId="6853E581" w14:textId="77777777" w:rsidR="00AA25F9" w:rsidRDefault="00000000">
            <w:pPr>
              <w:spacing w:after="0" w:line="252" w:lineRule="auto"/>
            </w:pPr>
            <w:r>
              <w:rPr>
                <w:sz w:val="20"/>
              </w:rPr>
              <w:t>What retention and redaction rules apply to event and briefing history?</w:t>
            </w:r>
          </w:p>
        </w:tc>
        <w:tc>
          <w:tcPr>
            <w:tcW w:w="2664" w:type="dxa"/>
            <w:tcMar>
              <w:top w:w="100" w:type="dxa"/>
              <w:left w:w="120" w:type="dxa"/>
              <w:bottom w:w="100" w:type="dxa"/>
              <w:right w:w="120" w:type="dxa"/>
            </w:tcMar>
            <w:vAlign w:val="center"/>
          </w:tcPr>
          <w:p w14:paraId="75986FE2" w14:textId="77777777" w:rsidR="00AA25F9" w:rsidRDefault="00000000">
            <w:pPr>
              <w:spacing w:after="0" w:line="252" w:lineRule="auto"/>
            </w:pPr>
            <w:r>
              <w:rPr>
                <w:sz w:val="20"/>
              </w:rPr>
              <w:t>Persistent personal-data collection expands.</w:t>
            </w:r>
          </w:p>
        </w:tc>
      </w:tr>
    </w:tbl>
    <w:p w14:paraId="1FD4ED96" w14:textId="77777777" w:rsidR="00AA25F9" w:rsidRDefault="00AA25F9">
      <w:pPr>
        <w:spacing w:after="0"/>
      </w:pPr>
    </w:p>
    <w:p w14:paraId="46AB65FD" w14:textId="77777777" w:rsidR="00AA25F9" w:rsidRDefault="00000000">
      <w:pPr>
        <w:pStyle w:val="Heading1"/>
      </w:pPr>
      <w:r>
        <w:rPr>
          <w:rFonts w:ascii="Avenir Next" w:eastAsia="Avenir Next" w:hAnsi="Avenir Next"/>
        </w:rPr>
        <w:t>19. Risks</w:t>
      </w:r>
    </w:p>
    <w:tbl>
      <w:tblPr>
        <w:tblStyle w:val="TableGrid"/>
        <w:tblW w:w="0" w:type="auto"/>
        <w:tblLayout w:type="fixed"/>
        <w:tblLook w:val="04A0" w:firstRow="1" w:lastRow="0" w:firstColumn="1" w:lastColumn="0" w:noHBand="0" w:noVBand="1"/>
      </w:tblPr>
      <w:tblGrid>
        <w:gridCol w:w="2088"/>
        <w:gridCol w:w="3168"/>
        <w:gridCol w:w="4104"/>
      </w:tblGrid>
      <w:tr w:rsidR="00AA25F9" w14:paraId="0ED351EF" w14:textId="77777777">
        <w:trPr>
          <w:tblHeader/>
        </w:trPr>
        <w:tc>
          <w:tcPr>
            <w:tcW w:w="2088" w:type="dxa"/>
            <w:shd w:val="clear" w:color="auto" w:fill="2E5E86"/>
            <w:tcMar>
              <w:top w:w="100" w:type="dxa"/>
              <w:left w:w="120" w:type="dxa"/>
              <w:bottom w:w="100" w:type="dxa"/>
              <w:right w:w="120" w:type="dxa"/>
            </w:tcMar>
            <w:vAlign w:val="center"/>
          </w:tcPr>
          <w:p w14:paraId="3874743A" w14:textId="77777777" w:rsidR="00AA25F9" w:rsidRDefault="00000000">
            <w:pPr>
              <w:spacing w:after="0" w:line="252" w:lineRule="auto"/>
            </w:pPr>
            <w:r>
              <w:rPr>
                <w:b/>
                <w:color w:val="FFFFFF"/>
                <w:sz w:val="20"/>
              </w:rPr>
              <w:t>Risk</w:t>
            </w:r>
          </w:p>
        </w:tc>
        <w:tc>
          <w:tcPr>
            <w:tcW w:w="3168" w:type="dxa"/>
            <w:shd w:val="clear" w:color="auto" w:fill="2E5E86"/>
            <w:tcMar>
              <w:top w:w="100" w:type="dxa"/>
              <w:left w:w="120" w:type="dxa"/>
              <w:bottom w:w="100" w:type="dxa"/>
              <w:right w:w="120" w:type="dxa"/>
            </w:tcMar>
            <w:vAlign w:val="center"/>
          </w:tcPr>
          <w:p w14:paraId="669B9C53" w14:textId="77777777" w:rsidR="00AA25F9" w:rsidRDefault="00000000">
            <w:pPr>
              <w:spacing w:after="0" w:line="252" w:lineRule="auto"/>
            </w:pPr>
            <w:r>
              <w:rPr>
                <w:b/>
                <w:color w:val="FFFFFF"/>
                <w:sz w:val="20"/>
              </w:rPr>
              <w:t>Impact</w:t>
            </w:r>
          </w:p>
        </w:tc>
        <w:tc>
          <w:tcPr>
            <w:tcW w:w="4104" w:type="dxa"/>
            <w:shd w:val="clear" w:color="auto" w:fill="2E5E86"/>
            <w:tcMar>
              <w:top w:w="100" w:type="dxa"/>
              <w:left w:w="120" w:type="dxa"/>
              <w:bottom w:w="100" w:type="dxa"/>
              <w:right w:w="120" w:type="dxa"/>
            </w:tcMar>
            <w:vAlign w:val="center"/>
          </w:tcPr>
          <w:p w14:paraId="7AC91263" w14:textId="77777777" w:rsidR="00AA25F9" w:rsidRDefault="00000000">
            <w:pPr>
              <w:spacing w:after="0" w:line="252" w:lineRule="auto"/>
            </w:pPr>
            <w:r>
              <w:rPr>
                <w:b/>
                <w:color w:val="FFFFFF"/>
                <w:sz w:val="20"/>
              </w:rPr>
              <w:t>Mitigation</w:t>
            </w:r>
          </w:p>
        </w:tc>
      </w:tr>
      <w:tr w:rsidR="00AA25F9" w14:paraId="016396E7" w14:textId="77777777">
        <w:tc>
          <w:tcPr>
            <w:tcW w:w="2088" w:type="dxa"/>
            <w:tcMar>
              <w:top w:w="100" w:type="dxa"/>
              <w:left w:w="120" w:type="dxa"/>
              <w:bottom w:w="100" w:type="dxa"/>
              <w:right w:w="120" w:type="dxa"/>
            </w:tcMar>
            <w:vAlign w:val="center"/>
          </w:tcPr>
          <w:p w14:paraId="5BFAFBF0" w14:textId="77777777" w:rsidR="00AA25F9" w:rsidRDefault="00000000">
            <w:pPr>
              <w:spacing w:after="0" w:line="252" w:lineRule="auto"/>
            </w:pPr>
            <w:r>
              <w:rPr>
                <w:sz w:val="20"/>
              </w:rPr>
              <w:t>Scope expansion</w:t>
            </w:r>
          </w:p>
        </w:tc>
        <w:tc>
          <w:tcPr>
            <w:tcW w:w="3168" w:type="dxa"/>
            <w:tcMar>
              <w:top w:w="100" w:type="dxa"/>
              <w:left w:w="120" w:type="dxa"/>
              <w:bottom w:w="100" w:type="dxa"/>
              <w:right w:w="120" w:type="dxa"/>
            </w:tcMar>
            <w:vAlign w:val="center"/>
          </w:tcPr>
          <w:p w14:paraId="46A01648" w14:textId="77777777" w:rsidR="00AA25F9" w:rsidRDefault="00000000">
            <w:pPr>
              <w:spacing w:after="0" w:line="252" w:lineRule="auto"/>
            </w:pPr>
            <w:r>
              <w:rPr>
                <w:sz w:val="20"/>
              </w:rPr>
              <w:t>Core vertical slice remains unfinished.</w:t>
            </w:r>
          </w:p>
        </w:tc>
        <w:tc>
          <w:tcPr>
            <w:tcW w:w="4104" w:type="dxa"/>
            <w:tcMar>
              <w:top w:w="100" w:type="dxa"/>
              <w:left w:w="120" w:type="dxa"/>
              <w:bottom w:w="100" w:type="dxa"/>
              <w:right w:w="120" w:type="dxa"/>
            </w:tcMar>
            <w:vAlign w:val="center"/>
          </w:tcPr>
          <w:p w14:paraId="068397CF" w14:textId="77777777" w:rsidR="00AA25F9" w:rsidRDefault="00000000">
            <w:pPr>
              <w:spacing w:after="0" w:line="252" w:lineRule="auto"/>
            </w:pPr>
            <w:r>
              <w:rPr>
                <w:sz w:val="20"/>
              </w:rPr>
              <w:t>Enforce MVP boundaries; require a concrete user outcome for new modules.</w:t>
            </w:r>
          </w:p>
        </w:tc>
      </w:tr>
      <w:tr w:rsidR="00AA25F9" w14:paraId="75E67303" w14:textId="77777777">
        <w:tc>
          <w:tcPr>
            <w:tcW w:w="2088" w:type="dxa"/>
            <w:shd w:val="clear" w:color="auto" w:fill="F4F6F8"/>
            <w:tcMar>
              <w:top w:w="100" w:type="dxa"/>
              <w:left w:w="120" w:type="dxa"/>
              <w:bottom w:w="100" w:type="dxa"/>
              <w:right w:w="120" w:type="dxa"/>
            </w:tcMar>
            <w:vAlign w:val="center"/>
          </w:tcPr>
          <w:p w14:paraId="64A0BFF5" w14:textId="77777777" w:rsidR="00AA25F9" w:rsidRDefault="00000000">
            <w:pPr>
              <w:spacing w:after="0" w:line="252" w:lineRule="auto"/>
            </w:pPr>
            <w:r>
              <w:rPr>
                <w:sz w:val="20"/>
              </w:rPr>
              <w:t>External API instability</w:t>
            </w:r>
          </w:p>
        </w:tc>
        <w:tc>
          <w:tcPr>
            <w:tcW w:w="3168" w:type="dxa"/>
            <w:shd w:val="clear" w:color="auto" w:fill="F4F6F8"/>
            <w:tcMar>
              <w:top w:w="100" w:type="dxa"/>
              <w:left w:w="120" w:type="dxa"/>
              <w:bottom w:w="100" w:type="dxa"/>
              <w:right w:w="120" w:type="dxa"/>
            </w:tcMar>
            <w:vAlign w:val="center"/>
          </w:tcPr>
          <w:p w14:paraId="05F10202" w14:textId="77777777" w:rsidR="00AA25F9" w:rsidRDefault="00000000">
            <w:pPr>
              <w:spacing w:after="0" w:line="252" w:lineRule="auto"/>
            </w:pPr>
            <w:r>
              <w:rPr>
                <w:sz w:val="20"/>
              </w:rPr>
              <w:t>Brief sections fail or silently become inaccurate.</w:t>
            </w:r>
          </w:p>
        </w:tc>
        <w:tc>
          <w:tcPr>
            <w:tcW w:w="4104" w:type="dxa"/>
            <w:shd w:val="clear" w:color="auto" w:fill="F4F6F8"/>
            <w:tcMar>
              <w:top w:w="100" w:type="dxa"/>
              <w:left w:w="120" w:type="dxa"/>
              <w:bottom w:w="100" w:type="dxa"/>
              <w:right w:w="120" w:type="dxa"/>
            </w:tcMar>
            <w:vAlign w:val="center"/>
          </w:tcPr>
          <w:p w14:paraId="09E6CA2A" w14:textId="77777777" w:rsidR="00AA25F9" w:rsidRDefault="00000000">
            <w:pPr>
              <w:spacing w:after="0" w:line="252" w:lineRule="auto"/>
            </w:pPr>
            <w:r>
              <w:rPr>
                <w:sz w:val="20"/>
              </w:rPr>
              <w:t>Adapters, timeouts, schema validation, caching where justified, and visible partial-failure states.</w:t>
            </w:r>
          </w:p>
        </w:tc>
      </w:tr>
      <w:tr w:rsidR="00AA25F9" w14:paraId="79223237" w14:textId="77777777">
        <w:tc>
          <w:tcPr>
            <w:tcW w:w="2088" w:type="dxa"/>
            <w:tcMar>
              <w:top w:w="100" w:type="dxa"/>
              <w:left w:w="120" w:type="dxa"/>
              <w:bottom w:w="100" w:type="dxa"/>
              <w:right w:w="120" w:type="dxa"/>
            </w:tcMar>
            <w:vAlign w:val="center"/>
          </w:tcPr>
          <w:p w14:paraId="24D73E6A" w14:textId="77777777" w:rsidR="00AA25F9" w:rsidRDefault="00000000">
            <w:pPr>
              <w:spacing w:after="0" w:line="252" w:lineRule="auto"/>
            </w:pPr>
            <w:r>
              <w:rPr>
                <w:sz w:val="20"/>
              </w:rPr>
              <w:t>Scheduler duplication</w:t>
            </w:r>
          </w:p>
        </w:tc>
        <w:tc>
          <w:tcPr>
            <w:tcW w:w="3168" w:type="dxa"/>
            <w:tcMar>
              <w:top w:w="100" w:type="dxa"/>
              <w:left w:w="120" w:type="dxa"/>
              <w:bottom w:w="100" w:type="dxa"/>
              <w:right w:w="120" w:type="dxa"/>
            </w:tcMar>
            <w:vAlign w:val="center"/>
          </w:tcPr>
          <w:p w14:paraId="708239CD" w14:textId="77777777" w:rsidR="00AA25F9" w:rsidRDefault="00000000">
            <w:pPr>
              <w:spacing w:after="0" w:line="252" w:lineRule="auto"/>
            </w:pPr>
            <w:r>
              <w:rPr>
                <w:sz w:val="20"/>
              </w:rPr>
              <w:t>Jobs run more than once or contend for SQLite.</w:t>
            </w:r>
          </w:p>
        </w:tc>
        <w:tc>
          <w:tcPr>
            <w:tcW w:w="4104" w:type="dxa"/>
            <w:tcMar>
              <w:top w:w="100" w:type="dxa"/>
              <w:left w:w="120" w:type="dxa"/>
              <w:bottom w:w="100" w:type="dxa"/>
              <w:right w:w="120" w:type="dxa"/>
            </w:tcMar>
            <w:vAlign w:val="center"/>
          </w:tcPr>
          <w:p w14:paraId="4EF070BF" w14:textId="77777777" w:rsidR="00AA25F9" w:rsidRDefault="00000000">
            <w:pPr>
              <w:spacing w:after="0" w:line="252" w:lineRule="auto"/>
            </w:pPr>
            <w:r>
              <w:rPr>
                <w:sz w:val="20"/>
              </w:rPr>
              <w:t xml:space="preserve">Document process model; use one scheduler owner and idempotent jobs </w:t>
            </w:r>
            <w:r>
              <w:rPr>
                <w:sz w:val="20"/>
              </w:rPr>
              <w:lastRenderedPageBreak/>
              <w:t>where practical.</w:t>
            </w:r>
          </w:p>
        </w:tc>
      </w:tr>
      <w:tr w:rsidR="00AA25F9" w14:paraId="13734155" w14:textId="77777777">
        <w:tc>
          <w:tcPr>
            <w:tcW w:w="2088" w:type="dxa"/>
            <w:shd w:val="clear" w:color="auto" w:fill="F4F6F8"/>
            <w:tcMar>
              <w:top w:w="100" w:type="dxa"/>
              <w:left w:w="120" w:type="dxa"/>
              <w:bottom w:w="100" w:type="dxa"/>
              <w:right w:w="120" w:type="dxa"/>
            </w:tcMar>
            <w:vAlign w:val="center"/>
          </w:tcPr>
          <w:p w14:paraId="2FED5839" w14:textId="77777777" w:rsidR="00AA25F9" w:rsidRDefault="00000000">
            <w:pPr>
              <w:spacing w:after="0" w:line="252" w:lineRule="auto"/>
            </w:pPr>
            <w:r>
              <w:rPr>
                <w:sz w:val="20"/>
              </w:rPr>
              <w:t>SQLite concurrency limits</w:t>
            </w:r>
          </w:p>
        </w:tc>
        <w:tc>
          <w:tcPr>
            <w:tcW w:w="3168" w:type="dxa"/>
            <w:shd w:val="clear" w:color="auto" w:fill="F4F6F8"/>
            <w:tcMar>
              <w:top w:w="100" w:type="dxa"/>
              <w:left w:w="120" w:type="dxa"/>
              <w:bottom w:w="100" w:type="dxa"/>
              <w:right w:w="120" w:type="dxa"/>
            </w:tcMar>
            <w:vAlign w:val="center"/>
          </w:tcPr>
          <w:p w14:paraId="3F5E604B" w14:textId="77777777" w:rsidR="00AA25F9" w:rsidRDefault="00000000">
            <w:pPr>
              <w:spacing w:after="0" w:line="252" w:lineRule="auto"/>
            </w:pPr>
            <w:r>
              <w:rPr>
                <w:sz w:val="20"/>
              </w:rPr>
              <w:t>Locking or slow operations affect reliability.</w:t>
            </w:r>
          </w:p>
        </w:tc>
        <w:tc>
          <w:tcPr>
            <w:tcW w:w="4104" w:type="dxa"/>
            <w:shd w:val="clear" w:color="auto" w:fill="F4F6F8"/>
            <w:tcMar>
              <w:top w:w="100" w:type="dxa"/>
              <w:left w:w="120" w:type="dxa"/>
              <w:bottom w:w="100" w:type="dxa"/>
              <w:right w:w="120" w:type="dxa"/>
            </w:tcMar>
            <w:vAlign w:val="center"/>
          </w:tcPr>
          <w:p w14:paraId="22A0F211" w14:textId="77777777" w:rsidR="00AA25F9" w:rsidRDefault="00000000">
            <w:pPr>
              <w:spacing w:after="0" w:line="252" w:lineRule="auto"/>
            </w:pPr>
            <w:r>
              <w:rPr>
                <w:sz w:val="20"/>
              </w:rPr>
              <w:t>Keep transactions short, use appropriate journal settings, and revisit storage when measured needs exceed the design.</w:t>
            </w:r>
          </w:p>
        </w:tc>
      </w:tr>
      <w:tr w:rsidR="00AA25F9" w14:paraId="360559A4" w14:textId="77777777">
        <w:tc>
          <w:tcPr>
            <w:tcW w:w="2088" w:type="dxa"/>
            <w:tcMar>
              <w:top w:w="100" w:type="dxa"/>
              <w:left w:w="120" w:type="dxa"/>
              <w:bottom w:w="100" w:type="dxa"/>
              <w:right w:w="120" w:type="dxa"/>
            </w:tcMar>
            <w:vAlign w:val="center"/>
          </w:tcPr>
          <w:p w14:paraId="479E1479" w14:textId="77777777" w:rsidR="00AA25F9" w:rsidRDefault="00000000">
            <w:pPr>
              <w:spacing w:after="0" w:line="252" w:lineRule="auto"/>
            </w:pPr>
            <w:r>
              <w:rPr>
                <w:sz w:val="20"/>
              </w:rPr>
              <w:t>Sensitive data leakage</w:t>
            </w:r>
          </w:p>
        </w:tc>
        <w:tc>
          <w:tcPr>
            <w:tcW w:w="3168" w:type="dxa"/>
            <w:tcMar>
              <w:top w:w="100" w:type="dxa"/>
              <w:left w:w="120" w:type="dxa"/>
              <w:bottom w:w="100" w:type="dxa"/>
              <w:right w:w="120" w:type="dxa"/>
            </w:tcMar>
            <w:vAlign w:val="center"/>
          </w:tcPr>
          <w:p w14:paraId="16844173" w14:textId="77777777" w:rsidR="00AA25F9" w:rsidRDefault="00000000">
            <w:pPr>
              <w:spacing w:after="0" w:line="252" w:lineRule="auto"/>
            </w:pPr>
            <w:r>
              <w:rPr>
                <w:sz w:val="20"/>
              </w:rPr>
              <w:t>Personal events, keys, or brief content enter logs or source control.</w:t>
            </w:r>
          </w:p>
        </w:tc>
        <w:tc>
          <w:tcPr>
            <w:tcW w:w="4104" w:type="dxa"/>
            <w:tcMar>
              <w:top w:w="100" w:type="dxa"/>
              <w:left w:w="120" w:type="dxa"/>
              <w:bottom w:w="100" w:type="dxa"/>
              <w:right w:w="120" w:type="dxa"/>
            </w:tcMar>
            <w:vAlign w:val="center"/>
          </w:tcPr>
          <w:p w14:paraId="6ACF83EF" w14:textId="77777777" w:rsidR="00AA25F9" w:rsidRDefault="00000000">
            <w:pPr>
              <w:spacing w:after="0" w:line="252" w:lineRule="auto"/>
            </w:pPr>
            <w:r>
              <w:rPr>
                <w:sz w:val="20"/>
              </w:rPr>
              <w:t>Secret management, redaction, safe fixtures, ignore rules, and local-only defaults.</w:t>
            </w:r>
          </w:p>
        </w:tc>
      </w:tr>
      <w:tr w:rsidR="00AA25F9" w14:paraId="1EA3D6C5" w14:textId="77777777">
        <w:tc>
          <w:tcPr>
            <w:tcW w:w="2088" w:type="dxa"/>
            <w:shd w:val="clear" w:color="auto" w:fill="F4F6F8"/>
            <w:tcMar>
              <w:top w:w="100" w:type="dxa"/>
              <w:left w:w="120" w:type="dxa"/>
              <w:bottom w:w="100" w:type="dxa"/>
              <w:right w:w="120" w:type="dxa"/>
            </w:tcMar>
            <w:vAlign w:val="center"/>
          </w:tcPr>
          <w:p w14:paraId="064CBF20" w14:textId="77777777" w:rsidR="00AA25F9" w:rsidRDefault="00000000">
            <w:pPr>
              <w:spacing w:after="0" w:line="252" w:lineRule="auto"/>
            </w:pPr>
            <w:r>
              <w:rPr>
                <w:sz w:val="20"/>
              </w:rPr>
              <w:t>Documentation drift</w:t>
            </w:r>
          </w:p>
        </w:tc>
        <w:tc>
          <w:tcPr>
            <w:tcW w:w="3168" w:type="dxa"/>
            <w:shd w:val="clear" w:color="auto" w:fill="F4F6F8"/>
            <w:tcMar>
              <w:top w:w="100" w:type="dxa"/>
              <w:left w:w="120" w:type="dxa"/>
              <w:bottom w:w="100" w:type="dxa"/>
              <w:right w:w="120" w:type="dxa"/>
            </w:tcMar>
            <w:vAlign w:val="center"/>
          </w:tcPr>
          <w:p w14:paraId="494CDA3C" w14:textId="77777777" w:rsidR="00AA25F9" w:rsidRDefault="00000000">
            <w:pPr>
              <w:spacing w:after="0" w:line="252" w:lineRule="auto"/>
            </w:pPr>
            <w:r>
              <w:rPr>
                <w:sz w:val="20"/>
              </w:rPr>
              <w:t>Readers form an incorrect model of the system.</w:t>
            </w:r>
          </w:p>
        </w:tc>
        <w:tc>
          <w:tcPr>
            <w:tcW w:w="4104" w:type="dxa"/>
            <w:shd w:val="clear" w:color="auto" w:fill="F4F6F8"/>
            <w:tcMar>
              <w:top w:w="100" w:type="dxa"/>
              <w:left w:w="120" w:type="dxa"/>
              <w:bottom w:w="100" w:type="dxa"/>
              <w:right w:w="120" w:type="dxa"/>
            </w:tcMar>
            <w:vAlign w:val="center"/>
          </w:tcPr>
          <w:p w14:paraId="245CFEB3" w14:textId="77777777" w:rsidR="00AA25F9" w:rsidRDefault="00000000">
            <w:pPr>
              <w:spacing w:after="0" w:line="252" w:lineRule="auto"/>
            </w:pPr>
            <w:r>
              <w:rPr>
                <w:sz w:val="20"/>
              </w:rPr>
              <w:t>Tie updates to definition of done; keep each artifact’s authority narrow.</w:t>
            </w:r>
          </w:p>
        </w:tc>
      </w:tr>
      <w:tr w:rsidR="00AA25F9" w14:paraId="00096CA5" w14:textId="77777777">
        <w:tc>
          <w:tcPr>
            <w:tcW w:w="2088" w:type="dxa"/>
            <w:tcMar>
              <w:top w:w="100" w:type="dxa"/>
              <w:left w:w="120" w:type="dxa"/>
              <w:bottom w:w="100" w:type="dxa"/>
              <w:right w:w="120" w:type="dxa"/>
            </w:tcMar>
            <w:vAlign w:val="center"/>
          </w:tcPr>
          <w:p w14:paraId="0E7310D2" w14:textId="77777777" w:rsidR="00AA25F9" w:rsidRDefault="00000000">
            <w:pPr>
              <w:spacing w:after="0" w:line="252" w:lineRule="auto"/>
            </w:pPr>
            <w:r>
              <w:rPr>
                <w:sz w:val="20"/>
              </w:rPr>
              <w:t>Portfolio-driven overengineering</w:t>
            </w:r>
          </w:p>
        </w:tc>
        <w:tc>
          <w:tcPr>
            <w:tcW w:w="3168" w:type="dxa"/>
            <w:tcMar>
              <w:top w:w="100" w:type="dxa"/>
              <w:left w:w="120" w:type="dxa"/>
              <w:bottom w:w="100" w:type="dxa"/>
              <w:right w:w="120" w:type="dxa"/>
            </w:tcMar>
            <w:vAlign w:val="center"/>
          </w:tcPr>
          <w:p w14:paraId="6F59062D" w14:textId="77777777" w:rsidR="00AA25F9" w:rsidRDefault="00000000">
            <w:pPr>
              <w:spacing w:after="0" w:line="252" w:lineRule="auto"/>
            </w:pPr>
            <w:r>
              <w:rPr>
                <w:sz w:val="20"/>
              </w:rPr>
              <w:t>Complexity reduces usefulness and maintainability.</w:t>
            </w:r>
          </w:p>
        </w:tc>
        <w:tc>
          <w:tcPr>
            <w:tcW w:w="4104" w:type="dxa"/>
            <w:tcMar>
              <w:top w:w="100" w:type="dxa"/>
              <w:left w:w="120" w:type="dxa"/>
              <w:bottom w:w="100" w:type="dxa"/>
              <w:right w:w="120" w:type="dxa"/>
            </w:tcMar>
            <w:vAlign w:val="center"/>
          </w:tcPr>
          <w:p w14:paraId="454EEDE6" w14:textId="77777777" w:rsidR="00AA25F9" w:rsidRDefault="00000000">
            <w:pPr>
              <w:spacing w:after="0" w:line="252" w:lineRule="auto"/>
            </w:pPr>
            <w:r>
              <w:rPr>
                <w:sz w:val="20"/>
              </w:rPr>
              <w:t>Prefer the smallest architecture that demonstrates the required engineering behavior.</w:t>
            </w:r>
          </w:p>
        </w:tc>
      </w:tr>
    </w:tbl>
    <w:p w14:paraId="0499B27D" w14:textId="77777777" w:rsidR="00AA25F9" w:rsidRDefault="00AA25F9">
      <w:pPr>
        <w:spacing w:after="0"/>
      </w:pPr>
    </w:p>
    <w:p w14:paraId="17610FE6" w14:textId="77777777" w:rsidR="00AA25F9" w:rsidRDefault="00AA25F9"/>
    <w:p w14:paraId="01ABAB51" w14:textId="77777777" w:rsidR="00AA25F9" w:rsidRDefault="00000000">
      <w:pPr>
        <w:pStyle w:val="Heading1"/>
      </w:pPr>
      <w:r>
        <w:rPr>
          <w:rFonts w:ascii="Avenir Next" w:eastAsia="Avenir Next" w:hAnsi="Avenir Next"/>
        </w:rPr>
        <w:t>20. Future Direction</w:t>
      </w:r>
    </w:p>
    <w:p w14:paraId="31D7EBA8" w14:textId="77777777" w:rsidR="00AA25F9" w:rsidRDefault="00000000">
      <w:r>
        <w:t>Future releases should deepen the platform only after the MVP is dependable. Likely directions include additional source adapters, richer briefing delivery, historical trends, configurable personal modules, a dedicated user interface, stronger privacy controls, and optional deployment beyond a single local process.</w:t>
      </w:r>
    </w:p>
    <w:p w14:paraId="43785A47" w14:textId="77777777" w:rsidR="00AA25F9" w:rsidRDefault="00000000">
      <w:r>
        <w:t>The architecture should evolve based on evidence. If multiple users, remote access, larger data volumes, or independent deployment become real requirements, RiseOS may need stronger authentication, a server database, background job infrastructure, or separately deployed components. Those are possible responses to future needs, not current measures of success.</w:t>
      </w:r>
    </w:p>
    <w:p w14:paraId="7B2C30AD" w14:textId="77777777" w:rsidR="00AA25F9" w:rsidRDefault="00000000">
      <w:r>
        <w:t>Long-term success means RiseOS remains useful, comprehensible, and trustworthy as it grows. New capabilities should preserve the project’s defining qualities: modularity, observable behavior, conservative data handling, reliable automation, and documentation that tells the truth about the software.</w:t>
      </w:r>
    </w:p>
    <w:p w14:paraId="695469B6" w14:textId="77777777" w:rsidR="00AA25F9" w:rsidRDefault="00000000">
      <w:pPr>
        <w:pStyle w:val="Heading1"/>
      </w:pPr>
      <w:r>
        <w:rPr>
          <w:rFonts w:ascii="Avenir Next" w:eastAsia="Avenir Next" w:hAnsi="Avenir Next"/>
        </w:rPr>
        <w:t>21. Engineering Learning Objectives</w:t>
      </w:r>
    </w:p>
    <w:p w14:paraId="66685789" w14:textId="77777777" w:rsidR="00AA25F9" w:rsidRDefault="00000000">
      <w:r>
        <w:t>RiseOS is intentionally designed as both a useful personal platform and a practical engineering classroom. I am a new Computer Science and Software Engineering graduate, but I am not new to professional work or technology. After 20 years in the workforce, 10 years in the technology space, and continued study in graduate school, I want this project to turn academic knowledge into experience I can explain, demonstrate, and build on.</w:t>
      </w:r>
    </w:p>
    <w:p w14:paraId="4BF31C9A" w14:textId="77777777" w:rsidR="00AA25F9" w:rsidRDefault="00000000">
      <w:r>
        <w:lastRenderedPageBreak/>
        <w:t>The goal is not to add tools for the sake of a longer technology list. Each learning objective should show up in working software, clear documentation, and decisions I can defend. The project is structured to build practical experience in the following areas:</w:t>
      </w:r>
    </w:p>
    <w:p w14:paraId="489D271F" w14:textId="77777777" w:rsidR="00AA25F9" w:rsidRDefault="00000000">
      <w:pPr>
        <w:pStyle w:val="ListBullet"/>
      </w:pPr>
      <w:r>
        <w:t>Python for production-style application code, clear interfaces, type-aware design, and maintainable modules.</w:t>
      </w:r>
    </w:p>
    <w:p w14:paraId="4FF2AEAC" w14:textId="77777777" w:rsidR="00AA25F9" w:rsidRDefault="00000000">
      <w:pPr>
        <w:pStyle w:val="ListBullet"/>
      </w:pPr>
      <w:r>
        <w:t>Modular architecture that separates transport, business logic, integrations, scheduling, and persistence without introducing unnecessary services.</w:t>
      </w:r>
    </w:p>
    <w:p w14:paraId="2C23D13B" w14:textId="77777777" w:rsidR="00AA25F9" w:rsidRDefault="00000000">
      <w:pPr>
        <w:pStyle w:val="ListBullet"/>
      </w:pPr>
      <w:r>
        <w:t>REST APIs that validate requests, return consistent responses, and keep route handlers focused.</w:t>
      </w:r>
    </w:p>
    <w:p w14:paraId="751E889E" w14:textId="77777777" w:rsidR="00AA25F9" w:rsidRDefault="00000000">
      <w:pPr>
        <w:pStyle w:val="ListBullet"/>
      </w:pPr>
      <w:r>
        <w:t>SQLite for local, transactional storage, along with schema design, safe queries, and repository boundaries.</w:t>
      </w:r>
    </w:p>
    <w:p w14:paraId="2F6BFA7A" w14:textId="77777777" w:rsidR="00AA25F9" w:rsidRDefault="00000000">
      <w:pPr>
        <w:pStyle w:val="ListBullet"/>
      </w:pPr>
      <w:r>
        <w:t>HTTP for reliable communication with external services, including timeouts, response validation, and failure handling.</w:t>
      </w:r>
    </w:p>
    <w:p w14:paraId="5C74F582" w14:textId="77777777" w:rsidR="00AA25F9" w:rsidRDefault="00000000">
      <w:pPr>
        <w:pStyle w:val="ListBullet"/>
      </w:pPr>
      <w:r>
        <w:t>JSON for predictable data exchange between integrations, application services, and API clients.</w:t>
      </w:r>
    </w:p>
    <w:p w14:paraId="0DFB583E" w14:textId="77777777" w:rsidR="00AA25F9" w:rsidRDefault="00000000">
      <w:pPr>
        <w:pStyle w:val="ListBullet"/>
      </w:pPr>
      <w:r>
        <w:t>Background scheduling for repeatable monitoring and briefing jobs with visible success and failure behavior.</w:t>
      </w:r>
    </w:p>
    <w:p w14:paraId="7E74F818" w14:textId="77777777" w:rsidR="00AA25F9" w:rsidRDefault="00000000">
      <w:pPr>
        <w:pStyle w:val="ListBullet"/>
      </w:pPr>
      <w:r>
        <w:t>Logging that provides useful context, protects sensitive data, and supports troubleshooting.</w:t>
      </w:r>
    </w:p>
    <w:p w14:paraId="685EAC0C" w14:textId="77777777" w:rsidR="00AA25F9" w:rsidRDefault="00000000">
      <w:pPr>
        <w:pStyle w:val="ListBullet"/>
      </w:pPr>
      <w:r>
        <w:t>Testing with Pytest for unit tests, integration tests, fixtures, parametrization, and regression coverage.</w:t>
      </w:r>
    </w:p>
    <w:p w14:paraId="12FB47D1" w14:textId="77777777" w:rsidR="00AA25F9" w:rsidRDefault="00000000">
      <w:pPr>
        <w:pStyle w:val="ListBullet"/>
      </w:pPr>
      <w:r>
        <w:t>Git and GitHub for focused commits, short-lived branches, pull request review, release tags, and a clear history of the work.</w:t>
      </w:r>
    </w:p>
    <w:p w14:paraId="4CFECF47" w14:textId="77777777" w:rsidR="00AA25F9" w:rsidRDefault="00000000">
      <w:pPr>
        <w:pStyle w:val="ListBullet"/>
      </w:pPr>
      <w:r>
        <w:t>Documentation that helps another person understand the product, run the project, review the architecture, and follow its evolution.</w:t>
      </w:r>
    </w:p>
    <w:p w14:paraId="6662B307" w14:textId="77777777" w:rsidR="00AA25F9" w:rsidRDefault="00000000">
      <w:pPr>
        <w:pStyle w:val="ListBullet"/>
      </w:pPr>
      <w:r>
        <w:t>Version control practices that connect code changes, documentation updates, releases, and recoverable project history.</w:t>
      </w:r>
    </w:p>
    <w:p w14:paraId="737B0462" w14:textId="77777777" w:rsidR="00AA25F9" w:rsidRDefault="00000000">
      <w:pPr>
        <w:pStyle w:val="ListBullet"/>
      </w:pPr>
      <w:r>
        <w:t>Software design decisions that record context, tradeoffs, consequences, and the evidence that would justify a future change.</w:t>
      </w:r>
    </w:p>
    <w:p w14:paraId="51641292" w14:textId="77777777" w:rsidR="00AA25F9" w:rsidRDefault="00000000">
      <w:r>
        <w:t>Progress in these areas should be visible in the repository. The strongest evidence will be a working system, thoughtful tests, readable documentation, and a decision history that shows how my engineering judgment develops over time.</w:t>
      </w:r>
    </w:p>
    <w:sectPr w:rsidR="00AA25F9"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64E7" w14:textId="77777777" w:rsidR="00F35D4C" w:rsidRDefault="00F35D4C">
      <w:pPr>
        <w:spacing w:after="0" w:line="240" w:lineRule="auto"/>
      </w:pPr>
      <w:r>
        <w:separator/>
      </w:r>
    </w:p>
  </w:endnote>
  <w:endnote w:type="continuationSeparator" w:id="0">
    <w:p w14:paraId="548D81FC" w14:textId="77777777" w:rsidR="00F35D4C" w:rsidRDefault="00F35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venir">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AA25" w14:textId="77777777" w:rsidR="00AA25F9" w:rsidRDefault="00000000">
    <w:pPr>
      <w:pStyle w:val="Footer"/>
      <w:jc w:val="right"/>
    </w:pPr>
    <w:r>
      <w:rPr>
        <w:rFonts w:ascii="Aptos" w:hAnsi="Aptos"/>
        <w:color w:val="5F6B76"/>
        <w:sz w:val="16"/>
      </w:rPr>
      <w:t xml:space="preserve">PROJECT_CONTEXT  •  Internal  |  </w:t>
    </w:r>
    <w:r>
      <w:fldChar w:fldCharType="begin"/>
    </w:r>
    <w:r>
      <w:instrText>PAGE</w:instrText>
    </w:r>
    <w:r>
      <w:fldChar w:fldCharType="separate"/>
    </w:r>
    <w:r w:rsidR="00895FD7">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BF5B7" w14:textId="77777777" w:rsidR="00F35D4C" w:rsidRDefault="00F35D4C">
      <w:pPr>
        <w:spacing w:after="0" w:line="240" w:lineRule="auto"/>
      </w:pPr>
      <w:r>
        <w:separator/>
      </w:r>
    </w:p>
  </w:footnote>
  <w:footnote w:type="continuationSeparator" w:id="0">
    <w:p w14:paraId="0D6B2F0E" w14:textId="77777777" w:rsidR="00F35D4C" w:rsidRDefault="00F35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C349" w14:textId="77777777" w:rsidR="00AA25F9" w:rsidRDefault="00000000">
    <w:r>
      <w:rPr>
        <w:b/>
        <w:color w:val="5F6B76"/>
        <w:sz w:val="16"/>
      </w:rPr>
      <w:t>RISEOS  /  INTERNAL ENGINEERING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474232">
    <w:abstractNumId w:val="8"/>
  </w:num>
  <w:num w:numId="2" w16cid:durableId="1280258455">
    <w:abstractNumId w:val="6"/>
  </w:num>
  <w:num w:numId="3" w16cid:durableId="1200316945">
    <w:abstractNumId w:val="5"/>
  </w:num>
  <w:num w:numId="4" w16cid:durableId="444734457">
    <w:abstractNumId w:val="4"/>
  </w:num>
  <w:num w:numId="5" w16cid:durableId="2072774189">
    <w:abstractNumId w:val="7"/>
  </w:num>
  <w:num w:numId="6" w16cid:durableId="2124032817">
    <w:abstractNumId w:val="3"/>
  </w:num>
  <w:num w:numId="7" w16cid:durableId="2141027111">
    <w:abstractNumId w:val="2"/>
  </w:num>
  <w:num w:numId="8" w16cid:durableId="1933854673">
    <w:abstractNumId w:val="1"/>
  </w:num>
  <w:num w:numId="9" w16cid:durableId="7972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EF1"/>
    <w:rsid w:val="00895FD7"/>
    <w:rsid w:val="00A46F8A"/>
    <w:rsid w:val="00AA1D8D"/>
    <w:rsid w:val="00AA25F9"/>
    <w:rsid w:val="00B47730"/>
    <w:rsid w:val="00CB0664"/>
    <w:rsid w:val="00F35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6A242"/>
  <w14:defaultImageDpi w14:val="300"/>
  <w15:docId w15:val="{BC9C932F-ECDA-F44E-A7D4-2764D497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venir" w:eastAsia="Avenir" w:hAnsi="Avenir"/>
      <w:color w:val="23232A"/>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4A284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844F6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A28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A142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6347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Avenir" w:eastAsia="Avenir" w:hAnsi="Avenir"/>
      <w:i/>
      <w:color w:val="463F4A"/>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RiseOS Project Context &amp; Engineering Design</dc:title>
  <dc:subject>Internal engineering design baseline for RiseOS</dc:subject>
  <dc:creator>RiseOS Project</dc:creator>
  <cp:keywords>RiseOS, engineering design, Python, Flask, SQLite, APScheduler, Pytest</cp:keywords>
  <dc:description>generated by python-docx</dc:description>
  <cp:lastModifiedBy>Denmark, Aeriel I</cp:lastModifiedBy>
  <cp:revision>3</cp:revision>
  <dcterms:created xsi:type="dcterms:W3CDTF">2013-12-23T23:15:00Z</dcterms:created>
  <dcterms:modified xsi:type="dcterms:W3CDTF">2026-08-04T00:11:00Z</dcterms:modified>
  <cp:category/>
</cp:coreProperties>
</file>