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sz w:val="42"/>
        </w:rPr>
        <w:t>تقرير المقارنة الموسمية | Seasonal Comparison Report</w:t>
      </w:r>
    </w:p>
    <w:p>
      <w:pPr>
        <w:jc w:val="center"/>
      </w:pPr>
      <w:r>
        <w:rPr>
          <w:rFonts w:ascii="Traditional Arabic" w:hAnsi="Traditional Arabic" w:eastAsia="Traditional Arabic"/>
          <w:b/>
          <w:sz w:val="32"/>
        </w:rPr>
        <w:t>Q2-2026 مقابل Q1-2026</w:t>
      </w:r>
    </w:p>
    <w:p>
      <w:pPr>
        <w:jc w:val="center"/>
      </w:pPr>
      <w:r>
        <w:rPr>
          <w:rFonts w:ascii="Traditional Arabic" w:hAnsi="Traditional Arabic" w:eastAsia="Traditional Arabic"/>
          <w:b/>
          <w:sz w:val="28"/>
        </w:rPr>
        <w:t>الوحدة التنظيمية: الادارة العامة • النوع: المستشفى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الإحصائيات | Statistics Comparison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Q2-2026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الفئة</w:t>
              <w:br/>
              <w:t>Category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Total Cases | المجموع الكلي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Clinical | السريرية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Management | الإدارية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Relational | العلائقية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Low Severity | منخفضة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Medium Severity | متوسطة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High Severity | عالية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Clinical | Q1-2026: n=1 → Q2-2026: n=0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Clinical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Q2-2026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إجراء طبي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Medical Procedure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C7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Management | Q1-2026: n=26 → Q2-2026: n=0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Management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Q2-2026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  <w:vAlign w:val="center"/>
            <w:vMerge w:val="restart"/>
            <w:shd w:fill="BDD7EE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Management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بالإقامة(التكييف,التدفئة..)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Problems(Air Conditioning..)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بالإقامة(أجهزة غير كافية,أسرة,تهوئة..)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 (Devices, Beds..)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طلبات الدرجة الأولى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First Class Services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مشكلة في الأمن(حدوث سرقة..)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Security Problem (Lost..)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خلل تنسيق مع الأقسام الأخرى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Coordination Problem (Team, Other Departments..)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مواعيد بعيدة(العيادات الخارجية,القلبية..)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Access (Clinic Appointment)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النقل (من وإلى..)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Transfer (Room..)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الامتثال للسياسة | Policy Compliance Comparison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4"/>
        </w:rPr>
        <w:t>Q1-2026: ✗ غير مطابق  |  Q2-2026: ✓ مطابق</w:t>
      </w:r>
    </w:p>
    <w:p/>
    <w:p>
      <w:r>
        <w:br w:type="page"/>
      </w:r>
    </w:p>
    <w:p>
      <w:pPr>
        <w:jc w:val="center"/>
      </w:pPr>
      <w:r>
        <w:rPr>
          <w:rFonts w:ascii="Traditional Arabic" w:hAnsi="Traditional Arabic" w:eastAsia="Traditional Arabic"/>
          <w:b/>
          <w:sz w:val="32"/>
        </w:rPr>
        <w:t>📊 التحليل المرئي | Visual Analysis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97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المجالات | Domain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📊 مخطط الأعمدة - الفروقات (المجالات) | Domain Bar Subtraction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4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| Category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📊 مخطط الأعمدة - الفروقات (الفئات) | Category Bar Subtraction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6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6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الفرعية | SubCategory Spider Chart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Clinical | Q1-2026: n=1 → Q2-2026: n=0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Clinical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Q2-2026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إجراء طبي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Medical Procedure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C7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Management | Q1-2026: n=26 → Q2-2026: n=0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Management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EN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Q1-2026</w:t>
            </w:r>
          </w:p>
        </w:tc>
        <w:tc>
          <w:tcPr>
            <w:tcW w:type="dxa" w:w="5504"/>
            <w:vAlign w:val="center"/>
            <w:gridSpan w:val="4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Q2-2026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المجموع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</w:t>
            </w:r>
          </w:p>
        </w:tc>
      </w:tr>
      <w:tr>
        <w:tc>
          <w:tcPr>
            <w:tcW w:type="dxa" w:w="1376"/>
            <w:vAlign w:val="center"/>
            <w:vMerge w:val="restart"/>
            <w:shd w:fill="BDD7EE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Management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بالإقامة(التكييف,التدفئة..)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Problems(Air Conditioning..)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بالإقامة(أجهزة غير كافية,أسرة,تهوئة..)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Accommodation Problems (Devices, Beds..)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طلبات الدرجة الأولى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First Class Services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مشكلة في الأمن(حدوث سرقة..)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Security Problem (Lost..)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خلل تنسيق مع الأقسام الأخرى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Coordination Problem (Team, Other Departments..)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مواعيد بعيدة(العيادات الخارجية,القلبية..)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Access (Clinic Appointment)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النقل (من وإلى..)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6"/>
              </w:rPr>
              <w:t>Delay Transfer (Room..)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</w:tr>
    </w:tbl>
    <w:p/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مقارنة الامتثال للسياسة | Policy Compliance Comparison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4"/>
        </w:rPr>
        <w:t>Q1-2026: ✗ غير مطابق  |  Q2-2026: ✓ مطابق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