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 w:eastAsia="Traditional Arabic"/>
          <w:b/>
          <w:sz w:val="36"/>
        </w:rPr>
        <w:t>تقرير المقارنة الموسمية - التقرير السنوي (4 أرباع)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ملخص المقارنة السنوية | Annual Comparison Summary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الاتجاه | Trend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الإجمالي السنوي | Yearly Total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Q1-2026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Q2-2026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Q3-2026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Q4-2026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المؤشر | Metric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إجمالي الحالات | Total Cases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السريرية | Clinical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الإدارية | Management</w:t>
            </w:r>
          </w:p>
        </w:tc>
      </w:tr>
      <w:tr>
        <w:tc>
          <w:tcPr>
            <w:tcW w:type="dxa" w:w="2163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العلاقاتية | Relational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منخفضة الخطورة | Low Severity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متوسطة الخطورة | Medium Severity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عالية الخطورة | High Severity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إجراءات وقائية | Prevention Actions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تفسيرات مقدمة | Explanations Submitted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163"/>
            <w:vAlign w:val="center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حالات مفتوحة | Open Cases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🔷 مقارنة المجالات | Domain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الاتجاه | Trend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الإجمالي السنوي | Yearly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Q1-2026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Q2-2026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Q3-2026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Q4-2026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المجال | Domain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Clinical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Management</w:t>
            </w:r>
          </w:p>
        </w:tc>
      </w:tr>
      <w:tr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0"/>
              </w:rPr>
              <w:t>الإجمالي | Total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🔶 مقارنة الفئات | Category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الاتجاه | Trend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الإجمالي السنوي | Yearly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Q1-2026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Q2-2026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Q3-2026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Q4-2026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الفئة | Category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Clinical - Quality of Care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Management - Environment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Management - Institutional Processes</w:t>
            </w:r>
          </w:p>
        </w:tc>
      </w:tr>
      <w:tr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0"/>
              </w:rPr>
              <w:t>الإجمالي | Total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🔸 مقارنة الفئات الفرعية | SubCategory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الاتجاه | Trend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الإجمالي السنوي | Yearly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Q1-2026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Q2-2026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Q3-2026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Q4-2026</w:t>
            </w:r>
          </w:p>
        </w:tc>
        <w:tc>
          <w:tcPr>
            <w:tcW w:type="dxa" w:w="2163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0"/>
              </w:rPr>
              <w:t>الفئة الفرعية | Subcategory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Environment - Accommodation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Environment - Security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Institutional Processes - Bureaucracy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Institutional Processes - Delay - Access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Institutional Processes - Delay - General</w:t>
            </w:r>
          </w:p>
        </w:tc>
      </w:tr>
      <w:tr>
        <w:tc>
          <w:tcPr>
            <w:tcW w:type="dxa" w:w="2163"/>
            <w:vAlign w:val="center"/>
            <w:shd w:fill="C6EFCE"/>
          </w:tcPr>
          <w:p>
            <w:pPr>
              <w:jc w:val="center"/>
            </w:pPr>
            <w:r>
              <w:rPr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F2F2F2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18"/>
              </w:rPr>
              <w:t>Quality of Care - Examination &amp; Monitoring</w:t>
            </w:r>
          </w:p>
        </w:tc>
      </w:tr>
      <w:tr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↑↑</w:t>
            </w:r>
          </w:p>
        </w:tc>
        <w:tc>
          <w:tcPr>
            <w:tcW w:type="dxa" w:w="2163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2163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0"/>
              </w:rPr>
              <w:t>الإجمالي | Total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raditional Arabic" w:hAnsi="Traditional Arabic" w:eastAsia="Traditional Arabic"/>
          <w:b/>
          <w:sz w:val="32"/>
        </w:rPr>
        <w:t>📊 التحليل البصري | Visual Analysis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710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10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المجالات | Domain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368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6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| Category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252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5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الفرعية | SubCategory Spider Chart</w:t>
      </w:r>
    </w:p>
    <w:sectPr w:rsidR="00FC693F" w:rsidRPr="0006063C" w:rsidSect="00034616">
      <w:headerReference w:type="default" r:id="rId9"/>
      <w:pgSz w:w="16838" w:h="11906"/>
      <w:pgMar w:top="850" w:right="850" w:bottom="850" w:left="850" w:header="14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8275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75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