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raditional Arabic" w:hAnsi="Traditional Arabic" w:eastAsia="Traditional Arabic"/>
          <w:b/>
          <w:sz w:val="42"/>
        </w:rPr>
        <w:t>تقرير المقارنة الموسمية | Seasonal Comparison Report</w:t>
      </w:r>
    </w:p>
    <w:p>
      <w:pPr>
        <w:jc w:val="center"/>
      </w:pPr>
      <w:r>
        <w:rPr>
          <w:rFonts w:ascii="Traditional Arabic" w:hAnsi="Traditional Arabic" w:eastAsia="Traditional Arabic"/>
          <w:b/>
          <w:sz w:val="32"/>
        </w:rPr>
        <w:t>Q1-2026 مقابل Q4-2025</w:t>
      </w:r>
    </w:p>
    <w:p>
      <w:pPr>
        <w:jc w:val="center"/>
      </w:pPr>
      <w:r>
        <w:rPr>
          <w:rFonts w:ascii="Traditional Arabic" w:hAnsi="Traditional Arabic" w:eastAsia="Traditional Arabic"/>
          <w:b/>
          <w:sz w:val="28"/>
        </w:rPr>
        <w:t>الوحدة التنظيمية: الادارة العامة • النوع: المستشفى</w:t>
      </w:r>
    </w:p>
    <w:p/>
    <w:p>
      <w:pPr>
        <w:jc w:val="right"/>
      </w:pPr>
      <w:r>
        <w:rPr>
          <w:rFonts w:ascii="Traditional Arabic" w:hAnsi="Traditional Arabic" w:eastAsia="Traditional Arabic"/>
          <w:b/>
          <w:sz w:val="28"/>
        </w:rPr>
        <w:t>📊 مقارنة الإحصائيات | Statistics Comparison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Q1-2026</w:t>
            </w:r>
          </w:p>
        </w:tc>
        <w:tc>
          <w:tcPr>
            <w:tcW w:type="dxa" w:w="5046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Q4-2025</w:t>
            </w:r>
          </w:p>
        </w:tc>
        <w:tc>
          <w:tcPr>
            <w:tcW w:type="dxa" w:w="5046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الفئة</w:t>
              <w:br/>
              <w:t>Category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</w:rPr>
              <w:t>Total Cases | المجموع الكلي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</w:rPr>
              <w:t>Clinical | السريرية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</w:rPr>
              <w:t>Management | الإدارية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</w:rPr>
              <w:t>Relational | العلائقية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</w:rPr>
              <w:t>Low Severity | منخفضة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</w:rPr>
              <w:t>Medium Severity | متوسطة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</w:rPr>
              <w:t>High Severity | عالية</w:t>
            </w:r>
          </w:p>
        </w:tc>
      </w:tr>
    </w:tbl>
    <w:p/>
    <w:p>
      <w:pPr>
        <w:jc w:val="right"/>
      </w:pPr>
      <w:r>
        <w:rPr>
          <w:rFonts w:ascii="Traditional Arabic" w:hAnsi="Traditional Arabic" w:eastAsia="Traditional Arabic"/>
          <w:b/>
          <w:color w:val="4472C4"/>
          <w:sz w:val="26"/>
        </w:rPr>
        <w:t>📂 Clinical | Q4-2025: n=0 → Q1-2026: n=1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Clinical</w:t>
            </w:r>
          </w:p>
        </w:tc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التصنيف عربي</w:t>
            </w:r>
          </w:p>
        </w:tc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EN</w:t>
            </w:r>
          </w:p>
        </w:tc>
        <w:tc>
          <w:tcPr>
            <w:tcW w:type="dxa" w:w="5504"/>
            <w:vAlign w:val="center"/>
            <w:gridSpan w:val="4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Q4-2025</w:t>
            </w:r>
          </w:p>
        </w:tc>
        <w:tc>
          <w:tcPr>
            <w:tcW w:type="dxa" w:w="5504"/>
            <w:vAlign w:val="center"/>
            <w:gridSpan w:val="4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Q1-2026</w:t>
            </w:r>
          </w:p>
        </w:tc>
      </w:tr>
      <w:tr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المجموع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L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M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H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المجموع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L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M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H</w:t>
            </w:r>
          </w:p>
        </w:tc>
      </w:tr>
      <w:tr>
        <w:tc>
          <w:tcPr>
            <w:tcW w:type="dxa" w:w="1376"/>
          </w:tcPr>
          <w:p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تأخر إجراء طبي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Delay Medical Procedure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FC7CE"/>
          </w:tcPr>
          <w:p>
            <w:pPr>
              <w:jc w:val="center"/>
            </w:pPr>
            <w:r>
              <w:t>1</w:t>
            </w:r>
          </w:p>
        </w:tc>
      </w:tr>
    </w:tbl>
    <w:p/>
    <w:p>
      <w:pPr>
        <w:jc w:val="right"/>
      </w:pPr>
      <w:r>
        <w:rPr>
          <w:rFonts w:ascii="Traditional Arabic" w:hAnsi="Traditional Arabic" w:eastAsia="Traditional Arabic"/>
          <w:b/>
          <w:color w:val="4472C4"/>
          <w:sz w:val="26"/>
        </w:rPr>
        <w:t>📂 Management | Q4-2025: n=15 → Q1-2026: n=26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Management</w:t>
            </w:r>
          </w:p>
        </w:tc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التصنيف عربي</w:t>
            </w:r>
          </w:p>
        </w:tc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EN</w:t>
            </w:r>
          </w:p>
        </w:tc>
        <w:tc>
          <w:tcPr>
            <w:tcW w:type="dxa" w:w="5504"/>
            <w:vAlign w:val="center"/>
            <w:gridSpan w:val="4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Q4-2025</w:t>
            </w:r>
          </w:p>
        </w:tc>
        <w:tc>
          <w:tcPr>
            <w:tcW w:type="dxa" w:w="5504"/>
            <w:vAlign w:val="center"/>
            <w:gridSpan w:val="4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Q1-2026</w:t>
            </w:r>
          </w:p>
        </w:tc>
      </w:tr>
      <w:tr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المجموع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L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M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H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المجموع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L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M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H</w:t>
            </w:r>
          </w:p>
        </w:tc>
      </w:tr>
      <w:tr>
        <w:tc>
          <w:tcPr>
            <w:tcW w:type="dxa" w:w="1376"/>
            <w:vAlign w:val="center"/>
            <w:vMerge w:val="restart"/>
            <w:shd w:fill="BDD7EE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sz w:val="22"/>
              </w:rPr>
              <w:t>Management</w:t>
            </w:r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مشاكل تتعلق بالإقامة(التكييف,التدفئة..)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Accommodation Problems(Air Conditioning..)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1376"/>
            <w:vAlign w:val="center"/>
            <w:shd w:fill="C6EFCE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</w:tr>
      <w:tr>
        <w:tc>
          <w:tcPr>
            <w:tcW w:type="dxa" w:w="1376"/>
            <w:vMerge/>
          </w:tcPr>
          <w:p/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مشاكل تتعلق بالإقامة(أجهزة غير كافية,أسرة,تهوئة..)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Accommodation Problems (Devices, Beds..)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FEB9C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</w:tr>
      <w:tr>
        <w:tc>
          <w:tcPr>
            <w:tcW w:type="dxa" w:w="1376"/>
            <w:vMerge/>
          </w:tcPr>
          <w:p/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طلبات الدرجة الأولى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First Class Services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1376"/>
            <w:vAlign w:val="center"/>
            <w:shd w:fill="C6EFCE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</w:tr>
      <w:tr>
        <w:tc>
          <w:tcPr>
            <w:tcW w:type="dxa" w:w="1376"/>
            <w:vMerge/>
          </w:tcPr>
          <w:p/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مشاكل في الأجهزة(المعلوماتية..)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IT Problems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12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FEB9C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</w:tr>
      <w:tr>
        <w:tc>
          <w:tcPr>
            <w:tcW w:type="dxa" w:w="1376"/>
            <w:vMerge/>
          </w:tcPr>
          <w:p/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مشكلة في الأمن(حدوث سرقة..)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Security Problem (Lost..)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FEB9C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</w:tr>
      <w:tr>
        <w:tc>
          <w:tcPr>
            <w:tcW w:type="dxa" w:w="1376"/>
            <w:vMerge/>
          </w:tcPr>
          <w:p/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إجراءات معقّدة/موافقات/تكاليف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Complex Procedures / Approvals / Costs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FEB9C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</w:tr>
      <w:tr>
        <w:tc>
          <w:tcPr>
            <w:tcW w:type="dxa" w:w="1376"/>
            <w:vMerge/>
          </w:tcPr>
          <w:p/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خلل تنسيق مع الأقسام الأخرى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Coordination Problem (Team, Other Departments..)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FEB9C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</w:tr>
      <w:tr>
        <w:tc>
          <w:tcPr>
            <w:tcW w:type="dxa" w:w="1376"/>
            <w:vMerge/>
          </w:tcPr>
          <w:p/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مواعيد بعيدة(العيادات الخارجية,القلبية..)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Delay Access (Clinic Appointment)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FEB9C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</w:tr>
      <w:tr>
        <w:tc>
          <w:tcPr>
            <w:tcW w:type="dxa" w:w="1376"/>
            <w:vMerge/>
          </w:tcPr>
          <w:p/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تأخر النقل (من وإلى..)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Delay Transfer (Room..)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type="dxa" w:w="1376"/>
            <w:vAlign w:val="center"/>
            <w:shd w:fill="C6EFCE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</w:tr>
    </w:tbl>
    <w:p/>
    <w:p>
      <w:pPr>
        <w:jc w:val="right"/>
      </w:pPr>
      <w:r>
        <w:rPr>
          <w:rFonts w:ascii="Traditional Arabic" w:hAnsi="Traditional Arabic" w:eastAsia="Traditional Arabic"/>
          <w:b/>
          <w:color w:val="4472C4"/>
          <w:sz w:val="26"/>
        </w:rPr>
        <w:t>📂 Relational | Q4-2025: n=3 → Q1-2026: n=0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Relational</w:t>
            </w:r>
          </w:p>
        </w:tc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التصنيف عربي</w:t>
            </w:r>
          </w:p>
        </w:tc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EN</w:t>
            </w:r>
          </w:p>
        </w:tc>
        <w:tc>
          <w:tcPr>
            <w:tcW w:type="dxa" w:w="5504"/>
            <w:vAlign w:val="center"/>
            <w:gridSpan w:val="4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Q4-2025</w:t>
            </w:r>
          </w:p>
        </w:tc>
        <w:tc>
          <w:tcPr>
            <w:tcW w:type="dxa" w:w="5504"/>
            <w:vAlign w:val="center"/>
            <w:gridSpan w:val="4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Q1-2026</w:t>
            </w:r>
          </w:p>
        </w:tc>
      </w:tr>
      <w:tr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المجموع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L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M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H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المجموع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L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M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H</w:t>
            </w:r>
          </w:p>
        </w:tc>
      </w:tr>
      <w:tr>
        <w:tc>
          <w:tcPr>
            <w:tcW w:type="dxa" w:w="1376"/>
          </w:tcPr>
          <w:p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تجاهل المريض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Ignoring Patients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FEB9C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</w:tr>
    </w:tbl>
    <w:p/>
    <w:p/>
    <w:p>
      <w:pPr>
        <w:jc w:val="right"/>
      </w:pPr>
      <w:r>
        <w:rPr>
          <w:rFonts w:ascii="Traditional Arabic" w:hAnsi="Traditional Arabic" w:eastAsia="Traditional Arabic"/>
          <w:b/>
          <w:sz w:val="28"/>
        </w:rPr>
        <w:t>📊 مقارنة الامتثال للسياسة | Policy Compliance Comparison</w:t>
      </w:r>
    </w:p>
    <w:p/>
    <w:p>
      <w:pPr>
        <w:jc w:val="right"/>
      </w:pPr>
      <w:r>
        <w:rPr>
          <w:rFonts w:ascii="Traditional Arabic" w:hAnsi="Traditional Arabic" w:eastAsia="Traditional Arabic"/>
          <w:b/>
          <w:sz w:val="24"/>
        </w:rPr>
        <w:t>Q4-2025: ✗ غير مطابق  |  Q1-2026: ✗ غير مطابق</w:t>
      </w:r>
    </w:p>
    <w:p/>
    <w:p>
      <w:r>
        <w:br w:type="page"/>
      </w:r>
    </w:p>
    <w:p>
      <w:pPr>
        <w:jc w:val="center"/>
      </w:pPr>
      <w:r>
        <w:rPr>
          <w:rFonts w:ascii="Traditional Arabic" w:hAnsi="Traditional Arabic" w:eastAsia="Traditional Arabic"/>
          <w:b/>
          <w:sz w:val="32"/>
        </w:rPr>
        <w:t>📊 التحليل المرئي | Visual Analysis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409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40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raditional Arabic" w:hAnsi="Traditional Arabic" w:eastAsia="Traditional Arabic"/>
          <w:b/>
          <w:sz w:val="22"/>
        </w:rPr>
        <w:t>🕸️ مخطط العنكبوت - المجالات | Domain Spider Chart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78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7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raditional Arabic" w:hAnsi="Traditional Arabic" w:eastAsia="Traditional Arabic"/>
          <w:b/>
          <w:sz w:val="22"/>
        </w:rPr>
        <w:t>📊 مخطط الأعمدة - الفروقات (المجالات) | Domain Bar Subtraction Chart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raditional Arabic" w:hAnsi="Traditional Arabic" w:eastAsia="Traditional Arabic"/>
          <w:b/>
          <w:sz w:val="22"/>
        </w:rPr>
        <w:t>🕸️ مخطط العنكبوت - الفئات | Category Spider Chart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70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raditional Arabic" w:hAnsi="Traditional Arabic" w:eastAsia="Traditional Arabic"/>
          <w:b/>
          <w:sz w:val="22"/>
        </w:rPr>
        <w:t>📊 مخطط الأعمدة - الفروقات (الفئات) | Category Bar Subtraction Chart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864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6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raditional Arabic" w:hAnsi="Traditional Arabic" w:eastAsia="Traditional Arabic"/>
          <w:b/>
          <w:sz w:val="22"/>
        </w:rPr>
        <w:t>🕸️ مخطط العنكبوت - الفئات الفرعية | SubCategory Spider Chart</w:t>
      </w:r>
    </w:p>
    <w:p/>
    <w:p>
      <w:pPr>
        <w:jc w:val="right"/>
      </w:pPr>
      <w:r>
        <w:rPr>
          <w:rFonts w:ascii="Traditional Arabic" w:hAnsi="Traditional Arabic" w:eastAsia="Traditional Arabic"/>
          <w:b/>
          <w:color w:val="4472C4"/>
          <w:sz w:val="26"/>
        </w:rPr>
        <w:t>📂 Clinical | Q4-2025: n=0 → Q1-2026: n=1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Clinical</w:t>
            </w:r>
          </w:p>
        </w:tc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التصنيف عربي</w:t>
            </w:r>
          </w:p>
        </w:tc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EN</w:t>
            </w:r>
          </w:p>
        </w:tc>
        <w:tc>
          <w:tcPr>
            <w:tcW w:type="dxa" w:w="5504"/>
            <w:vAlign w:val="center"/>
            <w:gridSpan w:val="4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Q4-2025</w:t>
            </w:r>
          </w:p>
        </w:tc>
        <w:tc>
          <w:tcPr>
            <w:tcW w:type="dxa" w:w="5504"/>
            <w:vAlign w:val="center"/>
            <w:gridSpan w:val="4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Q1-2026</w:t>
            </w:r>
          </w:p>
        </w:tc>
      </w:tr>
      <w:tr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المجموع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L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M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H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المجموع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L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M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H</w:t>
            </w:r>
          </w:p>
        </w:tc>
      </w:tr>
      <w:tr>
        <w:tc>
          <w:tcPr>
            <w:tcW w:type="dxa" w:w="1376"/>
          </w:tcPr>
          <w:p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تأخر إجراء طبي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Delay Medical Procedure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FC7CE"/>
          </w:tcPr>
          <w:p>
            <w:pPr>
              <w:jc w:val="center"/>
            </w:pPr>
            <w:r>
              <w:t>1</w:t>
            </w:r>
          </w:p>
        </w:tc>
      </w:tr>
    </w:tbl>
    <w:p/>
    <w:p>
      <w:pPr>
        <w:jc w:val="right"/>
      </w:pPr>
      <w:r>
        <w:rPr>
          <w:rFonts w:ascii="Traditional Arabic" w:hAnsi="Traditional Arabic" w:eastAsia="Traditional Arabic"/>
          <w:b/>
          <w:color w:val="4472C4"/>
          <w:sz w:val="26"/>
        </w:rPr>
        <w:t>📂 Management | Q4-2025: n=15 → Q1-2026: n=26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Management</w:t>
            </w:r>
          </w:p>
        </w:tc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التصنيف عربي</w:t>
            </w:r>
          </w:p>
        </w:tc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EN</w:t>
            </w:r>
          </w:p>
        </w:tc>
        <w:tc>
          <w:tcPr>
            <w:tcW w:type="dxa" w:w="5504"/>
            <w:vAlign w:val="center"/>
            <w:gridSpan w:val="4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Q4-2025</w:t>
            </w:r>
          </w:p>
        </w:tc>
        <w:tc>
          <w:tcPr>
            <w:tcW w:type="dxa" w:w="5504"/>
            <w:vAlign w:val="center"/>
            <w:gridSpan w:val="4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Q1-2026</w:t>
            </w:r>
          </w:p>
        </w:tc>
      </w:tr>
      <w:tr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المجموع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L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M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H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المجموع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L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M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H</w:t>
            </w:r>
          </w:p>
        </w:tc>
      </w:tr>
      <w:tr>
        <w:tc>
          <w:tcPr>
            <w:tcW w:type="dxa" w:w="1376"/>
            <w:vAlign w:val="center"/>
            <w:vMerge w:val="restart"/>
            <w:shd w:fill="BDD7EE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sz w:val="22"/>
              </w:rPr>
              <w:t>Management</w:t>
            </w:r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مشاكل تتعلق بالإقامة(التكييف,التدفئة..)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Accommodation Problems(Air Conditioning..)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1376"/>
            <w:vAlign w:val="center"/>
            <w:shd w:fill="C6EFCE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</w:tr>
      <w:tr>
        <w:tc>
          <w:tcPr>
            <w:tcW w:type="dxa" w:w="1376"/>
            <w:vMerge/>
          </w:tcPr>
          <w:p/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مشاكل تتعلق بالإقامة(أجهزة غير كافية,أسرة,تهوئة..)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Accommodation Problems (Devices, Beds..)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FEB9C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</w:tr>
      <w:tr>
        <w:tc>
          <w:tcPr>
            <w:tcW w:type="dxa" w:w="1376"/>
            <w:vMerge/>
          </w:tcPr>
          <w:p/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طلبات الدرجة الأولى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First Class Services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1376"/>
            <w:vAlign w:val="center"/>
            <w:shd w:fill="C6EFCE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</w:tr>
      <w:tr>
        <w:tc>
          <w:tcPr>
            <w:tcW w:type="dxa" w:w="1376"/>
            <w:vMerge/>
          </w:tcPr>
          <w:p/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مشاكل في الأجهزة(المعلوماتية..)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IT Problems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12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FEB9C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</w:tr>
      <w:tr>
        <w:tc>
          <w:tcPr>
            <w:tcW w:type="dxa" w:w="1376"/>
            <w:vMerge/>
          </w:tcPr>
          <w:p/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مشكلة في الأمن(حدوث سرقة..)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Security Problem (Lost..)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FEB9C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</w:tr>
      <w:tr>
        <w:tc>
          <w:tcPr>
            <w:tcW w:type="dxa" w:w="1376"/>
            <w:vMerge/>
          </w:tcPr>
          <w:p/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إجراءات معقّدة/موافقات/تكاليف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Complex Procedures / Approvals / Costs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FEB9C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</w:tr>
      <w:tr>
        <w:tc>
          <w:tcPr>
            <w:tcW w:type="dxa" w:w="1376"/>
            <w:vMerge/>
          </w:tcPr>
          <w:p/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خلل تنسيق مع الأقسام الأخرى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Coordination Problem (Team, Other Departments..)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FEB9C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</w:tr>
      <w:tr>
        <w:tc>
          <w:tcPr>
            <w:tcW w:type="dxa" w:w="1376"/>
            <w:vMerge/>
          </w:tcPr>
          <w:p/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مواعيد بعيدة(العيادات الخارجية,القلبية..)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Delay Access (Clinic Appointment)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FEB9C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</w:tr>
      <w:tr>
        <w:tc>
          <w:tcPr>
            <w:tcW w:type="dxa" w:w="1376"/>
            <w:vMerge/>
          </w:tcPr>
          <w:p/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تأخر النقل (من وإلى..)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Delay Transfer (Room..)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type="dxa" w:w="1376"/>
            <w:vAlign w:val="center"/>
            <w:shd w:fill="C6EFCE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</w:tr>
    </w:tbl>
    <w:p/>
    <w:p>
      <w:pPr>
        <w:jc w:val="right"/>
      </w:pPr>
      <w:r>
        <w:rPr>
          <w:rFonts w:ascii="Traditional Arabic" w:hAnsi="Traditional Arabic" w:eastAsia="Traditional Arabic"/>
          <w:b/>
          <w:color w:val="4472C4"/>
          <w:sz w:val="26"/>
        </w:rPr>
        <w:t>📂 Relational | Q4-2025: n=3 → Q1-2026: n=0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Relational</w:t>
            </w:r>
          </w:p>
        </w:tc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التصنيف عربي</w:t>
            </w:r>
          </w:p>
        </w:tc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EN</w:t>
            </w:r>
          </w:p>
        </w:tc>
        <w:tc>
          <w:tcPr>
            <w:tcW w:type="dxa" w:w="5504"/>
            <w:vAlign w:val="center"/>
            <w:gridSpan w:val="4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Q4-2025</w:t>
            </w:r>
          </w:p>
        </w:tc>
        <w:tc>
          <w:tcPr>
            <w:tcW w:type="dxa" w:w="5504"/>
            <w:vAlign w:val="center"/>
            <w:gridSpan w:val="4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Q1-2026</w:t>
            </w:r>
          </w:p>
        </w:tc>
      </w:tr>
      <w:tr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المجموع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L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M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H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المجموع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L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M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H</w:t>
            </w:r>
          </w:p>
        </w:tc>
      </w:tr>
      <w:tr>
        <w:tc>
          <w:tcPr>
            <w:tcW w:type="dxa" w:w="1376"/>
          </w:tcPr>
          <w:p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تجاهل المريض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Ignoring Patients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FEB9C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</w:tr>
    </w:tbl>
    <w:p/>
    <w:p/>
    <w:p>
      <w:pPr>
        <w:jc w:val="right"/>
      </w:pPr>
      <w:r>
        <w:rPr>
          <w:rFonts w:ascii="Traditional Arabic" w:hAnsi="Traditional Arabic" w:eastAsia="Traditional Arabic"/>
          <w:b/>
          <w:sz w:val="28"/>
        </w:rPr>
        <w:t>📊 مقارنة الامتثال للسياسة | Policy Compliance Comparison</w:t>
      </w:r>
    </w:p>
    <w:p/>
    <w:p>
      <w:pPr>
        <w:jc w:val="right"/>
      </w:pPr>
      <w:r>
        <w:rPr>
          <w:rFonts w:ascii="Traditional Arabic" w:hAnsi="Traditional Arabic" w:eastAsia="Traditional Arabic"/>
          <w:b/>
          <w:sz w:val="24"/>
        </w:rPr>
        <w:t>Q4-2025: ✗ غير مطابق  |  Q1-2026: ✗ غير مطابق</w:t>
      </w:r>
    </w:p>
    <w:sectPr w:rsidR="00FC693F" w:rsidRPr="0006063C" w:rsidSect="00034616">
      <w:headerReference w:type="default" r:id="rId9"/>
      <w:pgSz w:w="16838" w:h="11906" w:orient="landscape"/>
      <w:pgMar w:top="850" w:right="850" w:bottom="850" w:left="850" w:header="14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822960" cy="8275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275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itional Arabic" w:hAnsi="Traditional Arab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