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raditional Arabic" w:hAnsi="Traditional Arabic" w:eastAsia="Traditional Arabic"/>
          <w:b/>
          <w:sz w:val="36"/>
        </w:rPr>
        <w:t>تقرير المقارنة الموسمية - 3 أرباع</w:t>
      </w:r>
    </w:p>
    <w:p/>
    <w:p>
      <w:pPr>
        <w:jc w:val="right"/>
      </w:pPr>
      <w:r>
        <w:rPr>
          <w:rFonts w:ascii="Traditional Arabic" w:hAnsi="Traditional Arabic" w:eastAsia="Traditional Arabic"/>
          <w:b/>
          <w:sz w:val="28"/>
        </w:rPr>
        <w:t>📊 ملخص المقارنة | Comparison Summary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2"/>
              </w:rPr>
              <w:t>الاتجاه | Trend</w:t>
            </w:r>
          </w:p>
        </w:tc>
        <w:tc>
          <w:tcPr>
            <w:tcW w:type="dxa" w:w="3028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2"/>
              </w:rPr>
              <w:t>Q2-2026</w:t>
            </w:r>
          </w:p>
        </w:tc>
        <w:tc>
          <w:tcPr>
            <w:tcW w:type="dxa" w:w="3028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2"/>
              </w:rPr>
              <w:t>Q1-2026</w:t>
            </w:r>
          </w:p>
        </w:tc>
        <w:tc>
          <w:tcPr>
            <w:tcW w:type="dxa" w:w="3028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2"/>
              </w:rPr>
              <w:t>Q4-2025</w:t>
            </w:r>
          </w:p>
        </w:tc>
        <w:tc>
          <w:tcPr>
            <w:tcW w:type="dxa" w:w="3028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2"/>
              </w:rPr>
              <w:t>المؤشر | Metric</w:t>
            </w:r>
          </w:p>
        </w:tc>
      </w:tr>
      <w:tr>
        <w:tc>
          <w:tcPr>
            <w:tcW w:type="dxa" w:w="3028"/>
            <w:vAlign w:val="center"/>
            <w:shd w:fill="FFC7CE"/>
          </w:tcPr>
          <w:p>
            <w:pPr>
              <w:jc w:val="center"/>
            </w:pPr>
            <w:r>
              <w:rPr>
                <w:sz w:val="28"/>
              </w:rPr>
              <w:t>↓↓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3028"/>
            <w:shd w:fill="D9E2F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20"/>
              </w:rPr>
              <w:t>إجمالي الحالات | Total Cases</w:t>
            </w:r>
          </w:p>
        </w:tc>
      </w:tr>
      <w:tr>
        <w:tc>
          <w:tcPr>
            <w:tcW w:type="dxa" w:w="3028"/>
            <w:vAlign w:val="center"/>
            <w:shd w:fill="FFEB9C"/>
          </w:tcPr>
          <w:p>
            <w:pPr>
              <w:jc w:val="center"/>
            </w:pPr>
            <w:r>
              <w:rPr>
                <w:sz w:val="28"/>
              </w:rPr>
              <w:t>→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  <w:shd w:fill="D9E2F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20"/>
              </w:rPr>
              <w:t>السريرية | Clinical</w:t>
            </w:r>
          </w:p>
        </w:tc>
      </w:tr>
      <w:tr>
        <w:tc>
          <w:tcPr>
            <w:tcW w:type="dxa" w:w="3028"/>
            <w:vAlign w:val="center"/>
            <w:shd w:fill="FFC7CE"/>
          </w:tcPr>
          <w:p>
            <w:pPr>
              <w:jc w:val="center"/>
            </w:pPr>
            <w:r>
              <w:rPr>
                <w:sz w:val="28"/>
              </w:rPr>
              <w:t>↓↓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26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3028"/>
            <w:shd w:fill="D9E2F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20"/>
              </w:rPr>
              <w:t>الإدارية | Management</w:t>
            </w:r>
          </w:p>
        </w:tc>
      </w:tr>
      <w:tr>
        <w:tc>
          <w:tcPr>
            <w:tcW w:type="dxa" w:w="3028"/>
            <w:vAlign w:val="center"/>
            <w:shd w:fill="FFC7CE"/>
          </w:tcPr>
          <w:p>
            <w:pPr>
              <w:jc w:val="center"/>
            </w:pPr>
            <w:r>
              <w:rPr>
                <w:sz w:val="28"/>
              </w:rPr>
              <w:t>↓↓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3028"/>
            <w:shd w:fill="D9E2F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20"/>
              </w:rPr>
              <w:t>العلاقاتية | Relational</w:t>
            </w:r>
          </w:p>
        </w:tc>
      </w:tr>
      <w:tr>
        <w:tc>
          <w:tcPr>
            <w:tcW w:type="dxa" w:w="3028"/>
            <w:vAlign w:val="center"/>
            <w:shd w:fill="FFEB9C"/>
          </w:tcPr>
          <w:p>
            <w:pPr>
              <w:jc w:val="center"/>
            </w:pPr>
            <w:r>
              <w:rPr>
                <w:sz w:val="28"/>
              </w:rPr>
              <w:t>→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  <w:shd w:fill="D9E2F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20"/>
              </w:rPr>
              <w:t>منخفضة الخطورة | Low Severity</w:t>
            </w:r>
          </w:p>
        </w:tc>
      </w:tr>
      <w:tr>
        <w:tc>
          <w:tcPr>
            <w:tcW w:type="dxa" w:w="3028"/>
            <w:vAlign w:val="center"/>
            <w:shd w:fill="FFC7CE"/>
          </w:tcPr>
          <w:p>
            <w:pPr>
              <w:jc w:val="center"/>
            </w:pPr>
            <w:r>
              <w:rPr>
                <w:sz w:val="28"/>
              </w:rPr>
              <w:t>↓↓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type="dxa" w:w="3028"/>
            <w:shd w:fill="D9E2F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20"/>
              </w:rPr>
              <w:t>متوسطة الخطورة | Medium Severity</w:t>
            </w:r>
          </w:p>
        </w:tc>
      </w:tr>
      <w:tr>
        <w:tc>
          <w:tcPr>
            <w:tcW w:type="dxa" w:w="3028"/>
            <w:vAlign w:val="center"/>
            <w:shd w:fill="FFEB9C"/>
          </w:tcPr>
          <w:p>
            <w:pPr>
              <w:jc w:val="center"/>
            </w:pPr>
            <w:r>
              <w:rPr>
                <w:sz w:val="28"/>
              </w:rPr>
              <w:t>→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  <w:shd w:fill="D9E2F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20"/>
              </w:rPr>
              <w:t>عالية الخطورة | High Severity</w:t>
            </w:r>
          </w:p>
        </w:tc>
      </w:tr>
      <w:tr>
        <w:tc>
          <w:tcPr>
            <w:tcW w:type="dxa" w:w="3028"/>
            <w:vAlign w:val="center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  <w:shd w:fill="D9E2F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20"/>
              </w:rPr>
              <w:t>إجراءات وقائية | Prevention Actions</w:t>
            </w:r>
          </w:p>
        </w:tc>
      </w:tr>
      <w:tr>
        <w:tc>
          <w:tcPr>
            <w:tcW w:type="dxa" w:w="3028"/>
            <w:vAlign w:val="center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  <w:shd w:fill="D9E2F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20"/>
              </w:rPr>
              <w:t>تفسيرات مقدمة | Explanations Submitted</w:t>
            </w:r>
          </w:p>
        </w:tc>
      </w:tr>
      <w:tr>
        <w:tc>
          <w:tcPr>
            <w:tcW w:type="dxa" w:w="3028"/>
            <w:vAlign w:val="center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  <w:shd w:fill="D9E2F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20"/>
              </w:rPr>
              <w:t>حالات مفتوحة | Open Cases</w:t>
            </w:r>
          </w:p>
        </w:tc>
      </w:tr>
    </w:tbl>
    <w:p/>
    <w:p>
      <w:pPr>
        <w:jc w:val="right"/>
      </w:pPr>
      <w:r>
        <w:rPr>
          <w:rFonts w:ascii="Traditional Arabic" w:hAnsi="Traditional Arabic" w:eastAsia="Traditional Arabic"/>
          <w:b/>
          <w:sz w:val="28"/>
        </w:rPr>
        <w:t>🔷 مقارنة المجالات | Domain Comparison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2"/>
              </w:rPr>
              <w:t>الاتجاه | Trend</w:t>
            </w:r>
          </w:p>
        </w:tc>
        <w:tc>
          <w:tcPr>
            <w:tcW w:type="dxa" w:w="3028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2"/>
              </w:rPr>
              <w:t>Q2-2026</w:t>
            </w:r>
          </w:p>
        </w:tc>
        <w:tc>
          <w:tcPr>
            <w:tcW w:type="dxa" w:w="3028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2"/>
              </w:rPr>
              <w:t>Q1-2026</w:t>
            </w:r>
          </w:p>
        </w:tc>
        <w:tc>
          <w:tcPr>
            <w:tcW w:type="dxa" w:w="3028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2"/>
              </w:rPr>
              <w:t>Q4-2025</w:t>
            </w:r>
          </w:p>
        </w:tc>
        <w:tc>
          <w:tcPr>
            <w:tcW w:type="dxa" w:w="3028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2"/>
              </w:rPr>
              <w:t>المجال | Domain</w:t>
            </w:r>
          </w:p>
        </w:tc>
      </w:tr>
      <w:tr>
        <w:tc>
          <w:tcPr>
            <w:tcW w:type="dxa" w:w="3028"/>
            <w:vAlign w:val="center"/>
            <w:shd w:fill="FFEB9C"/>
          </w:tcPr>
          <w:p>
            <w:pPr>
              <w:jc w:val="center"/>
            </w:pPr>
            <w:r>
              <w:rPr>
                <w:sz w:val="28"/>
              </w:rPr>
              <w:t>→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20"/>
              </w:rPr>
              <w:t>Clinical</w:t>
            </w:r>
          </w:p>
        </w:tc>
      </w:tr>
      <w:tr>
        <w:tc>
          <w:tcPr>
            <w:tcW w:type="dxa" w:w="3028"/>
            <w:vAlign w:val="center"/>
            <w:shd w:fill="FFC7CE"/>
          </w:tcPr>
          <w:p>
            <w:pPr>
              <w:jc w:val="center"/>
            </w:pPr>
            <w:r>
              <w:rPr>
                <w:sz w:val="28"/>
              </w:rPr>
              <w:t>↓↓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26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3028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20"/>
              </w:rPr>
              <w:t>Management</w:t>
            </w:r>
          </w:p>
        </w:tc>
      </w:tr>
      <w:tr>
        <w:tc>
          <w:tcPr>
            <w:tcW w:type="dxa" w:w="3028"/>
            <w:vAlign w:val="center"/>
            <w:shd w:fill="FFC7CE"/>
          </w:tcPr>
          <w:p>
            <w:pPr>
              <w:jc w:val="center"/>
            </w:pPr>
            <w:r>
              <w:rPr>
                <w:sz w:val="28"/>
              </w:rPr>
              <w:t>↓↓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3028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20"/>
              </w:rPr>
              <w:t>Relational</w:t>
            </w:r>
          </w:p>
        </w:tc>
      </w:tr>
      <w:tr>
        <w:tc>
          <w:tcPr>
            <w:tcW w:type="dxa" w:w="3028"/>
            <w:vAlign w:val="center"/>
            <w:shd w:fill="BDD7EE"/>
          </w:tcPr>
          <w:p>
            <w:pPr>
              <w:jc w:val="center"/>
            </w:pPr>
            <w:r>
              <w:rPr>
                <w:b/>
                <w:sz w:val="28"/>
              </w:rPr>
              <w:t>↓↓</w:t>
            </w:r>
          </w:p>
        </w:tc>
        <w:tc>
          <w:tcPr>
            <w:tcW w:type="dxa" w:w="3028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22"/>
              </w:rPr>
              <w:t>0</w:t>
            </w:r>
          </w:p>
        </w:tc>
        <w:tc>
          <w:tcPr>
            <w:tcW w:type="dxa" w:w="3028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22"/>
              </w:rPr>
              <w:t>27</w:t>
            </w:r>
          </w:p>
        </w:tc>
        <w:tc>
          <w:tcPr>
            <w:tcW w:type="dxa" w:w="3028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22"/>
              </w:rPr>
              <w:t>18</w:t>
            </w:r>
          </w:p>
        </w:tc>
        <w:tc>
          <w:tcPr>
            <w:tcW w:type="dxa" w:w="3028"/>
            <w:shd w:fill="D9E2F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b/>
                <w:sz w:val="22"/>
              </w:rPr>
              <w:t>الإجمالي | Total</w:t>
            </w:r>
          </w:p>
        </w:tc>
      </w:tr>
    </w:tbl>
    <w:p/>
    <w:p>
      <w:pPr>
        <w:jc w:val="right"/>
      </w:pPr>
      <w:r>
        <w:rPr>
          <w:rFonts w:ascii="Traditional Arabic" w:hAnsi="Traditional Arabic" w:eastAsia="Traditional Arabic"/>
          <w:b/>
          <w:sz w:val="28"/>
        </w:rPr>
        <w:t>🔶 مقارنة الفئات | Category Comparison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2"/>
              </w:rPr>
              <w:t>الاتجاه | Trend</w:t>
            </w:r>
          </w:p>
        </w:tc>
        <w:tc>
          <w:tcPr>
            <w:tcW w:type="dxa" w:w="3028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2"/>
              </w:rPr>
              <w:t>Q2-2026</w:t>
            </w:r>
          </w:p>
        </w:tc>
        <w:tc>
          <w:tcPr>
            <w:tcW w:type="dxa" w:w="3028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2"/>
              </w:rPr>
              <w:t>Q1-2026</w:t>
            </w:r>
          </w:p>
        </w:tc>
        <w:tc>
          <w:tcPr>
            <w:tcW w:type="dxa" w:w="3028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2"/>
              </w:rPr>
              <w:t>Q4-2025</w:t>
            </w:r>
          </w:p>
        </w:tc>
        <w:tc>
          <w:tcPr>
            <w:tcW w:type="dxa" w:w="3028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2"/>
              </w:rPr>
              <w:t>الفئة | Category</w:t>
            </w:r>
          </w:p>
        </w:tc>
      </w:tr>
      <w:tr>
        <w:tc>
          <w:tcPr>
            <w:tcW w:type="dxa" w:w="3028"/>
            <w:vAlign w:val="center"/>
            <w:shd w:fill="FFEB9C"/>
          </w:tcPr>
          <w:p>
            <w:pPr>
              <w:jc w:val="center"/>
            </w:pPr>
            <w:r>
              <w:rPr>
                <w:sz w:val="28"/>
              </w:rPr>
              <w:t>→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20"/>
              </w:rPr>
              <w:t>Clinical - Quality of Care</w:t>
            </w:r>
          </w:p>
        </w:tc>
      </w:tr>
      <w:tr>
        <w:tc>
          <w:tcPr>
            <w:tcW w:type="dxa" w:w="3028"/>
            <w:vAlign w:val="center"/>
            <w:shd w:fill="FFC7CE"/>
          </w:tcPr>
          <w:p>
            <w:pPr>
              <w:jc w:val="center"/>
            </w:pPr>
            <w:r>
              <w:rPr>
                <w:sz w:val="28"/>
              </w:rPr>
              <w:t>↓↓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3028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20"/>
              </w:rPr>
              <w:t>Management - Environment</w:t>
            </w:r>
          </w:p>
        </w:tc>
      </w:tr>
      <w:tr>
        <w:tc>
          <w:tcPr>
            <w:tcW w:type="dxa" w:w="3028"/>
            <w:vAlign w:val="center"/>
            <w:shd w:fill="FFC7CE"/>
          </w:tcPr>
          <w:p>
            <w:pPr>
              <w:jc w:val="center"/>
            </w:pPr>
            <w:r>
              <w:rPr>
                <w:sz w:val="28"/>
              </w:rPr>
              <w:t>↓↓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3028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20"/>
              </w:rPr>
              <w:t>Management - Institutional Processes</w:t>
            </w:r>
          </w:p>
        </w:tc>
      </w:tr>
      <w:tr>
        <w:tc>
          <w:tcPr>
            <w:tcW w:type="dxa" w:w="3028"/>
            <w:vAlign w:val="center"/>
            <w:shd w:fill="FFC7CE"/>
          </w:tcPr>
          <w:p>
            <w:pPr>
              <w:jc w:val="center"/>
            </w:pPr>
            <w:r>
              <w:rPr>
                <w:sz w:val="28"/>
              </w:rPr>
              <w:t>↓↓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3028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20"/>
              </w:rPr>
              <w:t>Relational - Listening</w:t>
            </w:r>
          </w:p>
        </w:tc>
      </w:tr>
      <w:tr>
        <w:tc>
          <w:tcPr>
            <w:tcW w:type="dxa" w:w="3028"/>
            <w:vAlign w:val="center"/>
            <w:shd w:fill="BDD7EE"/>
          </w:tcPr>
          <w:p>
            <w:pPr>
              <w:jc w:val="center"/>
            </w:pPr>
            <w:r>
              <w:rPr>
                <w:b/>
                <w:sz w:val="28"/>
              </w:rPr>
              <w:t>↓↓</w:t>
            </w:r>
          </w:p>
        </w:tc>
        <w:tc>
          <w:tcPr>
            <w:tcW w:type="dxa" w:w="3028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22"/>
              </w:rPr>
              <w:t>0</w:t>
            </w:r>
          </w:p>
        </w:tc>
        <w:tc>
          <w:tcPr>
            <w:tcW w:type="dxa" w:w="3028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22"/>
              </w:rPr>
              <w:t>27</w:t>
            </w:r>
          </w:p>
        </w:tc>
        <w:tc>
          <w:tcPr>
            <w:tcW w:type="dxa" w:w="3028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22"/>
              </w:rPr>
              <w:t>18</w:t>
            </w:r>
          </w:p>
        </w:tc>
        <w:tc>
          <w:tcPr>
            <w:tcW w:type="dxa" w:w="3028"/>
            <w:shd w:fill="D9E2F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b/>
                <w:sz w:val="22"/>
              </w:rPr>
              <w:t>الإجمالي | Total</w:t>
            </w:r>
          </w:p>
        </w:tc>
      </w:tr>
    </w:tbl>
    <w:p/>
    <w:p>
      <w:pPr>
        <w:jc w:val="right"/>
      </w:pPr>
      <w:r>
        <w:rPr>
          <w:rFonts w:ascii="Traditional Arabic" w:hAnsi="Traditional Arabic" w:eastAsia="Traditional Arabic"/>
          <w:b/>
          <w:sz w:val="28"/>
        </w:rPr>
        <w:t>🔸 مقارنة الفئات الفرعية | SubCategory Comparison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2"/>
              </w:rPr>
              <w:t>الاتجاه | Trend</w:t>
            </w:r>
          </w:p>
        </w:tc>
        <w:tc>
          <w:tcPr>
            <w:tcW w:type="dxa" w:w="3028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2"/>
              </w:rPr>
              <w:t>Q2-2026</w:t>
            </w:r>
          </w:p>
        </w:tc>
        <w:tc>
          <w:tcPr>
            <w:tcW w:type="dxa" w:w="3028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2"/>
              </w:rPr>
              <w:t>Q1-2026</w:t>
            </w:r>
          </w:p>
        </w:tc>
        <w:tc>
          <w:tcPr>
            <w:tcW w:type="dxa" w:w="3028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2"/>
              </w:rPr>
              <w:t>Q4-2025</w:t>
            </w:r>
          </w:p>
        </w:tc>
        <w:tc>
          <w:tcPr>
            <w:tcW w:type="dxa" w:w="3028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2"/>
              </w:rPr>
              <w:t>الفئة الفرعية | Subcategory</w:t>
            </w:r>
          </w:p>
        </w:tc>
      </w:tr>
      <w:tr>
        <w:tc>
          <w:tcPr>
            <w:tcW w:type="dxa" w:w="3028"/>
            <w:vAlign w:val="center"/>
            <w:shd w:fill="FFEB9C"/>
          </w:tcPr>
          <w:p>
            <w:pPr>
              <w:jc w:val="center"/>
            </w:pPr>
            <w:r>
              <w:rPr>
                <w:sz w:val="28"/>
              </w:rPr>
              <w:t>→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20"/>
              </w:rPr>
              <w:t>Environment - Accommodation</w:t>
            </w:r>
          </w:p>
        </w:tc>
      </w:tr>
      <w:tr>
        <w:tc>
          <w:tcPr>
            <w:tcW w:type="dxa" w:w="3028"/>
            <w:vAlign w:val="center"/>
            <w:shd w:fill="FFC7CE"/>
          </w:tcPr>
          <w:p>
            <w:pPr>
              <w:jc w:val="center"/>
            </w:pPr>
            <w:r>
              <w:rPr>
                <w:sz w:val="28"/>
              </w:rPr>
              <w:t>↓↓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3028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20"/>
              </w:rPr>
              <w:t>Environment - Equipment</w:t>
            </w:r>
          </w:p>
        </w:tc>
      </w:tr>
      <w:tr>
        <w:tc>
          <w:tcPr>
            <w:tcW w:type="dxa" w:w="3028"/>
            <w:vAlign w:val="center"/>
            <w:shd w:fill="FFEB9C"/>
          </w:tcPr>
          <w:p>
            <w:pPr>
              <w:jc w:val="center"/>
            </w:pPr>
            <w:r>
              <w:rPr>
                <w:sz w:val="28"/>
              </w:rPr>
              <w:t>→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20"/>
              </w:rPr>
              <w:t>Environment - Security</w:t>
            </w:r>
          </w:p>
        </w:tc>
      </w:tr>
      <w:tr>
        <w:tc>
          <w:tcPr>
            <w:tcW w:type="dxa" w:w="3028"/>
            <w:vAlign w:val="center"/>
            <w:shd w:fill="FFC7CE"/>
          </w:tcPr>
          <w:p>
            <w:pPr>
              <w:jc w:val="center"/>
            </w:pPr>
            <w:r>
              <w:rPr>
                <w:sz w:val="28"/>
              </w:rPr>
              <w:t>↓↓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3028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20"/>
              </w:rPr>
              <w:t>Institutional Processes - Bureaucracy</w:t>
            </w:r>
          </w:p>
        </w:tc>
      </w:tr>
      <w:tr>
        <w:tc>
          <w:tcPr>
            <w:tcW w:type="dxa" w:w="3028"/>
            <w:vAlign w:val="center"/>
            <w:shd w:fill="FFEB9C"/>
          </w:tcPr>
          <w:p>
            <w:pPr>
              <w:jc w:val="center"/>
            </w:pPr>
            <w:r>
              <w:rPr>
                <w:sz w:val="28"/>
              </w:rPr>
              <w:t>→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20"/>
              </w:rPr>
              <w:t>Institutional Processes - Delay - Access</w:t>
            </w:r>
          </w:p>
        </w:tc>
      </w:tr>
      <w:tr>
        <w:tc>
          <w:tcPr>
            <w:tcW w:type="dxa" w:w="3028"/>
            <w:vAlign w:val="center"/>
            <w:shd w:fill="FFEB9C"/>
          </w:tcPr>
          <w:p>
            <w:pPr>
              <w:jc w:val="center"/>
            </w:pPr>
            <w:r>
              <w:rPr>
                <w:sz w:val="28"/>
              </w:rPr>
              <w:t>→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20"/>
              </w:rPr>
              <w:t>Institutional Processes - Delay - General</w:t>
            </w:r>
          </w:p>
        </w:tc>
      </w:tr>
      <w:tr>
        <w:tc>
          <w:tcPr>
            <w:tcW w:type="dxa" w:w="3028"/>
            <w:vAlign w:val="center"/>
            <w:shd w:fill="FFC7CE"/>
          </w:tcPr>
          <w:p>
            <w:pPr>
              <w:jc w:val="center"/>
            </w:pPr>
            <w:r>
              <w:rPr>
                <w:sz w:val="28"/>
              </w:rPr>
              <w:t>↓↓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3028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20"/>
              </w:rPr>
              <w:t>Listening - Ignoring Patients</w:t>
            </w:r>
          </w:p>
        </w:tc>
      </w:tr>
      <w:tr>
        <w:tc>
          <w:tcPr>
            <w:tcW w:type="dxa" w:w="3028"/>
            <w:vAlign w:val="center"/>
            <w:shd w:fill="FFEB9C"/>
          </w:tcPr>
          <w:p>
            <w:pPr>
              <w:jc w:val="center"/>
            </w:pPr>
            <w:r>
              <w:rPr>
                <w:sz w:val="28"/>
              </w:rPr>
              <w:t>→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20"/>
              </w:rPr>
              <w:t>Quality of Care - Examination &amp; Monitoring</w:t>
            </w:r>
          </w:p>
        </w:tc>
      </w:tr>
      <w:tr>
        <w:tc>
          <w:tcPr>
            <w:tcW w:type="dxa" w:w="3028"/>
            <w:vAlign w:val="center"/>
            <w:shd w:fill="BDD7EE"/>
          </w:tcPr>
          <w:p>
            <w:pPr>
              <w:jc w:val="center"/>
            </w:pPr>
            <w:r>
              <w:rPr>
                <w:b/>
                <w:sz w:val="28"/>
              </w:rPr>
              <w:t>↓↓</w:t>
            </w:r>
          </w:p>
        </w:tc>
        <w:tc>
          <w:tcPr>
            <w:tcW w:type="dxa" w:w="3028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22"/>
              </w:rPr>
              <w:t>0</w:t>
            </w:r>
          </w:p>
        </w:tc>
        <w:tc>
          <w:tcPr>
            <w:tcW w:type="dxa" w:w="3028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22"/>
              </w:rPr>
              <w:t>27</w:t>
            </w:r>
          </w:p>
        </w:tc>
        <w:tc>
          <w:tcPr>
            <w:tcW w:type="dxa" w:w="3028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22"/>
              </w:rPr>
              <w:t>18</w:t>
            </w:r>
          </w:p>
        </w:tc>
        <w:tc>
          <w:tcPr>
            <w:tcW w:type="dxa" w:w="3028"/>
            <w:shd w:fill="D9E2F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b/>
                <w:sz w:val="22"/>
              </w:rPr>
              <w:t>الإجمالي | Total</w:t>
            </w:r>
          </w:p>
        </w:tc>
      </w:tr>
    </w:tbl>
    <w:p>
      <w:r>
        <w:br w:type="page"/>
      </w:r>
    </w:p>
    <w:p>
      <w:pPr>
        <w:jc w:val="right"/>
      </w:pPr>
      <w:r>
        <w:rPr>
          <w:rFonts w:ascii="Traditional Arabic" w:hAnsi="Traditional Arabic" w:eastAsia="Traditional Arabic"/>
          <w:b/>
          <w:sz w:val="32"/>
        </w:rPr>
        <w:t>📊 التحليل البصري | Visual Analysis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55507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550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raditional Arabic" w:hAnsi="Traditional Arabic" w:eastAsia="Traditional Arabic"/>
          <w:b/>
          <w:sz w:val="22"/>
        </w:rPr>
        <w:t>🕸️ مخطط العنكبوت - المجالات | Domain Spider Chart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52528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252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raditional Arabic" w:hAnsi="Traditional Arabic" w:eastAsia="Traditional Arabic"/>
          <w:b/>
          <w:sz w:val="22"/>
        </w:rPr>
        <w:t>🕸️ مخطط العنكبوت - الفئات | Category Spider Chart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52150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215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raditional Arabic" w:hAnsi="Traditional Arabic" w:eastAsia="Traditional Arabic"/>
          <w:b/>
          <w:sz w:val="22"/>
        </w:rPr>
        <w:t>🕸️ مخطط العنكبوت - الفئات الفرعية | SubCategory Spider Chart</w:t>
      </w:r>
    </w:p>
    <w:sectPr w:rsidR="00FC693F" w:rsidRPr="0006063C" w:rsidSect="00034616">
      <w:headerReference w:type="default" r:id="rId9"/>
      <w:pgSz w:w="16838" w:h="11906"/>
      <w:pgMar w:top="850" w:right="850" w:bottom="850" w:left="850" w:header="14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822960" cy="8275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960" cy="8275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