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rFonts w:ascii="Arial" w:hAnsi="Arial"/>
          <w:b/>
          <w:color w:val="667EEA"/>
          <w:sz w:val="44"/>
        </w:rPr>
        <w:t>تقرير ملاحظات المرضى الموسمي</w:t>
      </w:r>
    </w:p>
    <w:p>
      <w:pPr>
        <w:pStyle w:val="Heading1"/>
        <w:jc w:val="center"/>
      </w:pPr>
      <w:r>
        <w:rPr>
          <w:rFonts w:ascii="Arial" w:hAnsi="Arial"/>
          <w:color w:val="764BA2"/>
          <w:sz w:val="32"/>
        </w:rPr>
        <w:t>Patient Feedback Seasonal Report</w:t>
      </w:r>
    </w:p>
    <w:p>
      <w:pPr>
        <w:jc w:val="center"/>
      </w:pPr>
      <w:r>
        <w:rPr>
          <w:rFonts w:ascii="Arial" w:hAnsi="Arial"/>
          <w:color w:val="646464"/>
          <w:sz w:val="28"/>
        </w:rPr>
        <w:t>تحليل الأسباب الجذرية ورضا المرضى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Root Cause Analysis &amp; Patient Satisfaction</w:t>
      </w:r>
    </w:p>
    <w:p/>
    <w:p>
      <w:pPr>
        <w:jc w:val="center"/>
      </w:pPr>
      <w:r>
        <w:rPr>
          <w:rFonts w:ascii="Arial" w:hAnsi="Arial"/>
          <w:b/>
          <w:sz w:val="24"/>
        </w:rPr>
        <w:t>الفترة: 2026-01-01 إلى 2026-03-31</w:t>
      </w:r>
    </w:p>
    <w:p>
      <w:pPr>
        <w:jc w:val="center"/>
      </w:pPr>
      <w:r>
        <w:rPr>
          <w:rFonts w:ascii="Arial" w:hAnsi="Arial"/>
          <w:sz w:val="22"/>
        </w:rPr>
        <w:t>Period: January 01, 2026 to March 31, 2026</w:t>
      </w:r>
    </w:p>
    <w:p>
      <w:pPr>
        <w:jc w:val="center"/>
      </w:pPr>
      <w:r>
        <w:rPr>
          <w:rFonts w:ascii="Arial" w:hAnsi="Arial"/>
          <w:color w:val="808080"/>
          <w:sz w:val="18"/>
        </w:rPr>
        <w:t>تم الإنشاء: 2026-02-19 14:42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667EEA"/>
        </w:rPr>
        <w:t>الملخص التنفيذي /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المقياس / Metric</w:t>
            </w:r>
          </w:p>
        </w:tc>
        <w:tc>
          <w:tcPr>
            <w:tcW w:type="dxa" w:w="3213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القيمة / Value</w:t>
            </w:r>
          </w:p>
        </w:tc>
        <w:tc>
          <w:tcPr>
            <w:tcW w:type="dxa" w:w="3213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النسبة / Percentage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إجمالي الحالات / Total Cases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إجمالي الحالات الفرعية / Total Subcases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الحالات الفرعية مع RCA / Subcases with RCA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حالات مع رضا المريض / Cases with Satisfaction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سجلات RCA الإجمالية / Total RCA Records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-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667EEA"/>
        </w:rPr>
        <w:t>تحليل الأسباب الجذرية / Root Cause Analysis</w:t>
      </w:r>
    </w:p>
    <w:p>
      <w:pPr>
        <w:pStyle w:val="Heading2"/>
      </w:pPr>
      <w:r>
        <w:rPr>
          <w:rFonts w:ascii="Arial" w:hAnsi="Arial"/>
        </w:rPr>
        <w:t>توزيع حسب نوع السبب / Distribution by Cause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نوع السبب / Cause Type</w:t>
            </w:r>
          </w:p>
        </w:tc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العدد / Count</w:t>
            </w:r>
          </w:p>
        </w:tc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النسبة / Percentage</w:t>
            </w:r>
          </w:p>
        </w:tc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الوصف / Description</w:t>
            </w:r>
          </w:p>
        </w:tc>
      </w:tr>
      <w:tr>
        <w:tc>
          <w:tcPr>
            <w:tcW w:type="dxa" w:w="2409"/>
            <w:shd w:fill="FFE5E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الطاقم / Staff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أسباب متعلقة بالموظفين</w:t>
            </w:r>
          </w:p>
        </w:tc>
      </w:tr>
      <w:tr>
        <w:tc>
          <w:tcPr>
            <w:tcW w:type="dxa" w:w="2409"/>
            <w:shd w:fill="FFF3E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العملية / Process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أسباب متعلقة بالإجراءات</w:t>
            </w:r>
          </w:p>
        </w:tc>
      </w:tr>
      <w:tr>
        <w:tc>
          <w:tcPr>
            <w:tcW w:type="dxa" w:w="2409"/>
            <w:shd w:fill="E5F0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المعدات / Equipment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أسباب متعلقة بالأجهزة</w:t>
            </w:r>
          </w:p>
        </w:tc>
      </w:tr>
      <w:tr>
        <w:tc>
          <w:tcPr>
            <w:tcW w:type="dxa" w:w="2409"/>
            <w:shd w:fill="E5FFE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البيئة / Environment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أسباب متعلقة بالبيئة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إجراءات وقائية مقترحة / Preventive Measures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التصنيف / Classification</w:t>
            </w:r>
          </w:p>
        </w:tc>
        <w:tc>
          <w:tcPr>
            <w:tcW w:type="dxa" w:w="3213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العدد / Count</w:t>
            </w:r>
          </w:p>
        </w:tc>
        <w:tc>
          <w:tcPr>
            <w:tcW w:type="dxa" w:w="3213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النسبة / Percentage</w:t>
            </w:r>
          </w:p>
        </w:tc>
      </w:tr>
      <w:tr>
        <w:tc>
          <w:tcPr>
            <w:tcW w:type="dxa" w:w="3213"/>
            <w:shd w:fill="E5FFE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لديه إجراءات وقائية / Has Preventive Measures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</w:tr>
      <w:tr>
        <w:tc>
          <w:tcPr>
            <w:tcW w:type="dxa" w:w="3213"/>
            <w:shd w:fill="FFE5E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بدون إجراءات وقائية / No Preventive Measures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0.0%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667EEA"/>
        </w:rPr>
        <w:t>رضا المرضى / Patient Satisfaction</w:t>
      </w:r>
    </w:p>
    <w:p>
      <w:pPr>
        <w:pStyle w:val="Heading2"/>
      </w:pPr>
      <w:r>
        <w:rPr>
          <w:rFonts w:ascii="Arial" w:hAnsi="Arial"/>
        </w:rPr>
        <w:t>توزيع حسب حالة الرضا / Distribution by Satisfaction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الحالة (EN)</w:t>
            </w:r>
          </w:p>
        </w:tc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الحالة (AR)</w:t>
            </w:r>
          </w:p>
        </w:tc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العدد / Count</w:t>
            </w:r>
          </w:p>
        </w:tc>
        <w:tc>
          <w:tcPr>
            <w:tcW w:type="dxa" w:w="240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النسبة / Percentage</w:t>
            </w:r>
          </w:p>
        </w:tc>
      </w:tr>
      <w:tr>
        <w:tc>
          <w:tcPr>
            <w:tcW w:type="dxa" w:w="2409"/>
            <w:shd w:fill="FFFACD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No Record</w:t>
            </w:r>
          </w:p>
        </w:tc>
        <w:tc>
          <w:tcPr>
            <w:tcW w:type="dxa" w:w="2409"/>
            <w:shd w:fill="FFFACD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بدون سجل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100.0%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متابعة ملاحظات المرضى / Patient Feedback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المقياس / Metric</w:t>
            </w:r>
          </w:p>
        </w:tc>
        <w:tc>
          <w:tcPr>
            <w:tcW w:type="dxa" w:w="4819"/>
            <w:shd w:fill="667ee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القيمة / Value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حالات تحتاج متابعة / Feedback Needed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حالات تمت المتابعة / Feedback Given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</w:t>
            </w:r>
          </w:p>
        </w:tc>
      </w:tr>
    </w:tbl>
    <w:p/>
    <w:p/>
    <w:p/>
    <w:p>
      <w:pPr>
        <w:jc w:val="center"/>
      </w:pPr>
      <w:r>
        <w:rPr>
          <w:rFonts w:ascii="Arial" w:hAnsi="Arial"/>
          <w:i/>
          <w:color w:val="808080"/>
          <w:sz w:val="20"/>
        </w:rPr>
        <w:t>— نهاية التقرير / End of Report 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