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 w:eastAsia="Traditional Arabic"/>
          <w:b/>
          <w:i w:val="0"/>
          <w:sz w:val="42"/>
        </w:rPr>
        <w:t>نموذج التقرير الموسمي لفرص التحسين والإجراءات التصحيحية</w:t>
      </w:r>
    </w:p>
    <w:p>
      <w:pPr>
        <w:jc w:val="center"/>
      </w:pPr>
      <w:r>
        <w:rPr>
          <w:rFonts w:ascii="Traditional Arabic" w:hAnsi="Traditional Arabic" w:eastAsia="Traditional Arabic"/>
          <w:i w:val="0"/>
          <w:sz w:val="28"/>
        </w:rPr>
        <w:t>(إصدار رسمي — للاستخدام الإداري والجودة)</w:t>
      </w:r>
    </w:p>
    <w:p>
      <w:pPr>
        <w:jc w:val="center"/>
      </w:pPr>
      <w:r>
        <w:rPr>
          <w:rFonts w:ascii="Traditional Arabic" w:hAnsi="Traditional Arabic" w:eastAsia="Traditional Arabic"/>
          <w:b/>
          <w:i w:val="0"/>
          <w:sz w:val="24"/>
        </w:rPr>
        <w:t>الموسم المعني: الربع الأول-2026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jc w:val="center"/>
      </w:tblPr>
      <w:tblGrid>
        <w:gridCol w:w="3532"/>
        <w:gridCol w:w="3532"/>
        <w:gridCol w:w="3532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rFonts w:ascii="Traditional Arabic" w:hAnsi="Traditional Arabic" w:eastAsia="Traditional Arabic"/>
                <w:b/>
                <w:i w:val="0"/>
                <w:sz w:val="30"/>
              </w:rPr>
              <w:t xml:space="preserve">المستشفى: </w:t>
            </w:r>
            <w:r>
              <w:rPr>
                <w:rFonts w:ascii="Traditional Arabic" w:hAnsi="Traditional Arabic" w:eastAsia="Traditional Arabic"/>
                <w:b w:val="0"/>
                <w:i w:val="0"/>
                <w:sz w:val="30"/>
              </w:rPr>
              <w:t>مستشفى الرّسول الأعظم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rFonts w:ascii="Traditional Arabic" w:hAnsi="Traditional Arabic" w:eastAsia="Traditional Arabic"/>
                <w:b/>
                <w:i w:val="0"/>
                <w:sz w:val="30"/>
              </w:rPr>
              <w:t xml:space="preserve">الوحدة التنظيمية: </w:t>
            </w:r>
            <w:r>
              <w:rPr>
                <w:rFonts w:ascii="Traditional Arabic" w:hAnsi="Traditional Arabic" w:eastAsia="Traditional Arabic"/>
                <w:b w:val="0"/>
                <w:i w:val="0"/>
                <w:sz w:val="30"/>
              </w:rPr>
              <w:t>الادارة العامة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rFonts w:ascii="Traditional Arabic" w:hAnsi="Traditional Arabic" w:eastAsia="Traditional Arabic"/>
                <w:b/>
                <w:i w:val="0"/>
                <w:sz w:val="30"/>
              </w:rPr>
              <w:t xml:space="preserve">النوع: </w:t>
            </w:r>
            <w:r>
              <w:rPr>
                <w:rFonts w:ascii="Traditional Arabic" w:hAnsi="Traditional Arabic" w:eastAsia="Traditional Arabic"/>
                <w:b w:val="0"/>
                <w:i w:val="0"/>
                <w:sz w:val="30"/>
              </w:rPr>
              <w:t>المستشفى</w:t>
            </w:r>
          </w:p>
        </w:tc>
      </w:tr>
    </w:tbl>
    <w:p>
      <w:pPr>
        <w:jc w:val="center"/>
        <w:pBdr>
          <w:bottom w:val="single" w:sz="12" w:space="1" w:color="4472C4"/>
        </w:pBdr>
      </w:pPr>
    </w:p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Clinical (n=1)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Problem Category</w:t>
              <w:br/>
              <w:t>فئة المشكلة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Sub-Category</w:t>
              <w:br/>
              <w:t>الفئة الفرعية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  <w:br/>
              <w:t>Classification AR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إنجليزي</w:t>
              <w:br/>
              <w:t>Classification EN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Total</w:t>
              <w:br/>
              <w:t>المجموع</w:t>
            </w:r>
          </w:p>
        </w:tc>
        <w:tc>
          <w:tcPr>
            <w:tcW w:type="dxa" w:w="4128"/>
            <w:vAlign w:val="center"/>
            <w:gridSpan w:val="3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الشدة Severity</w:t>
            </w:r>
          </w:p>
        </w:tc>
        <w:tc>
          <w:tcPr>
            <w:tcW w:type="dxa" w:w="1376"/>
            <w:shd w:fill="4472C4"/>
          </w:tcPr>
          <w:p/>
        </w:tc>
        <w:tc>
          <w:tcPr>
            <w:tcW w:type="dxa" w:w="2752"/>
            <w:vAlign w:val="center"/>
            <w:gridSpan w:val="2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الإجراءات الوقائية</w:t>
              <w:br/>
              <w:t>Prevention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LOW</w:t>
              <w:br/>
              <w:t>منخفض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MED</w:t>
              <w:br/>
              <w:t>متوسط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HIGH</w:t>
              <w:br/>
              <w:t>عالي</w:t>
            </w:r>
          </w:p>
        </w:tc>
        <w:tc>
          <w:tcPr>
            <w:tcW w:type="dxa" w:w="1376"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YES</w:t>
              <w:br/>
              <w:t>نعم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NO</w:t>
              <w:br/>
              <w:t>لا</w:t>
            </w:r>
          </w:p>
        </w:tc>
      </w:tr>
      <w:tr>
        <w:tc>
          <w:tcPr>
            <w:tcW w:type="dxa" w:w="1376"/>
            <w:shd w:fill="D9E2F3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18"/>
              </w:rPr>
              <w:t>Quality of Care</w:t>
              <w:br/>
              <w:t>(n=1)</w:t>
            </w:r>
          </w:p>
        </w:tc>
        <w:tc>
          <w:tcPr>
            <w:tcW w:type="dxa" w:w="1376"/>
            <w:shd w:fill="E7E6E6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18"/>
              </w:rPr>
              <w:t>Examination &amp; Monitoring</w:t>
              <w:br/>
              <w:t>(n=1)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تأخر إجراء طبي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Delay Medical Procedure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C7CE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color w:val="4472C4"/>
          <w:sz w:val="26"/>
        </w:rPr>
        <w:t>📂 Management (n=26)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Problem Category</w:t>
              <w:br/>
              <w:t>فئة المشكلة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Sub-Category</w:t>
              <w:br/>
              <w:t>الفئة الفرعية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عربي</w:t>
              <w:br/>
              <w:t>Classification AR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التصنيف إنجليزي</w:t>
              <w:br/>
              <w:t>Classification EN</w:t>
            </w:r>
          </w:p>
        </w:tc>
        <w:tc>
          <w:tcPr>
            <w:tcW w:type="dxa" w:w="1376"/>
            <w:vAlign w:val="center"/>
            <w:vMerge w:val="restart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Total</w:t>
              <w:br/>
              <w:t>المجموع</w:t>
            </w:r>
          </w:p>
        </w:tc>
        <w:tc>
          <w:tcPr>
            <w:tcW w:type="dxa" w:w="4128"/>
            <w:vAlign w:val="center"/>
            <w:gridSpan w:val="3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الشدة Severity</w:t>
            </w:r>
          </w:p>
        </w:tc>
        <w:tc>
          <w:tcPr>
            <w:tcW w:type="dxa" w:w="1376"/>
            <w:shd w:fill="4472C4"/>
          </w:tcPr>
          <w:p/>
        </w:tc>
        <w:tc>
          <w:tcPr>
            <w:tcW w:type="dxa" w:w="2752"/>
            <w:vAlign w:val="center"/>
            <w:gridSpan w:val="2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8"/>
              </w:rPr>
              <w:t>الإجراءات الوقائية</w:t>
              <w:br/>
              <w:t>Prevention</w:t>
            </w:r>
          </w:p>
        </w:tc>
      </w:tr>
      <w:tr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Merge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LOW</w:t>
              <w:br/>
              <w:t>منخفض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MED</w:t>
              <w:br/>
              <w:t>متوسط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HIGH</w:t>
              <w:br/>
              <w:t>عالي</w:t>
            </w:r>
          </w:p>
        </w:tc>
        <w:tc>
          <w:tcPr>
            <w:tcW w:type="dxa" w:w="1376"/>
            <w:shd w:fill="5B9BD5"/>
          </w:tcPr>
          <w:p/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YES</w:t>
              <w:br/>
              <w:t>نعم</w:t>
            </w:r>
          </w:p>
        </w:tc>
        <w:tc>
          <w:tcPr>
            <w:tcW w:type="dxa" w:w="1376"/>
            <w:vAlign w:val="center"/>
            <w:shd w:fill="5B9BD5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16"/>
              </w:rPr>
              <w:t>NO</w:t>
              <w:br/>
              <w:t>لا</w:t>
            </w:r>
          </w:p>
        </w:tc>
      </w:tr>
      <w:tr>
        <w:tc>
          <w:tcPr>
            <w:tcW w:type="dxa" w:w="1376"/>
            <w:vMerge w:val="restart"/>
            <w:shd w:fill="D9E2F3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18"/>
              </w:rPr>
              <w:t>Environment</w:t>
              <w:br/>
              <w:t>(n=12)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1376"/>
            <w:vMerge w:val="restart"/>
            <w:shd w:fill="E7E6E6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18"/>
              </w:rPr>
              <w:t>Accommodation</w:t>
              <w:br/>
              <w:t>(n=9)</w:t>
            </w:r>
          </w:p>
          <w:p>
            <w:r/>
          </w:p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تتعلق بالإقامة(التكييف,التدفئة..)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Accommodation Problems(Air Conditioning..)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مشاكل تتعلق بالإقامة(أجهزة غير كافية,أسرة,تهوئة..)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Accommodation Problems (Devices, Beds..)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vMerge/>
          </w:tcPr>
          <w:p/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طلبات الدرجة الأولى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First Class Services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shd w:fill="E7E6E6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18"/>
              </w:rPr>
              <w:t>Security</w:t>
              <w:br/>
              <w:t>(n=3)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مشكلة في الأمن(حدوث سرقة..)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Security Problem (Lost..)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376"/>
            <w:vMerge w:val="restart"/>
            <w:shd w:fill="D9E2F3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18"/>
              </w:rPr>
              <w:t>Institutional Processes</w:t>
              <w:br/>
              <w:t>(n=14)</w:t>
            </w:r>
          </w:p>
          <w:p>
            <w:r/>
          </w:p>
          <w:p>
            <w:r/>
          </w:p>
        </w:tc>
        <w:tc>
          <w:tcPr>
            <w:tcW w:type="dxa" w:w="1376"/>
            <w:shd w:fill="E7E6E6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18"/>
              </w:rPr>
              <w:t>Bureaucracy</w:t>
              <w:br/>
              <w:t>(n=3)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خلل تنسيق مع الأقسام الأخرى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Coordination Problem (Team, Other Departments..)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shd w:fill="E7E6E6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18"/>
              </w:rPr>
              <w:t>Delay - Access</w:t>
              <w:br/>
              <w:t>(n=3)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مواعيد بعيدة(العيادات الخارجية,القلبية..)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Delay Access (Clinic Appointment)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FEB9C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376"/>
            <w:vMerge/>
          </w:tcPr>
          <w:p/>
        </w:tc>
        <w:tc>
          <w:tcPr>
            <w:tcW w:type="dxa" w:w="1376"/>
            <w:shd w:fill="E7E6E6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sz w:val="18"/>
              </w:rPr>
              <w:t>Delay - General</w:t>
              <w:br/>
              <w:t>(n=8)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sz w:val="18"/>
              </w:rPr>
              <w:t>تأخر النقل (من وإلى..)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Delay Transfer (Room..)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1376"/>
            <w:vAlign w:val="center"/>
            <w:shd w:fill="C6EFCE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  <w:vAlign w:val="center"/>
            <w:shd w:fill="F2F2F2"/>
          </w:tcPr>
          <w:p>
            <w:pPr>
              <w:jc w:val="center"/>
            </w:pPr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تقييم الامتثال للسياسة (Policy Compliance Evaluation)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القاعدة</w:t>
            </w:r>
          </w:p>
        </w:tc>
        <w:tc>
          <w:tcPr>
            <w:tcW w:type="dxa" w:w="3784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الحد الأقصى</w:t>
            </w:r>
          </w:p>
        </w:tc>
        <w:tc>
          <w:tcPr>
            <w:tcW w:type="dxa" w:w="3784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الفعلي</w:t>
            </w:r>
          </w:p>
        </w:tc>
        <w:tc>
          <w:tcPr>
            <w:tcW w:type="dxa" w:w="3784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الحالة</w:t>
            </w:r>
          </w:p>
        </w:tc>
      </w:tr>
      <w:tr>
        <w:tc>
          <w:tcPr>
            <w:tcW w:type="dxa" w:w="3784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المجال السريري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>
              <w:rPr>
                <w:sz w:val="20"/>
              </w:rPr>
              <w:t>15%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10.0%</w:t>
            </w:r>
          </w:p>
        </w:tc>
        <w:tc>
          <w:tcPr>
            <w:tcW w:type="dxa" w:w="3784"/>
            <w:vAlign w:val="center"/>
            <w:shd w:fill="C6EFCE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✓</w:t>
            </w:r>
          </w:p>
        </w:tc>
      </w:tr>
      <w:tr>
        <w:tc>
          <w:tcPr>
            <w:tcW w:type="dxa" w:w="3784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المجال الإداري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>
              <w:rPr>
                <w:sz w:val="20"/>
              </w:rPr>
              <w:t>55%</w:t>
            </w:r>
          </w:p>
        </w:tc>
        <w:tc>
          <w:tcPr>
            <w:tcW w:type="dxa" w:w="3784"/>
            <w:vAlign w:val="center"/>
            <w:shd w:fill="FFE6E6"/>
          </w:tcPr>
          <w:p>
            <w:pPr>
              <w:jc w:val="center"/>
            </w:pPr>
            <w:r>
              <w:rPr>
                <w:b/>
                <w:sz w:val="20"/>
              </w:rPr>
              <w:t>260.0%</w:t>
            </w:r>
          </w:p>
        </w:tc>
        <w:tc>
          <w:tcPr>
            <w:tcW w:type="dxa" w:w="3784"/>
            <w:vAlign w:val="center"/>
            <w:shd w:fill="FFC7CE"/>
          </w:tcPr>
          <w:p>
            <w:pPr>
              <w:jc w:val="center"/>
            </w:pPr>
            <w:r>
              <w:rPr>
                <w:b/>
                <w:color w:val="C00000"/>
                <w:sz w:val="28"/>
              </w:rPr>
              <w:t>✗</w:t>
            </w:r>
          </w:p>
        </w:tc>
      </w:tr>
      <w:tr>
        <w:tc>
          <w:tcPr>
            <w:tcW w:type="dxa" w:w="3784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المجال العلائقي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>
              <w:rPr>
                <w:sz w:val="20"/>
              </w:rPr>
              <w:t>25%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0.0%</w:t>
            </w:r>
          </w:p>
        </w:tc>
        <w:tc>
          <w:tcPr>
            <w:tcW w:type="dxa" w:w="3784"/>
            <w:vAlign w:val="center"/>
            <w:shd w:fill="C6EFCE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✓</w:t>
            </w:r>
          </w:p>
        </w:tc>
      </w:tr>
      <w:tr>
        <w:tc>
          <w:tcPr>
            <w:tcW w:type="dxa" w:w="3784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الحالات منخفضة الخطورة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784"/>
            <w:vAlign w:val="center"/>
            <w:shd w:fill="FFE6E6"/>
          </w:tcPr>
          <w:p>
            <w:pPr>
              <w:jc w:val="center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type="dxa" w:w="3784"/>
            <w:vAlign w:val="center"/>
            <w:shd w:fill="FFC7CE"/>
          </w:tcPr>
          <w:p>
            <w:pPr>
              <w:jc w:val="center"/>
            </w:pPr>
            <w:r>
              <w:rPr>
                <w:b/>
                <w:color w:val="C00000"/>
                <w:sz w:val="28"/>
              </w:rPr>
              <w:t>✗</w:t>
            </w:r>
          </w:p>
        </w:tc>
      </w:tr>
      <w:tr>
        <w:tc>
          <w:tcPr>
            <w:tcW w:type="dxa" w:w="3784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الحالات متوسطة الخطورة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784"/>
            <w:vAlign w:val="center"/>
            <w:shd w:fill="FFE6E6"/>
          </w:tcPr>
          <w:p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type="dxa" w:w="3784"/>
            <w:vAlign w:val="center"/>
            <w:shd w:fill="FFC7CE"/>
          </w:tcPr>
          <w:p>
            <w:pPr>
              <w:jc w:val="center"/>
            </w:pPr>
            <w:r>
              <w:rPr>
                <w:b/>
                <w:color w:val="C00000"/>
                <w:sz w:val="28"/>
              </w:rPr>
              <w:t>✗</w:t>
            </w:r>
          </w:p>
        </w:tc>
      </w:tr>
      <w:tr>
        <w:tc>
          <w:tcPr>
            <w:tcW w:type="dxa" w:w="3784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الحالات عالية الخطورة</w:t>
            </w:r>
          </w:p>
        </w:tc>
        <w:tc>
          <w:tcPr>
            <w:tcW w:type="dxa" w:w="3784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784"/>
            <w:vAlign w:val="center"/>
            <w:shd w:fill="FFE6E6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3784"/>
            <w:vAlign w:val="center"/>
            <w:shd w:fill="FFC7CE"/>
          </w:tcPr>
          <w:p>
            <w:pPr>
              <w:jc w:val="center"/>
            </w:pPr>
            <w:r>
              <w:rPr>
                <w:b/>
                <w:color w:val="C00000"/>
                <w:sz w:val="28"/>
              </w:rPr>
              <w:t>✗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color w:val="C00000"/>
          <w:sz w:val="24"/>
        </w:rPr>
        <w:t>✗ الحالة العامة: غير مطابق (4 مخالفات) (NON-COMPLIANT)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إحصائيات ملخصة (Summary Statistics)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النسبة المئوية</w:t>
            </w:r>
          </w:p>
        </w:tc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العدد</w:t>
            </w:r>
          </w:p>
        </w:tc>
        <w:tc>
          <w:tcPr>
            <w:tcW w:type="dxa" w:w="5046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الفئة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10.0%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Clinical (الجوانب السريرية)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260.0%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Management (الجوانب الإدارية)</w:t>
            </w:r>
          </w:p>
        </w:tc>
      </w:tr>
      <w:tr>
        <w:tc>
          <w:tcPr>
            <w:tcW w:type="dxa" w:w="5046"/>
            <w:vAlign w:val="center"/>
          </w:tcPr>
          <w:p>
            <w:pPr>
              <w:jc w:val="center"/>
            </w:pPr>
            <w:r>
              <w:t>0.0%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</w:rPr>
              <w:t>Relational (الجوانب العلائقية)</w:t>
            </w:r>
          </w:p>
        </w:tc>
      </w:tr>
      <w:tr>
        <w:tc>
          <w:tcPr>
            <w:tcW w:type="dxa" w:w="5046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  <w:t>100.0%</w:t>
            </w:r>
          </w:p>
        </w:tc>
        <w:tc>
          <w:tcPr>
            <w:tcW w:type="dxa" w:w="5046"/>
            <w:vAlign w:val="center"/>
            <w:shd w:fill="D9E2F3"/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5046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</w:rPr>
              <w:t>المجموع TOTAL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</w:rPr>
        <w:t xml:space="preserve">تفصيل الشدة (Severity Breakdown): </w:t>
      </w:r>
      <w:r>
        <w:rPr>
          <w:rFonts w:ascii="Traditional Arabic" w:hAnsi="Traditional Arabic" w:eastAsia="Traditional Arabic"/>
        </w:rPr>
        <w:t>منخفضة (14) • متوسطة (12) • عالية (1)</w:t>
      </w:r>
    </w:p>
    <w:sectPr w:rsidR="00FC693F" w:rsidRPr="0006063C" w:rsidSect="00034616">
      <w:headerReference w:type="default" r:id="rId9"/>
      <w:pgSz w:w="16838" w:h="11906" w:orient="landscape"/>
      <w:pgMar w:top="850" w:right="850" w:bottom="850" w:left="850" w:header="14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8275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75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itional Arabic" w:hAnsi="Traditional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