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 w:eastAsia="Traditional Arabic"/>
          <w:b/>
          <w:sz w:val="36"/>
        </w:rPr>
        <w:t>تقرير المقارنة الموسمية - 3 أرباع</w:t>
      </w:r>
    </w:p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📊 ملخص المقارنة | Comparison Summary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الاتجاه | Trend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Q2-2026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Q3-2026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Q4-2026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المؤشر | Metric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إجمالي الحالات | Total Cases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السريرية | Clinical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الإدارية | Management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العلاقاتية | Relational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منخفضة الخطورة | Low Severity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متوسطة الخطورة | Medium Severity</w:t>
            </w:r>
          </w:p>
        </w:tc>
      </w:tr>
      <w:tr>
        <w:tc>
          <w:tcPr>
            <w:tcW w:type="dxa" w:w="3028"/>
            <w:vAlign w:val="center"/>
            <w:shd w:fill="FFEB9C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عالية الخطورة | High Severity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إجراءات وقائية | Prevention Actions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تفسيرات مقدمة | Explanations Submitted</w:t>
            </w:r>
          </w:p>
        </w:tc>
      </w:tr>
      <w:tr>
        <w:tc>
          <w:tcPr>
            <w:tcW w:type="dxa" w:w="3028"/>
            <w:vAlign w:val="center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sz w:val="20"/>
              </w:rPr>
              <w:t>حالات مفتوحة | Open Cases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🔷 مقارنة المجالات | Domain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الاتجاه | Trend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Q2-2026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Q3-2026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Q4-2026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المجال | Domain</w:t>
            </w:r>
          </w:p>
        </w:tc>
      </w:tr>
      <w:tr>
        <w:tc>
          <w:tcPr>
            <w:tcW w:type="dxa" w:w="3028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→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2"/>
              </w:rPr>
              <w:t>الإجمالي | Total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🔶 مقارنة الفئات | Category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الاتجاه | Trend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Q2-2026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Q3-2026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Q4-2026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الفئة | Category</w:t>
            </w:r>
          </w:p>
        </w:tc>
      </w:tr>
      <w:tr>
        <w:tc>
          <w:tcPr>
            <w:tcW w:type="dxa" w:w="3028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→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2"/>
              </w:rPr>
              <w:t>الإجمالي | Total</w:t>
            </w:r>
          </w:p>
        </w:tc>
      </w:tr>
    </w:tbl>
    <w:p/>
    <w:p>
      <w:pPr>
        <w:jc w:val="right"/>
      </w:pPr>
      <w:r>
        <w:rPr>
          <w:rFonts w:ascii="Traditional Arabic" w:hAnsi="Traditional Arabic" w:eastAsia="Traditional Arabic"/>
          <w:b/>
          <w:sz w:val="28"/>
        </w:rPr>
        <w:t>🔸 مقارنة الفئات الفرعية | SubCategory Comparison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الاتجاه | Trend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Q2-2026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Q3-2026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Q4-2026</w:t>
            </w:r>
          </w:p>
        </w:tc>
        <w:tc>
          <w:tcPr>
            <w:tcW w:type="dxa" w:w="3028"/>
            <w:vAlign w:val="center"/>
            <w:shd w:fill="4472C4"/>
          </w:tcPr>
          <w:p>
            <w:pPr>
              <w:jc w:val="center"/>
            </w:pPr>
            <w:r>
              <w:rPr>
                <w:rFonts w:ascii="Traditional Arabic" w:hAnsi="Traditional Arabic" w:eastAsia="Traditional Arabic"/>
                <w:b/>
                <w:color w:val="FFFFFF"/>
                <w:sz w:val="22"/>
              </w:rPr>
              <w:t>الفئة الفرعية | Subcategory</w:t>
            </w:r>
          </w:p>
        </w:tc>
      </w:tr>
      <w:tr>
        <w:tc>
          <w:tcPr>
            <w:tcW w:type="dxa" w:w="3028"/>
            <w:vAlign w:val="center"/>
            <w:shd w:fill="BDD7EE"/>
          </w:tcPr>
          <w:p>
            <w:pPr>
              <w:jc w:val="center"/>
            </w:pPr>
            <w:r>
              <w:rPr>
                <w:b/>
                <w:sz w:val="28"/>
              </w:rPr>
              <w:t>→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type="dxa" w:w="3028"/>
            <w:shd w:fill="D9E2F3"/>
          </w:tcPr>
          <w:p>
            <w:pPr>
              <w:jc w:val="right"/>
            </w:pPr>
            <w:r>
              <w:rPr>
                <w:rFonts w:ascii="Traditional Arabic" w:hAnsi="Traditional Arabic" w:eastAsia="Traditional Arabic"/>
                <w:b/>
                <w:sz w:val="22"/>
              </w:rPr>
              <w:t>الإجمالي | Total</w:t>
            </w:r>
          </w:p>
        </w:tc>
      </w:tr>
    </w:tbl>
    <w:p>
      <w:r>
        <w:br w:type="page"/>
      </w:r>
    </w:p>
    <w:p>
      <w:pPr>
        <w:jc w:val="right"/>
      </w:pPr>
      <w:r>
        <w:rPr>
          <w:rFonts w:ascii="Traditional Arabic" w:hAnsi="Traditional Arabic" w:eastAsia="Traditional Arabic"/>
          <w:b/>
          <w:sz w:val="32"/>
        </w:rPr>
        <w:t>📊 التحليل البصري | Visual Analysis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339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3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المجالات | Domain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3393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3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| Category Spider Chart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339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3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raditional Arabic" w:hAnsi="Traditional Arabic" w:eastAsia="Traditional Arabic"/>
          <w:b/>
          <w:sz w:val="22"/>
        </w:rPr>
        <w:t>🕸️ مخطط العنكبوت - الفئات الفرعية | SubCategory Spider Chart</w:t>
      </w:r>
    </w:p>
    <w:sectPr w:rsidR="00FC693F" w:rsidRPr="0006063C" w:rsidSect="00034616">
      <w:headerReference w:type="default" r:id="rId9"/>
      <w:pgSz w:w="16838" w:h="11906"/>
      <w:pgMar w:top="850" w:right="850" w:bottom="850" w:left="850" w:header="14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22960" cy="8275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75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