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i w:val="0"/>
          <w:color w:val="1A4F4A"/>
          <w:sz w:val="72"/>
        </w:rPr>
        <w:t>Beakon</w:t>
      </w:r>
    </w:p>
    <w:p>
      <w:pPr>
        <w:spacing w:after="480"/>
      </w:pPr>
      <w:r>
        <w:rPr>
          <w:rFonts w:ascii="Calibri" w:hAnsi="Calibri"/>
          <w:b w:val="0"/>
          <w:i/>
          <w:color w:val="374151"/>
          <w:sz w:val="32"/>
        </w:rPr>
        <w:t>Engine Demonstration &amp; Blueprint Document</w:t>
      </w:r>
    </w:p>
    <w:p>
      <w:pPr>
        <w:spacing w:after="560"/>
      </w:pPr>
      <w:r>
        <w:rPr>
          <w:rFonts w:ascii="Calibri" w:hAnsi="Calibri"/>
          <w:b w:val="0"/>
          <w:i w:val="0"/>
          <w:color w:val="6B7280"/>
          <w:sz w:val="20"/>
        </w:rPr>
        <w:t>Prepared for Thomas Allina  ·  May 2026  ·  Draft for review</w:t>
      </w:r>
    </w:p>
    <w:tbl>
      <w:tblPr>
        <w:tblW w:type="auto" w:w="0"/>
        <w:tblLayout w:type="autofit"/>
        <w:tblLook w:firstColumn="1" w:firstRow="1" w:lastColumn="0" w:lastRow="0" w:noHBand="0" w:noVBand="1" w:val="04A0"/>
      </w:tblPr>
      <w:tblGrid>
        <w:gridCol w:w="9972"/>
      </w:tblGrid>
      <w:tr>
        <w:tc>
          <w:tcPr>
            <w:tcW w:type="dxa" w:w="9972"/>
            <w:shd w:val="clear" w:color="auto" w:fill="E8F0EE"/>
            <w:tcBorders>
              <w:top w:val="single" w:sz="4" w:color="D1D5DB"/>
              <w:left w:val="single" w:sz="4" w:color="D1D5DB"/>
              <w:bottom w:val="single" w:sz="4" w:color="D1D5DB"/>
              <w:right w:val="single" w:sz="4" w:color="D1D5DB"/>
            </w:tcBorders>
            <w:vAlign w:val="center"/>
          </w:tcPr>
          <w:p>
            <w:pPr>
              <w:spacing w:before="40" w:after="40"/>
            </w:pPr>
            <w:r>
              <w:rPr>
                <w:rFonts w:ascii="Calibri" w:hAnsi="Calibri"/>
                <w:b w:val="0"/>
                <w:i w:val="0"/>
                <w:color w:val="111827"/>
                <w:sz w:val="20"/>
              </w:rPr>
              <w:t>This document describes what Beakon's accounting engine does, why each capability exists, and what eight separate demonstrations prove about the engine's correctness. It is intended as a working blueprint — please mark up any section, write notes inline, and return it. Your annotations will become the canonical record of what Beakon should be.</w:t>
            </w:r>
          </w:p>
        </w:tc>
      </w:tr>
    </w:tbl>
    <w:p>
      <w:pPr>
        <w:spacing w:after="80"/>
      </w:pPr>
    </w:p>
    <w:p>
      <w:pPr>
        <w:keepNext/>
        <w:spacing w:before="360" w:after="160"/>
      </w:pPr>
      <w:r>
        <w:rPr>
          <w:rFonts w:ascii="Calibri" w:hAnsi="Calibri"/>
          <w:b/>
          <w:i w:val="0"/>
          <w:color w:val="1A4F4A"/>
          <w:sz w:val="36"/>
        </w:rPr>
        <w:t>1. What Beakon is</w:t>
      </w:r>
    </w:p>
    <w:p>
      <w:pPr>
        <w:spacing w:after="160" w:line="240" w:lineRule="auto"/>
      </w:pPr>
      <w:r>
        <w:rPr>
          <w:rFonts w:ascii="Calibri" w:hAnsi="Calibri"/>
          <w:b w:val="0"/>
          <w:i w:val="0"/>
          <w:color w:val="374151"/>
          <w:sz w:val="22"/>
        </w:rPr>
        <w:t>Beakon is an AI-native finance operating system for family offices and their controlled entities. The engine is built around three principles drawn from your founder working paper:</w:t>
      </w:r>
    </w:p>
    <w:p>
      <w:pPr>
        <w:pStyle w:val="ListBullet"/>
        <w:spacing w:after="40"/>
        <w:ind w:left="283"/>
      </w:pPr>
      <w:r>
        <w:rPr>
          <w:rFonts w:ascii="Calibri" w:hAnsi="Calibri"/>
          <w:b/>
          <w:i w:val="0"/>
          <w:color w:val="111827"/>
          <w:sz w:val="22"/>
        </w:rPr>
        <w:t>Double-entry first.</w:t>
      </w:r>
      <w:r>
        <w:rPr>
          <w:rFonts w:ascii="Calibri" w:hAnsi="Calibri"/>
          <w:b w:val="0"/>
          <w:i w:val="0"/>
          <w:color w:val="374151"/>
          <w:sz w:val="22"/>
        </w:rPr>
        <w:t xml:space="preserve"> every accounting record posts as a balanced double-entry journal entry — nothing else can land on the ledger;</w:t>
      </w:r>
    </w:p>
    <w:p>
      <w:pPr>
        <w:pStyle w:val="ListBullet"/>
        <w:spacing w:after="40"/>
        <w:ind w:left="283"/>
      </w:pPr>
      <w:r>
        <w:rPr>
          <w:rFonts w:ascii="Calibri" w:hAnsi="Calibri"/>
          <w:b/>
          <w:i w:val="0"/>
          <w:color w:val="111827"/>
          <w:sz w:val="22"/>
        </w:rPr>
        <w:t>AI proposes, humans approve.</w:t>
      </w:r>
      <w:r>
        <w:rPr>
          <w:rFonts w:ascii="Calibri" w:hAnsi="Calibri"/>
          <w:b w:val="0"/>
          <w:i w:val="0"/>
          <w:color w:val="374151"/>
          <w:sz w:val="22"/>
        </w:rPr>
        <w:t xml:space="preserve"> the AI may read documents and draft journal entries, but a human must approve before anything posts; segregation of duties is enforced at the engine level, not as a policy afterthought;</w:t>
      </w:r>
    </w:p>
    <w:p>
      <w:pPr>
        <w:pStyle w:val="ListBullet"/>
        <w:spacing w:after="40"/>
        <w:ind w:left="283"/>
      </w:pPr>
      <w:r>
        <w:rPr>
          <w:rFonts w:ascii="Calibri" w:hAnsi="Calibri"/>
          <w:b/>
          <w:i w:val="0"/>
          <w:color w:val="111827"/>
          <w:sz w:val="22"/>
        </w:rPr>
        <w:t>Every cent traceable.</w:t>
      </w:r>
      <w:r>
        <w:rPr>
          <w:rFonts w:ascii="Calibri" w:hAnsi="Calibri"/>
          <w:b w:val="0"/>
          <w:i w:val="0"/>
          <w:color w:val="374151"/>
          <w:sz w:val="22"/>
        </w:rPr>
        <w:t xml:space="preserve"> every figure on every report can be drilled back to its journal entry, and that journal entry back to its source document plus the AI metadata that drafted it. There is no opaque step.</w:t>
      </w:r>
    </w:p>
    <w:p>
      <w:pPr>
        <w:spacing w:after="240" w:line="240" w:lineRule="auto"/>
      </w:pPr>
      <w:r>
        <w:rPr>
          <w:rFonts w:ascii="Calibri" w:hAnsi="Calibri"/>
          <w:b w:val="0"/>
          <w:i w:val="0"/>
          <w:color w:val="374151"/>
          <w:sz w:val="22"/>
        </w:rPr>
        <w:t>The current build covers three intake flows (vendor bills, customer invoices, and bank statement feeds), the full approval state machine, six financial reports, and a unified bookkeeper review queue. Multi-currency and multi-entity are working today.</w:t>
      </w:r>
    </w:p>
    <w:tbl>
      <w:tblPr>
        <w:tblW w:type="auto" w:w="0"/>
        <w:tblLayout w:type="autofit"/>
        <w:tblLook w:firstColumn="1" w:firstRow="1" w:lastColumn="0" w:lastRow="0" w:noHBand="0" w:noVBand="1" w:val="04A0"/>
      </w:tblPr>
      <w:tblGrid>
        <w:gridCol w:w="9972"/>
      </w:tblGrid>
      <w:tr>
        <w:tc>
          <w:tcPr>
            <w:tcW w:type="dxa" w:w="9972"/>
            <w:shd w:val="clear" w:color="auto" w:fill="F4ED E8"/>
            <w:tcBorders>
              <w:top w:val="single" w:sz="4" w:color="D1D5DB"/>
              <w:left w:val="single" w:sz="4" w:color="D1D5DB"/>
              <w:bottom w:val="single" w:sz="4" w:color="D1D5DB"/>
              <w:right w:val="single" w:sz="4" w:color="D1D5DB"/>
            </w:tcBorders>
          </w:tcPr>
          <w:p>
            <w:r>
              <w:rPr>
                <w:rFonts w:ascii="Calibri" w:hAnsi="Calibri"/>
                <w:b/>
                <w:i/>
                <w:color w:val="6B7280"/>
                <w:sz w:val="18"/>
              </w:rPr>
              <w:t>Thomas's notes — anything missing from this overview?</w:t>
            </w:r>
          </w:p>
        </w:tc>
      </w:tr>
      <w:tr>
        <w:tc>
          <w:tcPr>
            <w:tcW w:type="dxa" w:w="9972"/>
            <w:tcBorders>
              <w:top w:val="single" w:sz="4" w:color="D1D5DB"/>
              <w:left w:val="single" w:sz="4" w:color="D1D5DB"/>
              <w:bottom w:val="single" w:sz="4" w:color="D1D5DB"/>
              <w:right w:val="single" w:sz="4" w:color="D1D5DB"/>
            </w:tcBorders>
          </w:tcPr>
          <w:p>
            <w:pPr>
              <w:spacing w:before="40" w:after="40"/>
            </w:pPr>
          </w:p>
          <w:p/>
          <w:p/>
          <w:p/>
        </w:tc>
      </w:tr>
    </w:tbl>
    <w:p>
      <w:pPr>
        <w:spacing w:after="120"/>
      </w:pPr>
    </w:p>
    <w:p>
      <w:pPr>
        <w:keepNext/>
        <w:spacing w:before="360" w:after="160"/>
      </w:pPr>
      <w:r>
        <w:rPr>
          <w:rFonts w:ascii="Calibri" w:hAnsi="Calibri"/>
          <w:b/>
          <w:i w:val="0"/>
          <w:color w:val="1A4F4A"/>
          <w:sz w:val="36"/>
        </w:rPr>
        <w:t>2. What's been built</w:t>
      </w:r>
    </w:p>
    <w:p>
      <w:pPr>
        <w:keepNext/>
        <w:spacing w:before="240" w:after="120"/>
      </w:pPr>
      <w:r>
        <w:rPr>
          <w:rFonts w:ascii="Calibri" w:hAnsi="Calibri"/>
          <w:b/>
          <w:i w:val="0"/>
          <w:color w:val="1A4F4A"/>
          <w:sz w:val="28"/>
        </w:rPr>
        <w:t>Three intake flows</w:t>
      </w:r>
    </w:p>
    <w:p>
      <w:pPr>
        <w:spacing w:after="80" w:line="240" w:lineRule="auto"/>
      </w:pPr>
      <w:r>
        <w:rPr>
          <w:rFonts w:ascii="Calibri" w:hAnsi="Calibri"/>
          <w:b w:val="0"/>
          <w:i w:val="0"/>
          <w:color w:val="374151"/>
          <w:sz w:val="22"/>
        </w:rPr>
        <w:t>Every accounting transaction enters through one of three doors. All three converge into balanced journal entries that feed the same ledger.</w:t>
      </w:r>
    </w:p>
    <w:p>
      <w:pPr>
        <w:pStyle w:val="ListBullet"/>
        <w:spacing w:after="40"/>
        <w:ind w:left="283"/>
      </w:pPr>
      <w:r>
        <w:rPr>
          <w:rFonts w:ascii="Calibri" w:hAnsi="Calibri"/>
          <w:b/>
          <w:i w:val="0"/>
          <w:color w:val="111827"/>
          <w:sz w:val="22"/>
        </w:rPr>
        <w:t>Vendor bills (AP).</w:t>
      </w:r>
      <w:r>
        <w:rPr>
          <w:rFonts w:ascii="Calibri" w:hAnsi="Calibri"/>
          <w:b w:val="0"/>
          <w:i w:val="0"/>
          <w:color w:val="374151"/>
          <w:sz w:val="22"/>
        </w:rPr>
        <w:t xml:space="preserve"> the bookkeeper uploads a vendor receipt as PDF or image. AI extracts vendor name, invoice number, dates, line items, totals, currency, and suggests an expense account from the entity's chart. The reviewer sees the AI's proposal in a draft, edits as needed, and approves. Approval auto-posts the accrual journal entry.</w:t>
      </w:r>
    </w:p>
    <w:p>
      <w:pPr>
        <w:pStyle w:val="ListBullet"/>
        <w:spacing w:after="40"/>
        <w:ind w:left="283"/>
      </w:pPr>
      <w:r>
        <w:rPr>
          <w:rFonts w:ascii="Calibri" w:hAnsi="Calibri"/>
          <w:b/>
          <w:i w:val="0"/>
          <w:color w:val="111827"/>
          <w:sz w:val="22"/>
        </w:rPr>
        <w:t>Customer invoices (AR).</w:t>
      </w:r>
      <w:r>
        <w:rPr>
          <w:rFonts w:ascii="Calibri" w:hAnsi="Calibri"/>
          <w:b w:val="0"/>
          <w:i w:val="0"/>
          <w:color w:val="374151"/>
          <w:sz w:val="22"/>
        </w:rPr>
        <w:t xml:space="preserve"> same upload flow, but AI suggests a revenue account and matches the customer record. Useful for importing legacy invoices issued before Beakon went live.</w:t>
      </w:r>
    </w:p>
    <w:p>
      <w:pPr>
        <w:pStyle w:val="ListBullet"/>
        <w:spacing w:after="40"/>
        <w:ind w:left="283"/>
      </w:pPr>
      <w:r>
        <w:rPr>
          <w:rFonts w:ascii="Calibri" w:hAnsi="Calibri"/>
          <w:b/>
          <w:i w:val="0"/>
          <w:color w:val="111827"/>
          <w:sz w:val="22"/>
        </w:rPr>
        <w:t>Bank statement feed.</w:t>
      </w:r>
      <w:r>
        <w:rPr>
          <w:rFonts w:ascii="Calibri" w:hAnsi="Calibri"/>
          <w:b w:val="0"/>
          <w:i w:val="0"/>
          <w:color w:val="374151"/>
          <w:sz w:val="22"/>
        </w:rPr>
        <w:t xml:space="preserve"> CSV statement import. Each transaction can be categorised in one click; AI suggests the offset account based on the description, amount, and the entity's chart of accounts. The resulting journal entry auto-submits for approval.</w:t>
      </w:r>
    </w:p>
    <w:p>
      <w:pPr>
        <w:keepNext/>
        <w:spacing w:before="240" w:after="120"/>
      </w:pPr>
      <w:r>
        <w:rPr>
          <w:rFonts w:ascii="Calibri" w:hAnsi="Calibri"/>
          <w:b/>
          <w:i w:val="0"/>
          <w:color w:val="1A4F4A"/>
          <w:sz w:val="28"/>
        </w:rPr>
        <w:t>The approval state machine</w:t>
      </w:r>
    </w:p>
    <w:p>
      <w:pPr>
        <w:spacing w:after="80" w:line="240" w:lineRule="auto"/>
      </w:pPr>
      <w:r>
        <w:rPr>
          <w:rFonts w:ascii="Calibri" w:hAnsi="Calibri"/>
          <w:b w:val="0"/>
          <w:i w:val="0"/>
          <w:color w:val="374151"/>
          <w:sz w:val="22"/>
        </w:rPr>
        <w:t>Every journal entry — regardless of where it came from — flows through the same four-step lifecycle:</w:t>
      </w:r>
    </w:p>
    <w:p>
      <w:pPr>
        <w:spacing w:after="160" w:line="240" w:lineRule="auto"/>
        <w:jc w:val="center"/>
      </w:pPr>
      <w:r>
        <w:rPr>
          <w:rFonts w:ascii="Calibri" w:hAnsi="Calibri"/>
          <w:b/>
          <w:i/>
          <w:color w:val="1A4F4A"/>
          <w:sz w:val="24"/>
        </w:rPr>
        <w:t>draft  →  pending approval  →  approved  →  posted</w:t>
      </w:r>
    </w:p>
    <w:p>
      <w:pPr>
        <w:spacing w:after="240" w:line="240" w:lineRule="auto"/>
      </w:pPr>
      <w:r>
        <w:rPr>
          <w:rFonts w:ascii="Calibri" w:hAnsi="Calibri"/>
          <w:b w:val="0"/>
          <w:i w:val="0"/>
          <w:color w:val="374151"/>
          <w:sz w:val="22"/>
        </w:rPr>
        <w:t>Two different humans must touch every posted entry — the submitter cannot approve their own work. This is enforced at the engine, not at the role layer, so it cannot be turned off by reconfiguring permissions. Bills and invoices follow the same lifecycle, with the approval action automatically generating the underlying journal entry.</w:t>
      </w:r>
    </w:p>
    <w:p>
      <w:pPr>
        <w:keepNext/>
        <w:spacing w:before="240" w:after="120"/>
      </w:pPr>
      <w:r>
        <w:rPr>
          <w:rFonts w:ascii="Calibri" w:hAnsi="Calibri"/>
          <w:b/>
          <w:i w:val="0"/>
          <w:color w:val="1A4F4A"/>
          <w:sz w:val="28"/>
        </w:rPr>
        <w:t>AI assistance, not autonomy</w:t>
      </w:r>
    </w:p>
    <w:p>
      <w:pPr>
        <w:spacing w:after="80" w:line="240" w:lineRule="auto"/>
      </w:pPr>
      <w:r>
        <w:rPr>
          <w:rFonts w:ascii="Calibri" w:hAnsi="Calibri"/>
          <w:b w:val="0"/>
          <w:i w:val="0"/>
          <w:color w:val="374151"/>
          <w:sz w:val="22"/>
        </w:rPr>
        <w:t>AI features in Beakon are read-and-suggest, never read-and-act. The engine surfaces an AI's confidence score and reasoning on every draft, and records the model used in the audit trail. The reviewer is always the last hand on the record.</w:t>
      </w:r>
    </w:p>
    <w:p>
      <w:pPr>
        <w:spacing w:after="240" w:line="240" w:lineRule="auto"/>
      </w:pPr>
      <w:r>
        <w:rPr>
          <w:rFonts w:ascii="Calibri" w:hAnsi="Calibri"/>
          <w:b w:val="0"/>
          <w:i w:val="0"/>
          <w:color w:val="374151"/>
          <w:sz w:val="22"/>
        </w:rPr>
        <w:t>Today the AI features are: bill OCR + extraction, invoice OCR + extraction, bank-line categorisation, and short executive commentary on each report. All four can run on local infrastructure (privacy-first, nothing leaves the office) or on Anthropic's Claude API for higher accuracy on hard-to-read documents.</w:t>
      </w:r>
    </w:p>
    <w:tbl>
      <w:tblPr>
        <w:tblW w:type="auto" w:w="0"/>
        <w:tblLayout w:type="autofit"/>
        <w:tblLook w:firstColumn="1" w:firstRow="1" w:lastColumn="0" w:lastRow="0" w:noHBand="0" w:noVBand="1" w:val="04A0"/>
      </w:tblPr>
      <w:tblGrid>
        <w:gridCol w:w="9972"/>
      </w:tblGrid>
      <w:tr>
        <w:tc>
          <w:tcPr>
            <w:tcW w:type="dxa" w:w="9972"/>
            <w:shd w:val="clear" w:color="auto" w:fill="F4ED E8"/>
            <w:tcBorders>
              <w:top w:val="single" w:sz="4" w:color="D1D5DB"/>
              <w:left w:val="single" w:sz="4" w:color="D1D5DB"/>
              <w:bottom w:val="single" w:sz="4" w:color="D1D5DB"/>
              <w:right w:val="single" w:sz="4" w:color="D1D5DB"/>
            </w:tcBorders>
          </w:tcPr>
          <w:p>
            <w:r>
              <w:rPr>
                <w:rFonts w:ascii="Calibri" w:hAnsi="Calibri"/>
                <w:b/>
                <w:i/>
                <w:color w:val="6B7280"/>
                <w:sz w:val="18"/>
              </w:rPr>
              <w:t>Thomas's notes — what's missing or mis-prioritised?</w:t>
            </w:r>
          </w:p>
        </w:tc>
      </w:tr>
      <w:tr>
        <w:tc>
          <w:tcPr>
            <w:tcW w:type="dxa" w:w="9972"/>
            <w:tcBorders>
              <w:top w:val="single" w:sz="4" w:color="D1D5DB"/>
              <w:left w:val="single" w:sz="4" w:color="D1D5DB"/>
              <w:bottom w:val="single" w:sz="4" w:color="D1D5DB"/>
              <w:right w:val="single" w:sz="4" w:color="D1D5DB"/>
            </w:tcBorders>
          </w:tcPr>
          <w:p>
            <w:pPr>
              <w:spacing w:before="40" w:after="40"/>
            </w:pPr>
          </w:p>
          <w:p/>
          <w:p/>
          <w:p/>
        </w:tc>
      </w:tr>
    </w:tbl>
    <w:p>
      <w:pPr>
        <w:spacing w:after="120"/>
      </w:pPr>
    </w:p>
    <w:p>
      <w:pPr>
        <w:keepNext/>
        <w:spacing w:before="360" w:after="160"/>
      </w:pPr>
      <w:r>
        <w:rPr>
          <w:rFonts w:ascii="Calibri" w:hAnsi="Calibri"/>
          <w:b/>
          <w:i w:val="0"/>
          <w:color w:val="1A4F4A"/>
          <w:sz w:val="36"/>
        </w:rPr>
        <w:t>3. How a transaction flows</w:t>
      </w:r>
    </w:p>
    <w:p>
      <w:pPr>
        <w:spacing w:after="160" w:line="240" w:lineRule="auto"/>
      </w:pPr>
      <w:r>
        <w:rPr>
          <w:rFonts w:ascii="Calibri" w:hAnsi="Calibri"/>
          <w:b w:val="0"/>
          <w:i w:val="0"/>
          <w:color w:val="374151"/>
          <w:sz w:val="22"/>
        </w:rPr>
        <w:t>The same lifecycle governs every record in Beakon. The diagram below shows the four states a journal entry passes through, from creation to the ledger:</w:t>
      </w:r>
    </w:p>
    <w:tbl>
      <w:tblPr>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Draft</w:t>
            </w:r>
          </w:p>
        </w:tc>
        <w:tc>
          <w:tcPr>
            <w:tcW w:type="dxa" w:w="1425"/>
            <w:vAlign w:val="center"/>
          </w:tcPr>
          <w:p>
            <w:pPr>
              <w:spacing w:before="40" w:after="40"/>
              <w:jc w:val="center"/>
            </w:pPr>
            <w:r>
              <w:rPr>
                <w:rFonts w:ascii="Calibri" w:hAnsi="Calibri"/>
                <w:b/>
                <w:i w:val="0"/>
                <w:color w:val="6B7280"/>
                <w:sz w:val="28"/>
              </w:rPr>
              <w:t>→</w:t>
            </w:r>
          </w:p>
        </w:tc>
        <w:tc>
          <w:tcPr>
            <w:tcW w:type="dxa" w:w="1425"/>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Pending approval</w:t>
            </w:r>
          </w:p>
        </w:tc>
        <w:tc>
          <w:tcPr>
            <w:tcW w:type="dxa" w:w="1425"/>
            <w:vAlign w:val="center"/>
          </w:tcPr>
          <w:p>
            <w:pPr>
              <w:spacing w:before="40" w:after="40"/>
              <w:jc w:val="center"/>
            </w:pPr>
            <w:r>
              <w:rPr>
                <w:rFonts w:ascii="Calibri" w:hAnsi="Calibri"/>
                <w:b/>
                <w:i w:val="0"/>
                <w:color w:val="6B7280"/>
                <w:sz w:val="28"/>
              </w:rPr>
              <w:t>→</w:t>
            </w:r>
          </w:p>
        </w:tc>
        <w:tc>
          <w:tcPr>
            <w:tcW w:type="dxa" w:w="1425"/>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Approved</w:t>
            </w:r>
          </w:p>
        </w:tc>
        <w:tc>
          <w:tcPr>
            <w:tcW w:type="dxa" w:w="1425"/>
            <w:vAlign w:val="center"/>
          </w:tcPr>
          <w:p>
            <w:pPr>
              <w:spacing w:before="40" w:after="40"/>
              <w:jc w:val="center"/>
            </w:pPr>
            <w:r>
              <w:rPr>
                <w:rFonts w:ascii="Calibri" w:hAnsi="Calibri"/>
                <w:b/>
                <w:i w:val="0"/>
                <w:color w:val="6B7280"/>
                <w:sz w:val="28"/>
              </w:rPr>
              <w:t>→</w:t>
            </w:r>
          </w:p>
        </w:tc>
        <w:tc>
          <w:tcPr>
            <w:tcW w:type="dxa" w:w="1425"/>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Posted</w:t>
            </w:r>
          </w:p>
        </w:tc>
      </w:tr>
    </w:tbl>
    <w:p>
      <w:pPr>
        <w:spacing w:after="160"/>
      </w:pPr>
    </w:p>
    <w:p>
      <w:pPr>
        <w:spacing w:after="280" w:line="240" w:lineRule="auto"/>
      </w:pPr>
      <w:r>
        <w:rPr>
          <w:rFonts w:ascii="Calibri" w:hAnsi="Calibri"/>
          <w:b w:val="0"/>
          <w:i w:val="0"/>
          <w:color w:val="374151"/>
          <w:sz w:val="22"/>
        </w:rPr>
        <w:t>Movement between states requires an explicit human action. There is no auto-posting, no scheduled batch, no override. A draft can also be cancelled at any time before approval — cancelled records stay in the system for audit but never reach the ledger.</w:t>
      </w:r>
    </w:p>
    <w:p>
      <w:pPr>
        <w:keepNext/>
        <w:spacing w:before="240" w:after="120"/>
      </w:pPr>
      <w:r>
        <w:rPr>
          <w:rFonts w:ascii="Calibri" w:hAnsi="Calibri"/>
          <w:b/>
          <w:i w:val="0"/>
          <w:color w:val="1A4F4A"/>
          <w:sz w:val="28"/>
        </w:rPr>
        <w:t>Vendor bill (AP) workflow</w:t>
      </w:r>
    </w:p>
    <w:p>
      <w:pPr>
        <w:spacing w:after="160" w:line="240" w:lineRule="auto"/>
      </w:pPr>
      <w:r>
        <w:rPr>
          <w:rFonts w:ascii="Calibri" w:hAnsi="Calibri"/>
          <w:b w:val="0"/>
          <w:i w:val="0"/>
          <w:color w:val="374151"/>
          <w:sz w:val="22"/>
        </w:rPr>
        <w:t>An incoming vendor invoice. The bookkeeper uploads the PDF or image; AI drafts the bill; a second human approves; the accrual journal entry posts; the bill becomes payable.</w:t>
      </w:r>
    </w:p>
    <w:tbl>
      <w:tblPr>
        <w:tblW w:type="auto" w:w="0"/>
        <w:tblLayout w:type="autofit"/>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Receipt uploaded</w:t>
            </w:r>
          </w:p>
        </w:tc>
        <w:tc>
          <w:tcPr>
            <w:tcW w:type="dxa" w:w="1108"/>
            <w:vAlign w:val="center"/>
          </w:tcPr>
          <w:p>
            <w:pPr>
              <w:spacing w:before="40" w:after="40"/>
              <w:jc w:val="center"/>
            </w:pPr>
            <w:r>
              <w:rPr>
                <w:rFonts w:ascii="Calibri" w:hAnsi="Calibri"/>
                <w:b/>
                <w:i w:val="0"/>
                <w:color w:val="6B7280"/>
                <w:sz w:val="28"/>
              </w:rPr>
              <w:t>→</w:t>
            </w:r>
          </w:p>
        </w:tc>
        <w:tc>
          <w:tcPr>
            <w:tcW w:type="dxa" w:w="1108"/>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AI extraction</w:t>
            </w:r>
          </w:p>
        </w:tc>
        <w:tc>
          <w:tcPr>
            <w:tcW w:type="dxa" w:w="1108"/>
            <w:vAlign w:val="center"/>
          </w:tcPr>
          <w:p>
            <w:pPr>
              <w:spacing w:before="40" w:after="40"/>
              <w:jc w:val="center"/>
            </w:pPr>
            <w:r>
              <w:rPr>
                <w:rFonts w:ascii="Calibri" w:hAnsi="Calibri"/>
                <w:b/>
                <w:i w:val="0"/>
                <w:color w:val="6B7280"/>
                <w:sz w:val="28"/>
              </w:rPr>
              <w:t>→</w:t>
            </w:r>
          </w:p>
        </w:tc>
        <w:tc>
          <w:tcPr>
            <w:tcW w:type="dxa" w:w="1108"/>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Bookkeeper review</w:t>
            </w:r>
          </w:p>
        </w:tc>
        <w:tc>
          <w:tcPr>
            <w:tcW w:type="dxa" w:w="1108"/>
            <w:vAlign w:val="center"/>
          </w:tcPr>
          <w:p>
            <w:pPr>
              <w:spacing w:before="40" w:after="40"/>
              <w:jc w:val="center"/>
            </w:pPr>
            <w:r>
              <w:rPr>
                <w:rFonts w:ascii="Calibri" w:hAnsi="Calibri"/>
                <w:b/>
                <w:i w:val="0"/>
                <w:color w:val="6B7280"/>
                <w:sz w:val="28"/>
              </w:rPr>
              <w:t>→</w:t>
            </w:r>
          </w:p>
        </w:tc>
        <w:tc>
          <w:tcPr>
            <w:tcW w:type="dxa" w:w="1108"/>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Approved</w:t>
            </w:r>
          </w:p>
        </w:tc>
        <w:tc>
          <w:tcPr>
            <w:tcW w:type="dxa" w:w="1108"/>
            <w:vAlign w:val="center"/>
          </w:tcPr>
          <w:p>
            <w:pPr>
              <w:spacing w:before="40" w:after="40"/>
              <w:jc w:val="center"/>
            </w:pPr>
            <w:r>
              <w:rPr>
                <w:rFonts w:ascii="Calibri" w:hAnsi="Calibri"/>
                <w:b/>
                <w:i w:val="0"/>
                <w:color w:val="6B7280"/>
                <w:sz w:val="28"/>
              </w:rPr>
              <w:t>→</w:t>
            </w:r>
          </w:p>
        </w:tc>
        <w:tc>
          <w:tcPr>
            <w:tcW w:type="dxa" w:w="1108"/>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JE posted</w:t>
            </w:r>
          </w:p>
        </w:tc>
      </w:tr>
    </w:tbl>
    <w:p>
      <w:pPr>
        <w:spacing w:after="160"/>
      </w:pPr>
    </w:p>
    <w:p>
      <w:pPr>
        <w:spacing w:after="280" w:line="240" w:lineRule="auto"/>
      </w:pPr>
      <w:r>
        <w:rPr>
          <w:rFonts w:ascii="Calibri" w:hAnsi="Calibri"/>
          <w:b w:val="0"/>
          <w:i w:val="0"/>
          <w:color w:val="374151"/>
          <w:sz w:val="22"/>
        </w:rPr>
        <w:t>Customer invoices (AR) and bank-feed transactions follow the same shape — the only differences are which document is uploaded, which side of the journal entry the AI suggests, and where the resulting posting lands on the chart of accounts.</w:t>
      </w:r>
    </w:p>
    <w:p>
      <w:pPr>
        <w:keepNext/>
        <w:spacing w:before="240" w:after="120"/>
      </w:pPr>
      <w:r>
        <w:rPr>
          <w:rFonts w:ascii="Calibri" w:hAnsi="Calibri"/>
          <w:b/>
          <w:i w:val="0"/>
          <w:color w:val="1A4F4A"/>
          <w:sz w:val="28"/>
        </w:rPr>
        <w:t>End-to-end traceability</w:t>
      </w:r>
    </w:p>
    <w:p>
      <w:pPr>
        <w:spacing w:after="160" w:line="240" w:lineRule="auto"/>
      </w:pPr>
      <w:r>
        <w:rPr>
          <w:rFonts w:ascii="Calibri" w:hAnsi="Calibri"/>
          <w:b w:val="0"/>
          <w:i w:val="0"/>
          <w:color w:val="374151"/>
          <w:sz w:val="22"/>
        </w:rPr>
        <w:t>Any number on any report can be traced back through the system to its origin. The chain looks like this:</w:t>
      </w:r>
    </w:p>
    <w:tbl>
      <w:tblPr>
        <w:tblW w:type="auto" w:w="0"/>
        <w:tblLayout w:type="autofit"/>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Trial balance figure</w:t>
            </w:r>
          </w:p>
        </w:tc>
        <w:tc>
          <w:tcPr>
            <w:tcW w:type="dxa" w:w="1108"/>
            <w:vAlign w:val="center"/>
          </w:tcPr>
          <w:p>
            <w:pPr>
              <w:spacing w:before="40" w:after="40"/>
              <w:jc w:val="center"/>
            </w:pPr>
            <w:r>
              <w:rPr>
                <w:rFonts w:ascii="Calibri" w:hAnsi="Calibri"/>
                <w:b/>
                <w:i w:val="0"/>
                <w:color w:val="6B7280"/>
                <w:sz w:val="28"/>
              </w:rPr>
              <w:t>→</w:t>
            </w:r>
          </w:p>
        </w:tc>
        <w:tc>
          <w:tcPr>
            <w:tcW w:type="dxa" w:w="1108"/>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Account ledger row</w:t>
            </w:r>
          </w:p>
        </w:tc>
        <w:tc>
          <w:tcPr>
            <w:tcW w:type="dxa" w:w="1108"/>
            <w:vAlign w:val="center"/>
          </w:tcPr>
          <w:p>
            <w:pPr>
              <w:spacing w:before="40" w:after="40"/>
              <w:jc w:val="center"/>
            </w:pPr>
            <w:r>
              <w:rPr>
                <w:rFonts w:ascii="Calibri" w:hAnsi="Calibri"/>
                <w:b/>
                <w:i w:val="0"/>
                <w:color w:val="6B7280"/>
                <w:sz w:val="28"/>
              </w:rPr>
              <w:t>→</w:t>
            </w:r>
          </w:p>
        </w:tc>
        <w:tc>
          <w:tcPr>
            <w:tcW w:type="dxa" w:w="1108"/>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Journal entry</w:t>
            </w:r>
          </w:p>
        </w:tc>
        <w:tc>
          <w:tcPr>
            <w:tcW w:type="dxa" w:w="1108"/>
            <w:vAlign w:val="center"/>
          </w:tcPr>
          <w:p>
            <w:pPr>
              <w:spacing w:before="40" w:after="40"/>
              <w:jc w:val="center"/>
            </w:pPr>
            <w:r>
              <w:rPr>
                <w:rFonts w:ascii="Calibri" w:hAnsi="Calibri"/>
                <w:b/>
                <w:i w:val="0"/>
                <w:color w:val="6B7280"/>
                <w:sz w:val="28"/>
              </w:rPr>
              <w:t>→</w:t>
            </w:r>
          </w:p>
        </w:tc>
        <w:tc>
          <w:tcPr>
            <w:tcW w:type="dxa" w:w="1108"/>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Source document</w:t>
            </w:r>
          </w:p>
        </w:tc>
        <w:tc>
          <w:tcPr>
            <w:tcW w:type="dxa" w:w="1108"/>
            <w:vAlign w:val="center"/>
          </w:tcPr>
          <w:p>
            <w:pPr>
              <w:spacing w:before="40" w:after="40"/>
              <w:jc w:val="center"/>
            </w:pPr>
            <w:r>
              <w:rPr>
                <w:rFonts w:ascii="Calibri" w:hAnsi="Calibri"/>
                <w:b/>
                <w:i w:val="0"/>
                <w:color w:val="6B7280"/>
                <w:sz w:val="28"/>
              </w:rPr>
              <w:t>→</w:t>
            </w:r>
          </w:p>
        </w:tc>
        <w:tc>
          <w:tcPr>
            <w:tcW w:type="dxa" w:w="1108"/>
            <w:shd w:val="clear" w:color="auto" w:fill="E8F0EE"/>
            <w:tcBorders>
              <w:top w:val="single" w:sz="4" w:color="D1D5DB"/>
              <w:left w:val="single" w:sz="4" w:color="D1D5DB"/>
              <w:bottom w:val="single" w:sz="4" w:color="D1D5DB"/>
              <w:right w:val="single" w:sz="4" w:color="D1D5DB"/>
            </w:tcBorders>
            <w:vAlign w:val="center"/>
          </w:tcPr>
          <w:p>
            <w:pPr>
              <w:spacing w:before="40" w:after="40"/>
              <w:jc w:val="center"/>
            </w:pPr>
            <w:r>
              <w:rPr>
                <w:rFonts w:ascii="Calibri" w:hAnsi="Calibri"/>
                <w:b/>
                <w:i w:val="0"/>
                <w:color w:val="1A4F4A"/>
                <w:sz w:val="20"/>
              </w:rPr>
              <w:t>AI metadata</w:t>
            </w:r>
          </w:p>
        </w:tc>
      </w:tr>
    </w:tbl>
    <w:p>
      <w:pPr>
        <w:spacing w:after="160"/>
      </w:pPr>
    </w:p>
    <w:p>
      <w:pPr>
        <w:spacing w:after="240" w:line="240" w:lineRule="auto"/>
      </w:pPr>
      <w:r>
        <w:rPr>
          <w:rFonts w:ascii="Calibri" w:hAnsi="Calibri"/>
          <w:b w:val="0"/>
          <w:i w:val="0"/>
          <w:color w:val="374151"/>
          <w:sz w:val="22"/>
        </w:rPr>
        <w:t>Each arrow is a single click in the user interface. There is no report without a corresponding ledger entry, no ledger entry without a source document, and no AI-drafted record without the model name, confidence score, and accounting-standard reasoning preserved on the audit trail.</w:t>
      </w:r>
    </w:p>
    <w:tbl>
      <w:tblPr>
        <w:tblW w:type="auto" w:w="0"/>
        <w:tblLayout w:type="autofit"/>
        <w:tblLook w:firstColumn="1" w:firstRow="1" w:lastColumn="0" w:lastRow="0" w:noHBand="0" w:noVBand="1" w:val="04A0"/>
      </w:tblPr>
      <w:tblGrid>
        <w:gridCol w:w="9972"/>
      </w:tblGrid>
      <w:tr>
        <w:tc>
          <w:tcPr>
            <w:tcW w:type="dxa" w:w="9972"/>
            <w:shd w:val="clear" w:color="auto" w:fill="F4ED E8"/>
            <w:tcBorders>
              <w:top w:val="single" w:sz="4" w:color="D1D5DB"/>
              <w:left w:val="single" w:sz="4" w:color="D1D5DB"/>
              <w:bottom w:val="single" w:sz="4" w:color="D1D5DB"/>
              <w:right w:val="single" w:sz="4" w:color="D1D5DB"/>
            </w:tcBorders>
          </w:tcPr>
          <w:p>
            <w:r>
              <w:rPr>
                <w:rFonts w:ascii="Calibri" w:hAnsi="Calibri"/>
                <w:b/>
                <w:i/>
                <w:color w:val="6B7280"/>
                <w:sz w:val="18"/>
              </w:rPr>
              <w:t>Thomas's notes — any step in these workflows you would change?</w:t>
            </w:r>
          </w:p>
        </w:tc>
      </w:tr>
      <w:tr>
        <w:tc>
          <w:tcPr>
            <w:tcW w:type="dxa" w:w="9972"/>
            <w:tcBorders>
              <w:top w:val="single" w:sz="4" w:color="D1D5DB"/>
              <w:left w:val="single" w:sz="4" w:color="D1D5DB"/>
              <w:bottom w:val="single" w:sz="4" w:color="D1D5DB"/>
              <w:right w:val="single" w:sz="4" w:color="D1D5DB"/>
            </w:tcBorders>
          </w:tcPr>
          <w:p>
            <w:pPr>
              <w:spacing w:before="40" w:after="40"/>
            </w:pPr>
          </w:p>
          <w:p/>
          <w:p/>
          <w:p/>
        </w:tc>
      </w:tr>
    </w:tbl>
    <w:p>
      <w:pPr>
        <w:spacing w:after="120"/>
      </w:pPr>
    </w:p>
    <w:p>
      <w:pPr>
        <w:keepNext/>
        <w:spacing w:before="360" w:after="160"/>
      </w:pPr>
      <w:r>
        <w:rPr>
          <w:rFonts w:ascii="Calibri" w:hAnsi="Calibri"/>
          <w:b/>
          <w:i w:val="0"/>
          <w:color w:val="1A4F4A"/>
          <w:sz w:val="36"/>
        </w:rPr>
        <w:t>4. The eight demonstrations</w:t>
      </w:r>
    </w:p>
    <w:p>
      <w:pPr>
        <w:spacing w:after="200" w:line="240" w:lineRule="auto"/>
      </w:pPr>
      <w:r>
        <w:rPr>
          <w:rFonts w:ascii="Calibri" w:hAnsi="Calibri"/>
          <w:b w:val="0"/>
          <w:i w:val="0"/>
          <w:color w:val="374151"/>
          <w:sz w:val="22"/>
        </w:rPr>
        <w:t>Each demonstration probes a different property of the engine. Together they prove the system is internally consistent — the same transactions produce the same numbers no matter which report you view them through.</w:t>
      </w:r>
    </w:p>
    <w:p>
      <w:pPr>
        <w:keepNext/>
        <w:spacing w:before="240" w:after="120"/>
      </w:pPr>
      <w:r>
        <w:rPr>
          <w:rFonts w:ascii="Calibri" w:hAnsi="Calibri"/>
          <w:b/>
          <w:i w:val="0"/>
          <w:color w:val="1A4F4A"/>
          <w:sz w:val="28"/>
        </w:rPr>
        <w:t>4.1 Trial Balance</w:t>
      </w:r>
    </w:p>
    <w:p>
      <w:pPr>
        <w:spacing w:after="80" w:line="240" w:lineRule="auto"/>
      </w:pPr>
      <w:r>
        <w:rPr>
          <w:rFonts w:ascii="Calibri" w:hAnsi="Calibri"/>
          <w:b w:val="0"/>
          <w:i w:val="0"/>
          <w:color w:val="374151"/>
          <w:sz w:val="22"/>
        </w:rPr>
        <w:t>The most basic test in accounting: do total debits equal total credits? If yes, every journal entry in the system is a balanced double-entry. The engine exposes this as a green Balanced badge on the report header.</w:t>
      </w:r>
    </w:p>
    <w:tbl>
      <w:tblPr>
        <w:tblW w:type="auto" w:w="0"/>
        <w:tblLayout w:type="autofit"/>
        <w:tblLook w:firstColumn="1" w:firstRow="1" w:lastColumn="0" w:lastRow="0" w:noHBand="0" w:noVBand="1" w:val="04A0"/>
      </w:tblPr>
      <w:tblGrid>
        <w:gridCol w:w="4986"/>
        <w:gridCol w:w="4986"/>
      </w:tblGrid>
      <w:tr>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you'll see</w:t>
            </w:r>
          </w:p>
        </w:tc>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it proves</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Trial Balance with green Balanced badge.</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Every JE posted to the ledger respects double-entry.</w:t>
            </w:r>
          </w:p>
        </w:tc>
      </w:tr>
      <w:tr>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Same account code shown per entity (e.g. five Operating Bank rows).</w:t>
            </w:r>
          </w:p>
        </w:tc>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Multi-entity accounting is working — each entity carries its own instance of the chart, no silent merging.</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Export to CSV downloads cleanly into Excel.</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Reports are file-shareable, not just on-screen artefacts.</w:t>
            </w:r>
          </w:p>
        </w:tc>
      </w:tr>
    </w:tbl>
    <w:p>
      <w:pPr>
        <w:spacing w:after="160"/>
      </w:pPr>
    </w:p>
    <w:p>
      <w:pPr>
        <w:keepNext/>
        <w:spacing w:before="240" w:after="120"/>
      </w:pPr>
      <w:r>
        <w:rPr>
          <w:rFonts w:ascii="Calibri" w:hAnsi="Calibri"/>
          <w:b/>
          <w:i w:val="0"/>
          <w:color w:val="1A4F4A"/>
          <w:sz w:val="28"/>
        </w:rPr>
        <w:t>4.2 Balance Sheet</w:t>
      </w:r>
    </w:p>
    <w:p>
      <w:pPr>
        <w:spacing w:after="80" w:line="240" w:lineRule="auto"/>
      </w:pPr>
      <w:r>
        <w:rPr>
          <w:rFonts w:ascii="Calibri" w:hAnsi="Calibri"/>
          <w:b w:val="0"/>
          <w:i w:val="0"/>
          <w:color w:val="374151"/>
          <w:sz w:val="22"/>
        </w:rPr>
        <w:t>The accounting equation must hold at any reporting date: Assets = Liabilities + Equity. The badge turns red if the engine fails to maintain this — a fundamental sanity check.</w:t>
      </w:r>
    </w:p>
    <w:tbl>
      <w:tblPr>
        <w:tblW w:type="auto" w:w="0"/>
        <w:tblLayout w:type="autofit"/>
        <w:tblLook w:firstColumn="1" w:firstRow="1" w:lastColumn="0" w:lastRow="0" w:noHBand="0" w:noVBand="1" w:val="04A0"/>
      </w:tblPr>
      <w:tblGrid>
        <w:gridCol w:w="4986"/>
        <w:gridCol w:w="4986"/>
      </w:tblGrid>
      <w:tr>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you'll see</w:t>
            </w:r>
          </w:p>
        </w:tc>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it proves</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Three sections with totals: Assets, Liabilities, Equity.</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Standard presentation matching IFRS and US-GAAP conventions.</w:t>
            </w:r>
          </w:p>
        </w:tc>
      </w:tr>
      <w:tr>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Green Balanced badge with no rounding diff.</w:t>
            </w:r>
          </w:p>
        </w:tc>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The accounting equation holds at the as-of date.</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Date selector + quick-period chips (Today / End of last month / Quarter / Year).</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Reports are point-in-time queryable, not just live snapshots.</w:t>
            </w:r>
          </w:p>
        </w:tc>
      </w:tr>
    </w:tbl>
    <w:p>
      <w:pPr>
        <w:spacing w:after="160"/>
      </w:pPr>
    </w:p>
    <w:p>
      <w:pPr>
        <w:keepNext/>
        <w:spacing w:before="240" w:after="120"/>
      </w:pPr>
      <w:r>
        <w:rPr>
          <w:rFonts w:ascii="Calibri" w:hAnsi="Calibri"/>
          <w:b/>
          <w:i w:val="0"/>
          <w:color w:val="1A4F4A"/>
          <w:sz w:val="28"/>
        </w:rPr>
        <w:t>4.3 Profit &amp; Loss</w:t>
      </w:r>
    </w:p>
    <w:p>
      <w:pPr>
        <w:spacing w:after="80" w:line="240" w:lineRule="auto"/>
      </w:pPr>
      <w:r>
        <w:rPr>
          <w:rFonts w:ascii="Calibri" w:hAnsi="Calibri"/>
          <w:b w:val="0"/>
          <w:i w:val="0"/>
          <w:color w:val="374151"/>
          <w:sz w:val="22"/>
        </w:rPr>
        <w:t>Operations flowing through. Bills become expenses, invoices become revenue, bank fees become expenses. The P&amp;L should reflect every approved transaction in the period.</w:t>
      </w:r>
    </w:p>
    <w:tbl>
      <w:tblPr>
        <w:tblW w:type="auto" w:w="0"/>
        <w:tblLayout w:type="autofit"/>
        <w:tblLook w:firstColumn="1" w:firstRow="1" w:lastColumn="0" w:lastRow="0" w:noHBand="0" w:noVBand="1" w:val="04A0"/>
      </w:tblPr>
      <w:tblGrid>
        <w:gridCol w:w="4986"/>
        <w:gridCol w:w="4986"/>
      </w:tblGrid>
      <w:tr>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you'll see</w:t>
            </w:r>
          </w:p>
        </w:tc>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it proves</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Sectioned layout: Revenue / COGS / Gross Profit / Operating Expenses / Operating Income / Other / Net Income.</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Standard multi-step income statement format.</w:t>
            </w:r>
          </w:p>
        </w:tc>
      </w:tr>
      <w:tr>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Each row shows '% of revenue' alongside the figure.</w:t>
            </w:r>
          </w:p>
        </w:tc>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Common-size analysis for proportional comparison across periods.</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Negative numbers in parentheses (accounting convention).</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Typography and presentation match what your auditor expects to see.</w:t>
            </w:r>
          </w:p>
        </w:tc>
      </w:tr>
    </w:tbl>
    <w:p>
      <w:pPr>
        <w:spacing w:after="160"/>
      </w:pPr>
    </w:p>
    <w:p>
      <w:pPr>
        <w:keepNext/>
        <w:spacing w:before="240" w:after="120"/>
      </w:pPr>
      <w:r>
        <w:rPr>
          <w:rFonts w:ascii="Calibri" w:hAnsi="Calibri"/>
          <w:b/>
          <w:i w:val="0"/>
          <w:color w:val="1A4F4A"/>
          <w:sz w:val="28"/>
        </w:rPr>
        <w:t>4.4 Cash Flow Statement</w:t>
      </w:r>
    </w:p>
    <w:p>
      <w:pPr>
        <w:spacing w:after="80" w:line="240" w:lineRule="auto"/>
      </w:pPr>
      <w:r>
        <w:rPr>
          <w:rFonts w:ascii="Calibri" w:hAnsi="Calibri"/>
          <w:b w:val="0"/>
          <w:i w:val="0"/>
          <w:color w:val="374151"/>
          <w:sz w:val="22"/>
        </w:rPr>
        <w:t>The strictest test. Cash flow is reconstructed from journal entries and must reconcile to the balance sheet's cash position. The Reconciles to balance sheet badge is the proof that all four reports (TB, BS, P&amp;L, CF) agree with each other.</w:t>
      </w:r>
    </w:p>
    <w:tbl>
      <w:tblPr>
        <w:tblW w:type="auto" w:w="0"/>
        <w:tblLayout w:type="autofit"/>
        <w:tblLook w:firstColumn="1" w:firstRow="1" w:lastColumn="0" w:lastRow="0" w:noHBand="0" w:noVBand="1" w:val="04A0"/>
      </w:tblPr>
      <w:tblGrid>
        <w:gridCol w:w="4986"/>
        <w:gridCol w:w="4986"/>
      </w:tblGrid>
      <w:tr>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you'll see</w:t>
            </w:r>
          </w:p>
        </w:tc>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it proves</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Direct-method statement: Operating, Investing, Financing.</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Standard presentation; preferred over indirect for small to mid-sized entities by IFRS guidance.</w:t>
            </w:r>
          </w:p>
        </w:tc>
      </w:tr>
      <w:tr>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Green Reconciles to balance sheet badge.</w:t>
            </w:r>
          </w:p>
        </w:tc>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The four core reports are mutually consistent — strongest single proof that the engine is internally correct.</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Empty-state hint surfaces if no cash activity in the period.</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The system is honest about emptiness instead of showing zeroes across an unhelpful table.</w:t>
            </w:r>
          </w:p>
        </w:tc>
      </w:tr>
    </w:tbl>
    <w:p>
      <w:pPr>
        <w:spacing w:after="160"/>
      </w:pPr>
    </w:p>
    <w:p>
      <w:pPr>
        <w:keepNext/>
        <w:spacing w:before="240" w:after="120"/>
      </w:pPr>
      <w:r>
        <w:rPr>
          <w:rFonts w:ascii="Calibri" w:hAnsi="Calibri"/>
          <w:b/>
          <w:i w:val="0"/>
          <w:color w:val="1A4F4A"/>
          <w:sz w:val="28"/>
        </w:rPr>
        <w:t>4.5 AP and AR Aging</w:t>
      </w:r>
    </w:p>
    <w:p>
      <w:pPr>
        <w:spacing w:after="80" w:line="240" w:lineRule="auto"/>
      </w:pPr>
      <w:r>
        <w:rPr>
          <w:rFonts w:ascii="Calibri" w:hAnsi="Calibri"/>
          <w:b w:val="0"/>
          <w:i w:val="0"/>
          <w:color w:val="374151"/>
          <w:sz w:val="22"/>
        </w:rPr>
        <w:t>Daily working-capital views. Who owes the entities money, who they owe, and how old each obligation is. Color-coded by age bucket so anything past due jumps off the page.</w:t>
      </w:r>
    </w:p>
    <w:tbl>
      <w:tblPr>
        <w:tblW w:type="auto" w:w="0"/>
        <w:tblLayout w:type="autofit"/>
        <w:tblLook w:firstColumn="1" w:firstRow="1" w:lastColumn="0" w:lastRow="0" w:noHBand="0" w:noVBand="1" w:val="04A0"/>
      </w:tblPr>
      <w:tblGrid>
        <w:gridCol w:w="4986"/>
        <w:gridCol w:w="4986"/>
      </w:tblGrid>
      <w:tr>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you'll see</w:t>
            </w:r>
          </w:p>
        </w:tc>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it proves</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Vendor / customer rows with age bucket columns (Current / 1-30 / 31-60 / 61-90 / 90+).</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Standard aging report structure used by every accountant.</w:t>
            </w:r>
          </w:p>
        </w:tc>
      </w:tr>
      <w:tr>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Click a row to drill into individual outstanding documents.</w:t>
            </w:r>
          </w:p>
        </w:tc>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Aging is queryable, not just a summary — supports collection / payment workflows.</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Native amount displayed alongside reporting-currency amount.</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Multi-currency receivables / payables don't lose their original denomination.</w:t>
            </w:r>
          </w:p>
        </w:tc>
      </w:tr>
    </w:tbl>
    <w:p>
      <w:pPr>
        <w:spacing w:after="160"/>
      </w:pPr>
    </w:p>
    <w:p>
      <w:pPr>
        <w:keepNext/>
        <w:spacing w:before="240" w:after="120"/>
      </w:pPr>
      <w:r>
        <w:rPr>
          <w:rFonts w:ascii="Calibri" w:hAnsi="Calibri"/>
          <w:b/>
          <w:i w:val="0"/>
          <w:color w:val="1A4F4A"/>
          <w:sz w:val="28"/>
        </w:rPr>
        <w:t>4.6 End-to-end traceability</w:t>
      </w:r>
    </w:p>
    <w:p>
      <w:pPr>
        <w:spacing w:after="80" w:line="240" w:lineRule="auto"/>
      </w:pPr>
      <w:r>
        <w:rPr>
          <w:rFonts w:ascii="Calibri" w:hAnsi="Calibri"/>
          <w:b w:val="0"/>
          <w:i w:val="0"/>
          <w:color w:val="374151"/>
          <w:sz w:val="22"/>
        </w:rPr>
        <w:t>The deepest proof. Starting from a single number on the trial balance, you can drill through the system to find the journal entry that produced it, the source document that produced the journal entry, and the AI metadata that produced the draft. Nothing is opaque.</w:t>
      </w:r>
    </w:p>
    <w:tbl>
      <w:tblPr>
        <w:tblW w:type="auto" w:w="0"/>
        <w:tblLayout w:type="autofit"/>
        <w:tblLook w:firstColumn="1" w:firstRow="1" w:lastColumn="0" w:lastRow="0" w:noHBand="0" w:noVBand="1" w:val="04A0"/>
      </w:tblPr>
      <w:tblGrid>
        <w:gridCol w:w="4986"/>
        <w:gridCol w:w="4986"/>
      </w:tblGrid>
      <w:tr>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you'll see</w:t>
            </w:r>
          </w:p>
        </w:tc>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it proves</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Click an account on Trial Balance → open Account Ledger.</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Every report number leads to its underlying detail.</w:t>
            </w:r>
          </w:p>
        </w:tc>
      </w:tr>
      <w:tr>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Click a JE on the Account Ledger → open JE detail page.</w:t>
            </w:r>
          </w:p>
        </w:tc>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Detail includes balanced lines, status timeline, AI reasoning, linked source document.</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Click the linked source document.</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The original bill or bank line opens. Audit chain is complete.</w:t>
            </w:r>
          </w:p>
        </w:tc>
      </w:tr>
    </w:tbl>
    <w:p>
      <w:pPr>
        <w:spacing w:after="160"/>
      </w:pPr>
    </w:p>
    <w:p>
      <w:pPr>
        <w:keepNext/>
        <w:spacing w:before="240" w:after="120"/>
      </w:pPr>
      <w:r>
        <w:rPr>
          <w:rFonts w:ascii="Calibri" w:hAnsi="Calibri"/>
          <w:b/>
          <w:i w:val="0"/>
          <w:color w:val="1A4F4A"/>
          <w:sz w:val="28"/>
        </w:rPr>
        <w:t>4.7 The unified review queue</w:t>
      </w:r>
    </w:p>
    <w:p>
      <w:pPr>
        <w:spacing w:after="80" w:line="240" w:lineRule="auto"/>
      </w:pPr>
      <w:r>
        <w:rPr>
          <w:rFonts w:ascii="Calibri" w:hAnsi="Calibri"/>
          <w:b w:val="0"/>
          <w:i w:val="0"/>
          <w:color w:val="374151"/>
          <w:sz w:val="22"/>
        </w:rPr>
        <w:t>One screen for everything pending sign-off — journal entries, bills, invoices. Color-coded by age so nothing falls through the cracks. Multi-entity controllers see only their slice.</w:t>
      </w:r>
    </w:p>
    <w:tbl>
      <w:tblPr>
        <w:tblW w:type="auto" w:w="0"/>
        <w:tblLayout w:type="autofit"/>
        <w:tblLook w:firstColumn="1" w:firstRow="1" w:lastColumn="0" w:lastRow="0" w:noHBand="0" w:noVBand="1" w:val="04A0"/>
      </w:tblPr>
      <w:tblGrid>
        <w:gridCol w:w="4986"/>
        <w:gridCol w:w="4986"/>
      </w:tblGrid>
      <w:tr>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you'll see</w:t>
            </w:r>
          </w:p>
        </w:tc>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it proves</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Pending bucket lists items from all three intake flows.</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The bookkeeper's daily inbox is unified, not three separate queues.</w:t>
            </w:r>
          </w:p>
        </w:tc>
      </w:tr>
      <w:tr>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Inline approve / reject buttons on each row.</w:t>
            </w:r>
          </w:p>
        </w:tc>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Routine approvals require one click.</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Filter by entity for multi-entity controllers.</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Each reviewer sees only the entities they're permissioned on.</w:t>
            </w:r>
          </w:p>
        </w:tc>
      </w:tr>
    </w:tbl>
    <w:p>
      <w:pPr>
        <w:spacing w:after="160"/>
      </w:pPr>
    </w:p>
    <w:p>
      <w:pPr>
        <w:keepNext/>
        <w:spacing w:before="240" w:after="120"/>
      </w:pPr>
      <w:r>
        <w:rPr>
          <w:rFonts w:ascii="Calibri" w:hAnsi="Calibri"/>
          <w:b/>
          <w:i w:val="0"/>
          <w:color w:val="1A4F4A"/>
          <w:sz w:val="28"/>
        </w:rPr>
        <w:t>4.8 The audit log</w:t>
      </w:r>
    </w:p>
    <w:p>
      <w:pPr>
        <w:spacing w:after="80" w:line="240" w:lineRule="auto"/>
      </w:pPr>
      <w:r>
        <w:rPr>
          <w:rFonts w:ascii="Calibri" w:hAnsi="Calibri"/>
          <w:b w:val="0"/>
          <w:i w:val="0"/>
          <w:color w:val="374151"/>
          <w:sz w:val="22"/>
        </w:rPr>
        <w:t>Append-only record of every action. Who did what, when, with what metadata. Regulator-ready: nothing is erasable, nothing happens without a corresponding event.</w:t>
      </w:r>
    </w:p>
    <w:tbl>
      <w:tblPr>
        <w:tblW w:type="auto" w:w="0"/>
        <w:tblLayout w:type="autofit"/>
        <w:tblLook w:firstColumn="1" w:firstRow="1" w:lastColumn="0" w:lastRow="0" w:noHBand="0" w:noVBand="1" w:val="04A0"/>
      </w:tblPr>
      <w:tblGrid>
        <w:gridCol w:w="4986"/>
        <w:gridCol w:w="4986"/>
      </w:tblGrid>
      <w:tr>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you'll see</w:t>
            </w:r>
          </w:p>
        </w:tc>
        <w:tc>
          <w:tcPr>
            <w:tcW w:type="dxa" w:w="4986"/>
            <w:shd w:val="clear" w:color="auto" w:fill="1A4F4A"/>
            <w:tcBorders>
              <w:top w:val="single" w:sz="4" w:color="D1D5DB"/>
              <w:left w:val="single" w:sz="4" w:color="D1D5DB"/>
              <w:bottom w:val="single" w:sz="4" w:color="D1D5DB"/>
              <w:right w:val="single" w:sz="4" w:color="D1D5DB"/>
            </w:tcBorders>
          </w:tcPr>
          <w:p>
            <w:r>
              <w:rPr>
                <w:rFonts w:ascii="Calibri" w:hAnsi="Calibri"/>
                <w:b/>
                <w:i w:val="0"/>
                <w:color w:val="FFFFFF"/>
                <w:sz w:val="20"/>
              </w:rPr>
              <w:t>What it proves</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Stream of events with actor, object, action, timestamp.</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Standard audit trail meeting common-framework requirements.</w:t>
            </w:r>
          </w:p>
        </w:tc>
      </w:tr>
      <w:tr>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AI events tagged with the model that produced the draft.</w:t>
            </w:r>
          </w:p>
        </w:tc>
        <w:tc>
          <w:tcPr>
            <w:tcW w:type="dxa" w:w="4986"/>
            <w:tcBorders>
              <w:top w:val="single" w:sz="4" w:color="D1D5DB"/>
              <w:left w:val="single" w:sz="4" w:color="D1D5DB"/>
              <w:bottom w:val="single" w:sz="4" w:color="D1D5DB"/>
              <w:right w:val="single" w:sz="4" w:color="D1D5DB"/>
            </w:tcBorders>
            <w:shd w:val="clear" w:color="auto" w:fill="F3F4F6"/>
          </w:tcPr>
          <w:p>
            <w:pPr>
              <w:spacing w:after="40"/>
            </w:pPr>
            <w:r>
              <w:rPr>
                <w:rFonts w:ascii="Calibri" w:hAnsi="Calibri"/>
                <w:b w:val="0"/>
                <w:i w:val="0"/>
                <w:color w:val="374151"/>
                <w:sz w:val="20"/>
              </w:rPr>
              <w:t>AI is recorded as an actor type, not hidden behind the user who accepted the suggestion.</w:t>
            </w:r>
          </w:p>
        </w:tc>
      </w:tr>
      <w:tr>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Approval events show submitter and approver are different users.</w:t>
            </w:r>
          </w:p>
        </w:tc>
        <w:tc>
          <w:tcPr>
            <w:tcW w:type="dxa" w:w="4986"/>
            <w:tcBorders>
              <w:top w:val="single" w:sz="4" w:color="D1D5DB"/>
              <w:left w:val="single" w:sz="4" w:color="D1D5DB"/>
              <w:bottom w:val="single" w:sz="4" w:color="D1D5DB"/>
              <w:right w:val="single" w:sz="4" w:color="D1D5DB"/>
            </w:tcBorders>
          </w:tcPr>
          <w:p>
            <w:pPr>
              <w:spacing w:after="40"/>
            </w:pPr>
            <w:r>
              <w:rPr>
                <w:rFonts w:ascii="Calibri" w:hAnsi="Calibri"/>
                <w:b w:val="0"/>
                <w:i w:val="0"/>
                <w:color w:val="374151"/>
                <w:sz w:val="20"/>
              </w:rPr>
              <w:t>Segregation-of-duties evidence preserved on every posted entry.</w:t>
            </w:r>
          </w:p>
        </w:tc>
      </w:tr>
    </w:tbl>
    <w:p>
      <w:pPr>
        <w:spacing w:after="160"/>
      </w:pPr>
    </w:p>
    <w:tbl>
      <w:tblPr>
        <w:tblW w:type="auto" w:w="0"/>
        <w:tblLayout w:type="autofit"/>
        <w:tblLook w:firstColumn="1" w:firstRow="1" w:lastColumn="0" w:lastRow="0" w:noHBand="0" w:noVBand="1" w:val="04A0"/>
      </w:tblPr>
      <w:tblGrid>
        <w:gridCol w:w="9972"/>
      </w:tblGrid>
      <w:tr>
        <w:tc>
          <w:tcPr>
            <w:tcW w:type="dxa" w:w="9972"/>
            <w:shd w:val="clear" w:color="auto" w:fill="F4ED E8"/>
            <w:tcBorders>
              <w:top w:val="single" w:sz="4" w:color="D1D5DB"/>
              <w:left w:val="single" w:sz="4" w:color="D1D5DB"/>
              <w:bottom w:val="single" w:sz="4" w:color="D1D5DB"/>
              <w:right w:val="single" w:sz="4" w:color="D1D5DB"/>
            </w:tcBorders>
          </w:tcPr>
          <w:p>
            <w:r>
              <w:rPr>
                <w:rFonts w:ascii="Calibri" w:hAnsi="Calibri"/>
                <w:b/>
                <w:i/>
                <w:color w:val="6B7280"/>
                <w:sz w:val="18"/>
              </w:rPr>
              <w:t>Thomas's notes — which demonstration shows the wrong thing?</w:t>
            </w:r>
          </w:p>
        </w:tc>
      </w:tr>
      <w:tr>
        <w:tc>
          <w:tcPr>
            <w:tcW w:type="dxa" w:w="9972"/>
            <w:tcBorders>
              <w:top w:val="single" w:sz="4" w:color="D1D5DB"/>
              <w:left w:val="single" w:sz="4" w:color="D1D5DB"/>
              <w:bottom w:val="single" w:sz="4" w:color="D1D5DB"/>
              <w:right w:val="single" w:sz="4" w:color="D1D5DB"/>
            </w:tcBorders>
          </w:tcPr>
          <w:p>
            <w:pPr>
              <w:spacing w:before="40" w:after="40"/>
            </w:pPr>
          </w:p>
          <w:p/>
          <w:p/>
          <w:p/>
        </w:tc>
      </w:tr>
    </w:tbl>
    <w:p>
      <w:pPr>
        <w:spacing w:after="120"/>
      </w:pPr>
    </w:p>
    <w:p>
      <w:pPr>
        <w:keepNext/>
        <w:spacing w:before="360" w:after="160"/>
      </w:pPr>
      <w:r>
        <w:rPr>
          <w:rFonts w:ascii="Calibri" w:hAnsi="Calibri"/>
          <w:b/>
          <w:i w:val="0"/>
          <w:color w:val="1A4F4A"/>
          <w:sz w:val="36"/>
        </w:rPr>
        <w:t>5. Worked examples</w:t>
      </w:r>
    </w:p>
    <w:p>
      <w:pPr>
        <w:spacing w:after="200" w:line="240" w:lineRule="auto"/>
      </w:pPr>
      <w:r>
        <w:rPr>
          <w:rFonts w:ascii="Calibri" w:hAnsi="Calibri"/>
          <w:b w:val="0"/>
          <w:i w:val="0"/>
          <w:color w:val="374151"/>
          <w:sz w:val="22"/>
        </w:rPr>
        <w:t>Three concrete scenarios. Each one shows the user-facing inputs, the journal entry the engine creates, and the audit trail it leaves behind. Identical to what your bookkeeper will see in production.</w:t>
      </w:r>
    </w:p>
    <w:p>
      <w:pPr>
        <w:keepNext/>
        <w:spacing w:before="240" w:after="120"/>
      </w:pPr>
      <w:r>
        <w:rPr>
          <w:rFonts w:ascii="Calibri" w:hAnsi="Calibri"/>
          <w:b/>
          <w:i w:val="0"/>
          <w:color w:val="1A4F4A"/>
          <w:sz w:val="28"/>
        </w:rPr>
        <w:t>5.1 Vendor bill — office supplies (USD → CHF)</w:t>
      </w:r>
    </w:p>
    <w:p>
      <w:pPr>
        <w:spacing w:after="160" w:line="240" w:lineRule="auto"/>
      </w:pPr>
      <w:r>
        <w:rPr>
          <w:rFonts w:ascii="Calibri" w:hAnsi="Calibri"/>
          <w:b w:val="0"/>
          <w:i w:val="0"/>
          <w:color w:val="374151"/>
          <w:sz w:val="22"/>
        </w:rPr>
        <w:t>BlueSpruce Office Supplies sends Thomas Foundation a bill for $258.39 USD. The bookkeeper drags the PDF into the New Bill drawer. Claude Haiku reads it in 3 seconds and prefills the form.</w:t>
      </w:r>
    </w:p>
    <w:p>
      <w:pPr>
        <w:spacing w:after="40" w:line="240" w:lineRule="auto"/>
      </w:pPr>
      <w:r>
        <w:rPr>
          <w:rFonts w:ascii="Calibri" w:hAnsi="Calibri"/>
          <w:b/>
          <w:i w:val="0"/>
          <w:color w:val="374151"/>
          <w:sz w:val="20"/>
        </w:rPr>
        <w:t>AI extraction:</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Field</w:t>
            </w:r>
          </w:p>
        </w:tc>
        <w:tc>
          <w:tcPr>
            <w:tcW w:type="dxa" w:w="3324"/>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Extracted value</w:t>
            </w:r>
          </w:p>
        </w:tc>
        <w:tc>
          <w:tcPr>
            <w:tcW w:type="dxa" w:w="3324"/>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Source</w:t>
            </w:r>
          </w:p>
        </w:tc>
      </w:tr>
      <w:tr>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Vendor name</w:t>
            </w:r>
          </w:p>
        </w:tc>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BlueSpruce Office Supplies, Inc.</w:t>
            </w:r>
          </w:p>
        </w:tc>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Top of receipt</w:t>
            </w:r>
          </w:p>
        </w:tc>
      </w:tr>
      <w:tr>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Invoice number</w:t>
            </w:r>
          </w:p>
        </w:tc>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INV-2026-04812</w:t>
            </w:r>
          </w:p>
        </w:tc>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Document header</w:t>
            </w:r>
          </w:p>
        </w:tc>
      </w:tr>
      <w:tr>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Invoice date</w:t>
            </w:r>
          </w:p>
        </w:tc>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2026-04-15</w:t>
            </w:r>
          </w:p>
        </w:tc>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Document header</w:t>
            </w:r>
          </w:p>
        </w:tc>
      </w:tr>
      <w:tr>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Due date</w:t>
            </w:r>
          </w:p>
        </w:tc>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2026-05-15</w:t>
            </w:r>
          </w:p>
        </w:tc>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Net-30 from invoice date</w:t>
            </w:r>
          </w:p>
        </w:tc>
      </w:tr>
      <w:tr>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Currency</w:t>
            </w:r>
          </w:p>
        </w:tc>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USD</w:t>
            </w:r>
          </w:p>
        </w:tc>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Symbol parsed: $</w:t>
            </w:r>
          </w:p>
        </w:tc>
      </w:tr>
      <w:tr>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Subtotal</w:t>
            </w:r>
          </w:p>
        </w:tc>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241.49</w:t>
            </w:r>
          </w:p>
        </w:tc>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Sum of 4 line items</w:t>
            </w:r>
          </w:p>
        </w:tc>
      </w:tr>
      <w:tr>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Tax (Sales tax 7%)</w:t>
            </w:r>
          </w:p>
        </w:tc>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16.90</w:t>
            </w:r>
          </w:p>
        </w:tc>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Tax row</w:t>
            </w:r>
          </w:p>
        </w:tc>
      </w:tr>
      <w:tr>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Total</w:t>
            </w:r>
          </w:p>
        </w:tc>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258.39</w:t>
            </w:r>
          </w:p>
        </w:tc>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TOTAL DUE row</w:t>
            </w:r>
          </w:p>
        </w:tc>
      </w:tr>
      <w:tr>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Suggested account</w:t>
            </w:r>
          </w:p>
        </w:tc>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6000 · Operating Expenses</w:t>
            </w:r>
          </w:p>
        </w:tc>
        <w:tc>
          <w:tcPr>
            <w:tcW w:type="dxa" w:w="3324"/>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AI from entity COA</w:t>
            </w:r>
          </w:p>
        </w:tc>
      </w:tr>
      <w:tr>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Confidence</w:t>
            </w:r>
          </w:p>
        </w:tc>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0.95</w:t>
            </w:r>
          </w:p>
        </w:tc>
        <w:tc>
          <w:tcPr>
            <w:tcW w:type="dxa" w:w="3324"/>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AI self-rating</w:t>
            </w:r>
          </w:p>
        </w:tc>
      </w:tr>
    </w:tbl>
    <w:p>
      <w:pPr>
        <w:spacing w:after="160"/>
      </w:pPr>
    </w:p>
    <w:p>
      <w:pPr>
        <w:spacing w:after="160" w:line="240" w:lineRule="auto"/>
      </w:pPr>
      <w:r>
        <w:rPr>
          <w:rFonts w:ascii="Calibri" w:hAnsi="Calibri"/>
          <w:b w:val="0"/>
          <w:i w:val="0"/>
          <w:color w:val="374151"/>
          <w:sz w:val="22"/>
        </w:rPr>
        <w:t>After human approval, the engine posts a balanced journal entry. Thomas Foundation's books are in CHF, so the USD invoice converts at the FX rate of the invoice date (≈0.9 USD/CHF on 2026-04-15):</w:t>
      </w:r>
    </w:p>
    <w:tbl>
      <w:tblPr>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Account</w:t>
            </w:r>
          </w:p>
        </w:tc>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Description</w:t>
            </w:r>
          </w:p>
        </w:tc>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Debit (CHF)</w:t>
            </w:r>
          </w:p>
        </w:tc>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Credit (CHF)</w:t>
            </w:r>
          </w:p>
        </w:tc>
      </w:tr>
      <w:tr>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6000 · Operating Expenses</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Office supplies (BlueSpruce)</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232.55</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r>
          </w:p>
        </w:tc>
      </w:tr>
      <w:tr>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2000 · Accounts Payable</w:t>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BlueSpruce Office Supplies</w:t>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232.55</w:t>
            </w:r>
          </w:p>
        </w:tc>
      </w:tr>
      <w:tr>
        <w:tc>
          <w:tcPr>
            <w:tcW w:type="dxa" w:w="2493"/>
            <w:shd w:val="clear" w:color="auto" w:fill="E8F0EE"/>
            <w:tcBorders>
              <w:top w:val="single" w:sz="4" w:color="D1D5DB"/>
              <w:left w:val="single" w:sz="4" w:color="D1D5DB"/>
              <w:bottom w:val="single" w:sz="4" w:color="D1D5DB"/>
              <w:right w:val="single" w:sz="4" w:color="D1D5DB"/>
            </w:tcBorders>
          </w:tcPr>
          <w:p>
            <w:pPr>
              <w:spacing w:before="40" w:after="40"/>
            </w:pPr>
            <w:r>
              <w:rPr>
                <w:rFonts w:ascii="Calibri" w:hAnsi="Calibri"/>
                <w:b/>
                <w:i w:val="0"/>
                <w:color w:val="1A4F4A"/>
                <w:sz w:val="20"/>
              </w:rPr>
            </w:r>
          </w:p>
        </w:tc>
        <w:tc>
          <w:tcPr>
            <w:tcW w:type="dxa" w:w="2493"/>
            <w:shd w:val="clear" w:color="auto" w:fill="E8F0EE"/>
            <w:tcBorders>
              <w:top w:val="single" w:sz="4" w:color="D1D5DB"/>
              <w:left w:val="single" w:sz="4" w:color="D1D5DB"/>
              <w:bottom w:val="single" w:sz="4" w:color="D1D5DB"/>
              <w:right w:val="single" w:sz="4" w:color="D1D5DB"/>
            </w:tcBorders>
          </w:tcPr>
          <w:p>
            <w:pPr>
              <w:spacing w:before="40" w:after="40"/>
            </w:pPr>
            <w:r>
              <w:rPr>
                <w:rFonts w:ascii="Calibri" w:hAnsi="Calibri"/>
                <w:b/>
                <w:i w:val="0"/>
                <w:color w:val="1A4F4A"/>
                <w:sz w:val="20"/>
              </w:rPr>
              <w:t>Totals</w:t>
            </w:r>
          </w:p>
        </w:tc>
        <w:tc>
          <w:tcPr>
            <w:tcW w:type="dxa" w:w="2493"/>
            <w:shd w:val="clear" w:color="auto" w:fill="E8F0EE"/>
            <w:tcBorders>
              <w:top w:val="single" w:sz="4" w:color="D1D5DB"/>
              <w:left w:val="single" w:sz="4" w:color="D1D5DB"/>
              <w:bottom w:val="single" w:sz="4" w:color="D1D5DB"/>
              <w:right w:val="single" w:sz="4" w:color="D1D5DB"/>
            </w:tcBorders>
          </w:tcPr>
          <w:p>
            <w:pPr>
              <w:spacing w:before="40" w:after="40"/>
            </w:pPr>
            <w:r>
              <w:rPr>
                <w:rFonts w:ascii="Calibri" w:hAnsi="Calibri"/>
                <w:b/>
                <w:i w:val="0"/>
                <w:color w:val="1A4F4A"/>
                <w:sz w:val="20"/>
              </w:rPr>
              <w:t>232.55</w:t>
            </w:r>
          </w:p>
        </w:tc>
        <w:tc>
          <w:tcPr>
            <w:tcW w:type="dxa" w:w="2493"/>
            <w:shd w:val="clear" w:color="auto" w:fill="E8F0EE"/>
            <w:tcBorders>
              <w:top w:val="single" w:sz="4" w:color="D1D5DB"/>
              <w:left w:val="single" w:sz="4" w:color="D1D5DB"/>
              <w:bottom w:val="single" w:sz="4" w:color="D1D5DB"/>
              <w:right w:val="single" w:sz="4" w:color="D1D5DB"/>
            </w:tcBorders>
          </w:tcPr>
          <w:p>
            <w:pPr>
              <w:spacing w:before="40" w:after="40"/>
            </w:pPr>
            <w:r>
              <w:rPr>
                <w:rFonts w:ascii="Calibri" w:hAnsi="Calibri"/>
                <w:b/>
                <w:i w:val="0"/>
                <w:color w:val="1A4F4A"/>
                <w:sz w:val="20"/>
              </w:rPr>
              <w:t>232.55</w:t>
            </w:r>
          </w:p>
        </w:tc>
      </w:tr>
    </w:tbl>
    <w:p>
      <w:pPr>
        <w:spacing w:after="160"/>
      </w:pPr>
    </w:p>
    <w:p>
      <w:pPr>
        <w:spacing w:after="280" w:line="240" w:lineRule="auto"/>
      </w:pPr>
      <w:r>
        <w:rPr>
          <w:rFonts w:ascii="Calibri" w:hAnsi="Calibri"/>
          <w:b w:val="0"/>
          <w:i w:val="0"/>
          <w:color w:val="374151"/>
          <w:sz w:val="22"/>
        </w:rPr>
        <w:t>Note that debits equal credits — the foundation of double-entry. The original USD amount stays linked to the bill record, but the ledger posts in the entity's functional currency. Both currency values are visible on the JE detail page.</w:t>
      </w:r>
    </w:p>
    <w:p>
      <w:pPr>
        <w:keepNext/>
        <w:spacing w:before="240" w:after="120"/>
      </w:pPr>
      <w:r>
        <w:rPr>
          <w:rFonts w:ascii="Calibri" w:hAnsi="Calibri"/>
          <w:b/>
          <w:i w:val="0"/>
          <w:color w:val="1A4F4A"/>
          <w:sz w:val="28"/>
        </w:rPr>
        <w:t>5.2 Bank line — wire received from a customer</w:t>
      </w:r>
    </w:p>
    <w:p>
      <w:pPr>
        <w:spacing w:after="160" w:line="240" w:lineRule="auto"/>
      </w:pPr>
      <w:r>
        <w:rPr>
          <w:rFonts w:ascii="Calibri" w:hAnsi="Calibri"/>
          <w:b w:val="0"/>
          <w:i w:val="0"/>
          <w:color w:val="374151"/>
          <w:sz w:val="22"/>
        </w:rPr>
        <w:t>A CHF wire of 7,250 lands in the bank account. The bookkeeper opens the bank-feed page; AI suggests the offset; one click creates the journal entry.</w:t>
      </w:r>
    </w:p>
    <w:p>
      <w:pPr>
        <w:spacing w:after="40" w:line="240" w:lineRule="auto"/>
      </w:pPr>
      <w:r>
        <w:rPr>
          <w:rFonts w:ascii="Calibri" w:hAnsi="Calibri"/>
          <w:b/>
          <w:i w:val="0"/>
          <w:color w:val="374151"/>
          <w:sz w:val="20"/>
        </w:rPr>
        <w:t>AI suggestion panel:</w:t>
      </w:r>
    </w:p>
    <w:tbl>
      <w:tblPr>
        <w:tblW w:type="auto" w:w="0"/>
        <w:tblLayout w:type="autofit"/>
        <w:tblLook w:firstColumn="1" w:firstRow="1" w:lastColumn="0" w:lastRow="0" w:noHBand="0" w:noVBand="1" w:val="04A0"/>
      </w:tblPr>
      <w:tblGrid>
        <w:gridCol w:w="4986"/>
        <w:gridCol w:w="4986"/>
      </w:tblGrid>
      <w:tr>
        <w:tc>
          <w:tcPr>
            <w:tcW w:type="dxa" w:w="4986"/>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Field</w:t>
            </w:r>
          </w:p>
        </w:tc>
        <w:tc>
          <w:tcPr>
            <w:tcW w:type="dxa" w:w="4986"/>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Value</w:t>
            </w:r>
          </w:p>
        </w:tc>
      </w:tr>
      <w:tr>
        <w:tc>
          <w:tcPr>
            <w:tcW w:type="dxa" w:w="4986"/>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Bank line</w:t>
            </w:r>
          </w:p>
        </w:tc>
        <w:tc>
          <w:tcPr>
            <w:tcW w:type="dxa" w:w="4986"/>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+7,250.00 CHF · Sterling Wealth — Q2 advisory fee</w:t>
            </w:r>
          </w:p>
        </w:tc>
      </w:tr>
      <w:tr>
        <w:tc>
          <w:tcPr>
            <w:tcW w:type="dxa" w:w="4986"/>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AI-suggested offset</w:t>
            </w:r>
          </w:p>
        </w:tc>
        <w:tc>
          <w:tcPr>
            <w:tcW w:type="dxa" w:w="4986"/>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4100 · Service Revenue</w:t>
            </w:r>
          </w:p>
        </w:tc>
      </w:tr>
      <w:tr>
        <w:tc>
          <w:tcPr>
            <w:tcW w:type="dxa" w:w="4986"/>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Reasoning</w:t>
            </w:r>
          </w:p>
        </w:tc>
        <w:tc>
          <w:tcPr>
            <w:tcW w:type="dxa" w:w="4986"/>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Positive deposit with vendor name matching open invoice INV-Q2-0042</w:t>
            </w:r>
          </w:p>
        </w:tc>
      </w:tr>
      <w:tr>
        <w:tc>
          <w:tcPr>
            <w:tcW w:type="dxa" w:w="4986"/>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Confidence</w:t>
            </w:r>
          </w:p>
        </w:tc>
        <w:tc>
          <w:tcPr>
            <w:tcW w:type="dxa" w:w="4986"/>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0.91</w:t>
            </w:r>
          </w:p>
        </w:tc>
      </w:tr>
      <w:tr>
        <w:tc>
          <w:tcPr>
            <w:tcW w:type="dxa" w:w="4986"/>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Model</w:t>
            </w:r>
          </w:p>
        </w:tc>
        <w:tc>
          <w:tcPr>
            <w:tcW w:type="dxa" w:w="4986"/>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claude-haiku-4-5</w:t>
            </w:r>
          </w:p>
        </w:tc>
      </w:tr>
    </w:tbl>
    <w:p>
      <w:pPr>
        <w:spacing w:after="160"/>
      </w:pPr>
    </w:p>
    <w:p>
      <w:pPr>
        <w:spacing w:after="160" w:line="240" w:lineRule="auto"/>
      </w:pPr>
      <w:r>
        <w:rPr>
          <w:rFonts w:ascii="Calibri" w:hAnsi="Calibri"/>
          <w:b w:val="0"/>
          <w:i w:val="0"/>
          <w:color w:val="374151"/>
          <w:sz w:val="22"/>
        </w:rPr>
        <w:t>The reviewer accepts the suggestion. The engine writes:</w:t>
      </w:r>
    </w:p>
    <w:tbl>
      <w:tblPr>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Account</w:t>
            </w:r>
          </w:p>
        </w:tc>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Description</w:t>
            </w:r>
          </w:p>
        </w:tc>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Debit (CHF)</w:t>
            </w:r>
          </w:p>
        </w:tc>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Credit (CHF)</w:t>
            </w:r>
          </w:p>
        </w:tc>
      </w:tr>
      <w:tr>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1010 · Operating Bank</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Wire received — Sterling Wealth</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7,250.00</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r>
          </w:p>
        </w:tc>
      </w:tr>
      <w:tr>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4100 · Service Revenue</w:t>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Q2 advisory fee</w:t>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7,250.00</w:t>
            </w:r>
          </w:p>
        </w:tc>
      </w:tr>
      <w:tr>
        <w:tc>
          <w:tcPr>
            <w:tcW w:type="dxa" w:w="2493"/>
            <w:shd w:val="clear" w:color="auto" w:fill="E8F0EE"/>
            <w:tcBorders>
              <w:top w:val="single" w:sz="4" w:color="D1D5DB"/>
              <w:left w:val="single" w:sz="4" w:color="D1D5DB"/>
              <w:bottom w:val="single" w:sz="4" w:color="D1D5DB"/>
              <w:right w:val="single" w:sz="4" w:color="D1D5DB"/>
            </w:tcBorders>
          </w:tcPr>
          <w:p>
            <w:pPr>
              <w:spacing w:before="40" w:after="40"/>
            </w:pPr>
            <w:r>
              <w:rPr>
                <w:rFonts w:ascii="Calibri" w:hAnsi="Calibri"/>
                <w:b/>
                <w:i w:val="0"/>
                <w:color w:val="1A4F4A"/>
                <w:sz w:val="20"/>
              </w:rPr>
            </w:r>
          </w:p>
        </w:tc>
        <w:tc>
          <w:tcPr>
            <w:tcW w:type="dxa" w:w="2493"/>
            <w:shd w:val="clear" w:color="auto" w:fill="E8F0EE"/>
            <w:tcBorders>
              <w:top w:val="single" w:sz="4" w:color="D1D5DB"/>
              <w:left w:val="single" w:sz="4" w:color="D1D5DB"/>
              <w:bottom w:val="single" w:sz="4" w:color="D1D5DB"/>
              <w:right w:val="single" w:sz="4" w:color="D1D5DB"/>
            </w:tcBorders>
          </w:tcPr>
          <w:p>
            <w:pPr>
              <w:spacing w:before="40" w:after="40"/>
            </w:pPr>
            <w:r>
              <w:rPr>
                <w:rFonts w:ascii="Calibri" w:hAnsi="Calibri"/>
                <w:b/>
                <w:i w:val="0"/>
                <w:color w:val="1A4F4A"/>
                <w:sz w:val="20"/>
              </w:rPr>
              <w:t>Totals</w:t>
            </w:r>
          </w:p>
        </w:tc>
        <w:tc>
          <w:tcPr>
            <w:tcW w:type="dxa" w:w="2493"/>
            <w:shd w:val="clear" w:color="auto" w:fill="E8F0EE"/>
            <w:tcBorders>
              <w:top w:val="single" w:sz="4" w:color="D1D5DB"/>
              <w:left w:val="single" w:sz="4" w:color="D1D5DB"/>
              <w:bottom w:val="single" w:sz="4" w:color="D1D5DB"/>
              <w:right w:val="single" w:sz="4" w:color="D1D5DB"/>
            </w:tcBorders>
          </w:tcPr>
          <w:p>
            <w:pPr>
              <w:spacing w:before="40" w:after="40"/>
            </w:pPr>
            <w:r>
              <w:rPr>
                <w:rFonts w:ascii="Calibri" w:hAnsi="Calibri"/>
                <w:b/>
                <w:i w:val="0"/>
                <w:color w:val="1A4F4A"/>
                <w:sz w:val="20"/>
              </w:rPr>
              <w:t>7,250.00</w:t>
            </w:r>
          </w:p>
        </w:tc>
        <w:tc>
          <w:tcPr>
            <w:tcW w:type="dxa" w:w="2493"/>
            <w:shd w:val="clear" w:color="auto" w:fill="E8F0EE"/>
            <w:tcBorders>
              <w:top w:val="single" w:sz="4" w:color="D1D5DB"/>
              <w:left w:val="single" w:sz="4" w:color="D1D5DB"/>
              <w:bottom w:val="single" w:sz="4" w:color="D1D5DB"/>
              <w:right w:val="single" w:sz="4" w:color="D1D5DB"/>
            </w:tcBorders>
          </w:tcPr>
          <w:p>
            <w:pPr>
              <w:spacing w:before="40" w:after="40"/>
            </w:pPr>
            <w:r>
              <w:rPr>
                <w:rFonts w:ascii="Calibri" w:hAnsi="Calibri"/>
                <w:b/>
                <w:i w:val="0"/>
                <w:color w:val="1A4F4A"/>
                <w:sz w:val="20"/>
              </w:rPr>
              <w:t>7,250.00</w:t>
            </w:r>
          </w:p>
        </w:tc>
      </w:tr>
    </w:tbl>
    <w:p>
      <w:pPr>
        <w:spacing w:after="160"/>
      </w:pPr>
    </w:p>
    <w:p>
      <w:pPr>
        <w:spacing w:after="280" w:line="240" w:lineRule="auto"/>
      </w:pPr>
      <w:r>
        <w:rPr>
          <w:rFonts w:ascii="Calibri" w:hAnsi="Calibri"/>
          <w:b w:val="0"/>
          <w:i w:val="0"/>
          <w:color w:val="374151"/>
          <w:sz w:val="22"/>
        </w:rPr>
        <w:t>The journal entry auto-submits for approval, lands on the daily Approvals queue, and posts when a second human signs off. The bank line status flips from 'new' to 'matched' once the JE posts.</w:t>
      </w:r>
    </w:p>
    <w:p>
      <w:pPr>
        <w:keepNext/>
        <w:spacing w:before="240" w:after="120"/>
      </w:pPr>
      <w:r>
        <w:rPr>
          <w:rFonts w:ascii="Calibri" w:hAnsi="Calibri"/>
          <w:b/>
          <w:i w:val="0"/>
          <w:color w:val="1A4F4A"/>
          <w:sz w:val="28"/>
        </w:rPr>
        <w:t>5.3 What the audit trail looks like</w:t>
      </w:r>
    </w:p>
    <w:p>
      <w:pPr>
        <w:spacing w:after="160" w:line="240" w:lineRule="auto"/>
      </w:pPr>
      <w:r>
        <w:rPr>
          <w:rFonts w:ascii="Calibri" w:hAnsi="Calibri"/>
          <w:b w:val="0"/>
          <w:i w:val="0"/>
          <w:color w:val="374151"/>
          <w:sz w:val="22"/>
        </w:rPr>
        <w:t>Every action in the system writes an immutable audit event. Below is the trace for the bill in 5.1, exactly as it appears on the JE detail page:</w:t>
      </w:r>
    </w:p>
    <w:tbl>
      <w:tblPr>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Time (UTC)</w:t>
            </w:r>
          </w:p>
        </w:tc>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Actor</w:t>
            </w:r>
          </w:p>
        </w:tc>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Action</w:t>
            </w:r>
          </w:p>
        </w:tc>
        <w:tc>
          <w:tcPr>
            <w:tcW w:type="dxa" w:w="2493"/>
            <w:shd w:val="clear" w:color="auto" w:fill="1A4F4A"/>
            <w:tcBorders>
              <w:top w:val="single" w:sz="4" w:color="D1D5DB"/>
              <w:left w:val="single" w:sz="4" w:color="D1D5DB"/>
              <w:bottom w:val="single" w:sz="4" w:color="D1D5DB"/>
              <w:right w:val="single" w:sz="4" w:color="D1D5DB"/>
            </w:tcBorders>
          </w:tcPr>
          <w:p>
            <w:pPr>
              <w:spacing w:before="40" w:after="40"/>
            </w:pPr>
            <w:r>
              <w:rPr>
                <w:rFonts w:ascii="Calibri" w:hAnsi="Calibri"/>
                <w:b/>
                <w:i w:val="0"/>
                <w:color w:val="FFFFFF"/>
                <w:sz w:val="20"/>
              </w:rPr>
              <w:t>Detail</w:t>
            </w:r>
          </w:p>
        </w:tc>
      </w:tr>
      <w:tr>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2026-04-15 14:23:01</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claude-haiku-4-5 (AI)</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Drafted journal entry</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Confidence 0.95 · model = claude-haiku-4-5</w:t>
            </w:r>
          </w:p>
        </w:tc>
      </w:tr>
      <w:tr>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2026-04-15 14:23:42</w:t>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Demo Admin (human)</w:t>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Created bill from extraction</w:t>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Bill BILL-000003 · status = draft</w:t>
            </w:r>
          </w:p>
        </w:tc>
      </w:tr>
      <w:tr>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2026-04-15 14:24:18</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Demo Admin (human)</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Submitted for approval</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Status: draft → pending approval</w:t>
            </w:r>
          </w:p>
        </w:tc>
      </w:tr>
      <w:tr>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2026-04-15 14:31:55</w:t>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Sarah Approver (human)</w:t>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Approved bill</w:t>
            </w:r>
          </w:p>
        </w:tc>
        <w:tc>
          <w:tcPr>
            <w:tcW w:type="dxa" w:w="2493"/>
            <w:tcBorders>
              <w:top w:val="single" w:sz="4" w:color="D1D5DB"/>
              <w:left w:val="single" w:sz="4" w:color="D1D5DB"/>
              <w:bottom w:val="single" w:sz="4" w:color="D1D5DB"/>
              <w:right w:val="single" w:sz="4" w:color="D1D5DB"/>
            </w:tcBorders>
            <w:shd w:val="clear" w:color="auto" w:fill="F3F4F6"/>
          </w:tcPr>
          <w:p>
            <w:pPr>
              <w:spacing w:before="40" w:after="40"/>
            </w:pPr>
            <w:r>
              <w:rPr>
                <w:rFonts w:ascii="Calibri" w:hAnsi="Calibri"/>
                <w:b w:val="0"/>
                <w:i w:val="0"/>
                <w:color w:val="374151"/>
                <w:sz w:val="20"/>
              </w:rPr>
              <w:t>Status: pending approval → approved · accrual JE auto-posts</w:t>
            </w:r>
          </w:p>
        </w:tc>
      </w:tr>
      <w:tr>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2026-04-15 14:31:55</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(system)</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Posted journal entry JE-000004</w:t>
            </w:r>
          </w:p>
        </w:tc>
        <w:tc>
          <w:tcPr>
            <w:tcW w:type="dxa" w:w="2493"/>
            <w:tcBorders>
              <w:top w:val="single" w:sz="4" w:color="D1D5DB"/>
              <w:left w:val="single" w:sz="4" w:color="D1D5DB"/>
              <w:bottom w:val="single" w:sz="4" w:color="D1D5DB"/>
              <w:right w:val="single" w:sz="4" w:color="D1D5DB"/>
            </w:tcBorders>
          </w:tcPr>
          <w:p>
            <w:pPr>
              <w:spacing w:before="40" w:after="40"/>
            </w:pPr>
            <w:r>
              <w:rPr>
                <w:rFonts w:ascii="Calibri" w:hAnsi="Calibri"/>
                <w:b w:val="0"/>
                <w:i w:val="0"/>
                <w:color w:val="374151"/>
                <w:sz w:val="20"/>
              </w:rPr>
              <w:t>DR 6000 / CR 2000 · 232.55 CHF · period 2026-04 attached</w:t>
            </w:r>
          </w:p>
        </w:tc>
      </w:tr>
    </w:tbl>
    <w:p>
      <w:pPr>
        <w:spacing w:after="160"/>
      </w:pPr>
    </w:p>
    <w:p>
      <w:pPr>
        <w:spacing w:after="240" w:line="240" w:lineRule="auto"/>
      </w:pPr>
      <w:r>
        <w:rPr>
          <w:rFonts w:ascii="Calibri" w:hAnsi="Calibri"/>
          <w:b w:val="0"/>
          <w:i w:val="0"/>
          <w:color w:val="374151"/>
          <w:sz w:val="22"/>
        </w:rPr>
        <w:t>The submitter (Demo Admin) and approver (Sarah Approver) are different humans — segregation of duties enforced. The AI is recorded as a distinct actor type, never hidden behind the human who accepted the suggestion. This entire trail is visible to auditors with a single page export.</w:t>
      </w:r>
    </w:p>
    <w:tbl>
      <w:tblPr>
        <w:tblW w:type="auto" w:w="0"/>
        <w:tblLayout w:type="autofit"/>
        <w:tblLook w:firstColumn="1" w:firstRow="1" w:lastColumn="0" w:lastRow="0" w:noHBand="0" w:noVBand="1" w:val="04A0"/>
      </w:tblPr>
      <w:tblGrid>
        <w:gridCol w:w="9972"/>
      </w:tblGrid>
      <w:tr>
        <w:tc>
          <w:tcPr>
            <w:tcW w:type="dxa" w:w="9972"/>
            <w:shd w:val="clear" w:color="auto" w:fill="F4ED E8"/>
            <w:tcBorders>
              <w:top w:val="single" w:sz="4" w:color="D1D5DB"/>
              <w:left w:val="single" w:sz="4" w:color="D1D5DB"/>
              <w:bottom w:val="single" w:sz="4" w:color="D1D5DB"/>
              <w:right w:val="single" w:sz="4" w:color="D1D5DB"/>
            </w:tcBorders>
          </w:tcPr>
          <w:p>
            <w:r>
              <w:rPr>
                <w:rFonts w:ascii="Calibri" w:hAnsi="Calibri"/>
                <w:b/>
                <w:i/>
                <w:color w:val="6B7280"/>
                <w:sz w:val="18"/>
              </w:rPr>
              <w:t>Thomas's notes — any example missing or worth replacing?</w:t>
            </w:r>
          </w:p>
        </w:tc>
      </w:tr>
      <w:tr>
        <w:tc>
          <w:tcPr>
            <w:tcW w:type="dxa" w:w="9972"/>
            <w:tcBorders>
              <w:top w:val="single" w:sz="4" w:color="D1D5DB"/>
              <w:left w:val="single" w:sz="4" w:color="D1D5DB"/>
              <w:bottom w:val="single" w:sz="4" w:color="D1D5DB"/>
              <w:right w:val="single" w:sz="4" w:color="D1D5DB"/>
            </w:tcBorders>
          </w:tcPr>
          <w:p>
            <w:pPr>
              <w:spacing w:before="40" w:after="40"/>
            </w:pPr>
          </w:p>
          <w:p/>
          <w:p/>
          <w:p/>
        </w:tc>
      </w:tr>
    </w:tbl>
    <w:p>
      <w:pPr>
        <w:spacing w:after="120"/>
      </w:pPr>
    </w:p>
    <w:p>
      <w:pPr>
        <w:keepNext/>
        <w:spacing w:before="360" w:after="160"/>
      </w:pPr>
      <w:r>
        <w:rPr>
          <w:rFonts w:ascii="Calibri" w:hAnsi="Calibri"/>
          <w:b/>
          <w:i w:val="0"/>
          <w:color w:val="1A4F4A"/>
          <w:sz w:val="36"/>
        </w:rPr>
        <w:t>6. Architecture principles</w:t>
      </w:r>
    </w:p>
    <w:p>
      <w:pPr>
        <w:pStyle w:val="ListBullet"/>
        <w:spacing w:after="40"/>
        <w:ind w:left="283"/>
      </w:pPr>
      <w:r>
        <w:rPr>
          <w:rFonts w:ascii="Calibri" w:hAnsi="Calibri"/>
          <w:b/>
          <w:i w:val="0"/>
          <w:color w:val="111827"/>
          <w:sz w:val="22"/>
        </w:rPr>
        <w:t>AI proposes, humans approve.</w:t>
      </w:r>
      <w:r>
        <w:rPr>
          <w:rFonts w:ascii="Calibri" w:hAnsi="Calibri"/>
          <w:b w:val="0"/>
          <w:i w:val="0"/>
          <w:color w:val="374151"/>
          <w:sz w:val="22"/>
        </w:rPr>
        <w:t xml:space="preserve"> No record posts to the ledger without a human review action. AI features can be turned off entirely; the underlying manual workflows always work.</w:t>
      </w:r>
    </w:p>
    <w:p>
      <w:pPr>
        <w:pStyle w:val="ListBullet"/>
        <w:spacing w:after="40"/>
        <w:ind w:left="283"/>
      </w:pPr>
      <w:r>
        <w:rPr>
          <w:rFonts w:ascii="Calibri" w:hAnsi="Calibri"/>
          <w:b/>
          <w:i w:val="0"/>
          <w:color w:val="111827"/>
          <w:sz w:val="22"/>
        </w:rPr>
        <w:t>Segregation of duties enforced at the engine.</w:t>
      </w:r>
      <w:r>
        <w:rPr>
          <w:rFonts w:ascii="Calibri" w:hAnsi="Calibri"/>
          <w:b w:val="0"/>
          <w:i w:val="0"/>
          <w:color w:val="374151"/>
          <w:sz w:val="22"/>
        </w:rPr>
        <w:t xml:space="preserve"> The submitter of a journal entry cannot approve it. Enforcement is in the service layer — it cannot be disabled by reconfiguring roles or permissions.</w:t>
      </w:r>
    </w:p>
    <w:p>
      <w:pPr>
        <w:pStyle w:val="ListBullet"/>
        <w:spacing w:after="40"/>
        <w:ind w:left="283"/>
      </w:pPr>
      <w:r>
        <w:rPr>
          <w:rFonts w:ascii="Calibri" w:hAnsi="Calibri"/>
          <w:b/>
          <w:i w:val="0"/>
          <w:color w:val="111827"/>
          <w:sz w:val="22"/>
        </w:rPr>
        <w:t>Every cent traceable to its source.</w:t>
      </w:r>
      <w:r>
        <w:rPr>
          <w:rFonts w:ascii="Calibri" w:hAnsi="Calibri"/>
          <w:b w:val="0"/>
          <w:i w:val="0"/>
          <w:color w:val="374151"/>
          <w:sz w:val="22"/>
        </w:rPr>
        <w:t xml:space="preserve"> Reports drill to journal entries, journal entries drill to source documents, source documents drill to the AI metadata that drafted them. There is no opaque transformation step.</w:t>
      </w:r>
    </w:p>
    <w:p>
      <w:pPr>
        <w:pStyle w:val="ListBullet"/>
        <w:spacing w:after="40"/>
        <w:ind w:left="283"/>
      </w:pPr>
      <w:r>
        <w:rPr>
          <w:rFonts w:ascii="Calibri" w:hAnsi="Calibri"/>
          <w:b/>
          <w:i w:val="0"/>
          <w:color w:val="111827"/>
          <w:sz w:val="22"/>
        </w:rPr>
        <w:t>Multi-entity, multi-currency, multi-standard.</w:t>
      </w:r>
      <w:r>
        <w:rPr>
          <w:rFonts w:ascii="Calibri" w:hAnsi="Calibri"/>
          <w:b w:val="0"/>
          <w:i w:val="0"/>
          <w:color w:val="374151"/>
          <w:sz w:val="22"/>
        </w:rPr>
        <w:t xml:space="preserve"> Each entity has its own functional currency, reporting currency, and accounting standard (IFRS / US-GAAP / UK-GAAP). FX rates are stored as a time series; conversions use the most recent rate on or before the journal entry date.</w:t>
      </w:r>
    </w:p>
    <w:p>
      <w:pPr>
        <w:pStyle w:val="ListBullet"/>
        <w:spacing w:after="40"/>
        <w:ind w:left="283"/>
      </w:pPr>
      <w:r>
        <w:rPr>
          <w:rFonts w:ascii="Calibri" w:hAnsi="Calibri"/>
          <w:b/>
          <w:i w:val="0"/>
          <w:color w:val="111827"/>
          <w:sz w:val="22"/>
        </w:rPr>
        <w:t>Privacy-first by default.</w:t>
      </w:r>
      <w:r>
        <w:rPr>
          <w:rFonts w:ascii="Calibri" w:hAnsi="Calibri"/>
          <w:b w:val="0"/>
          <w:i w:val="0"/>
          <w:color w:val="374151"/>
          <w:sz w:val="22"/>
        </w:rPr>
        <w:t xml:space="preserve"> All AI features can run on local infrastructure with nothing leaving the network. Cloud AI is opt-in per organisation, with the choice surfaced clearly to the operator.</w:t>
      </w:r>
    </w:p>
    <w:p>
      <w:pPr>
        <w:pStyle w:val="ListBullet"/>
        <w:spacing w:after="40"/>
        <w:ind w:left="283"/>
      </w:pPr>
      <w:r>
        <w:rPr>
          <w:rFonts w:ascii="Calibri" w:hAnsi="Calibri"/>
          <w:b/>
          <w:i w:val="0"/>
          <w:color w:val="111827"/>
          <w:sz w:val="22"/>
        </w:rPr>
        <w:t>Approval state machine is uniform.</w:t>
      </w:r>
      <w:r>
        <w:rPr>
          <w:rFonts w:ascii="Calibri" w:hAnsi="Calibri"/>
          <w:b w:val="0"/>
          <w:i w:val="0"/>
          <w:color w:val="374151"/>
          <w:sz w:val="22"/>
        </w:rPr>
        <w:t xml:space="preserve"> Bills, invoices, journal entries, and bank-feed categorisations all follow the same draft → pending → approved → posted lifecycle. A single Approvals queue surfaces them together.</w:t>
      </w:r>
    </w:p>
    <w:tbl>
      <w:tblPr>
        <w:tblW w:type="auto" w:w="0"/>
        <w:tblLayout w:type="autofit"/>
        <w:tblLook w:firstColumn="1" w:firstRow="1" w:lastColumn="0" w:lastRow="0" w:noHBand="0" w:noVBand="1" w:val="04A0"/>
      </w:tblPr>
      <w:tblGrid>
        <w:gridCol w:w="9972"/>
      </w:tblGrid>
      <w:tr>
        <w:tc>
          <w:tcPr>
            <w:tcW w:type="dxa" w:w="9972"/>
            <w:shd w:val="clear" w:color="auto" w:fill="F4ED E8"/>
            <w:tcBorders>
              <w:top w:val="single" w:sz="4" w:color="D1D5DB"/>
              <w:left w:val="single" w:sz="4" w:color="D1D5DB"/>
              <w:bottom w:val="single" w:sz="4" w:color="D1D5DB"/>
              <w:right w:val="single" w:sz="4" w:color="D1D5DB"/>
            </w:tcBorders>
          </w:tcPr>
          <w:p>
            <w:r>
              <w:rPr>
                <w:rFonts w:ascii="Calibri" w:hAnsi="Calibri"/>
                <w:b/>
                <w:i/>
                <w:color w:val="6B7280"/>
                <w:sz w:val="18"/>
              </w:rPr>
              <w:t>Thomas's notes — any principle missing or worded wrong?</w:t>
            </w:r>
          </w:p>
        </w:tc>
      </w:tr>
      <w:tr>
        <w:tc>
          <w:tcPr>
            <w:tcW w:type="dxa" w:w="9972"/>
            <w:tcBorders>
              <w:top w:val="single" w:sz="4" w:color="D1D5DB"/>
              <w:left w:val="single" w:sz="4" w:color="D1D5DB"/>
              <w:bottom w:val="single" w:sz="4" w:color="D1D5DB"/>
              <w:right w:val="single" w:sz="4" w:color="D1D5DB"/>
            </w:tcBorders>
          </w:tcPr>
          <w:p>
            <w:pPr>
              <w:spacing w:before="40" w:after="40"/>
            </w:pPr>
          </w:p>
          <w:p/>
          <w:p/>
          <w:p/>
        </w:tc>
      </w:tr>
    </w:tbl>
    <w:p>
      <w:pPr>
        <w:spacing w:after="120"/>
      </w:pPr>
    </w:p>
    <w:p>
      <w:pPr>
        <w:keepNext/>
        <w:spacing w:before="360" w:after="160"/>
      </w:pPr>
      <w:r>
        <w:rPr>
          <w:rFonts w:ascii="Calibri" w:hAnsi="Calibri"/>
          <w:b/>
          <w:i w:val="0"/>
          <w:color w:val="1A4F4A"/>
          <w:sz w:val="36"/>
        </w:rPr>
        <w:t>7. Where review would help</w:t>
      </w:r>
    </w:p>
    <w:p>
      <w:pPr>
        <w:spacing w:after="80" w:line="240" w:lineRule="auto"/>
      </w:pPr>
      <w:r>
        <w:rPr>
          <w:rFonts w:ascii="Calibri" w:hAnsi="Calibri"/>
          <w:b w:val="0"/>
          <w:i w:val="0"/>
          <w:color w:val="374151"/>
          <w:sz w:val="22"/>
        </w:rPr>
        <w:t>The engine is functional end-to-end, but four areas would benefit from your judgement before they are finalised:</w:t>
      </w:r>
    </w:p>
    <w:p>
      <w:pPr>
        <w:pStyle w:val="ListBullet"/>
        <w:spacing w:after="40"/>
        <w:ind w:left="283"/>
      </w:pPr>
      <w:r>
        <w:rPr>
          <w:rFonts w:ascii="Calibri" w:hAnsi="Calibri"/>
          <w:b/>
          <w:i w:val="0"/>
          <w:color w:val="111827"/>
          <w:sz w:val="22"/>
        </w:rPr>
        <w:t>Foreign-exchange rate sourcing.</w:t>
      </w:r>
      <w:r>
        <w:rPr>
          <w:rFonts w:ascii="Calibri" w:hAnsi="Calibri"/>
          <w:b w:val="0"/>
          <w:i w:val="0"/>
          <w:color w:val="374151"/>
          <w:sz w:val="22"/>
        </w:rPr>
        <w:t xml:space="preserve"> Today rates are entered manually. The plan is to auto-fetch from the European Central Bank reference feed daily, with manual override preserved. We would value your view on whether ECB is the right default for the family-office context, or whether a different authoritative source is preferred.</w:t>
      </w:r>
    </w:p>
    <w:p>
      <w:pPr>
        <w:pStyle w:val="ListBullet"/>
        <w:spacing w:after="40"/>
        <w:ind w:left="283"/>
      </w:pPr>
      <w:r>
        <w:rPr>
          <w:rFonts w:ascii="Calibri" w:hAnsi="Calibri"/>
          <w:b/>
          <w:i w:val="0"/>
          <w:color w:val="111827"/>
          <w:sz w:val="22"/>
        </w:rPr>
        <w:t>Period-close workflow.</w:t>
      </w:r>
      <w:r>
        <w:rPr>
          <w:rFonts w:ascii="Calibri" w:hAnsi="Calibri"/>
          <w:b w:val="0"/>
          <w:i w:val="0"/>
          <w:color w:val="374151"/>
          <w:sz w:val="22"/>
        </w:rPr>
        <w:t xml:space="preserve"> Closing a period locks new postings into it. Reopening requires explicit permission. We have not yet defined the exact month-end / quarter-end / year-end checklist — recurring recognition entries, FX revaluation, intercompany settlement. Your standard close checklist would help.</w:t>
      </w:r>
    </w:p>
    <w:p>
      <w:pPr>
        <w:pStyle w:val="ListBullet"/>
        <w:spacing w:after="40"/>
        <w:ind w:left="283"/>
      </w:pPr>
      <w:r>
        <w:rPr>
          <w:rFonts w:ascii="Calibri" w:hAnsi="Calibri"/>
          <w:b/>
          <w:i w:val="0"/>
          <w:color w:val="111827"/>
          <w:sz w:val="22"/>
        </w:rPr>
        <w:t>Account hierarchy in reports.</w:t>
      </w:r>
      <w:r>
        <w:rPr>
          <w:rFonts w:ascii="Calibri" w:hAnsi="Calibri"/>
          <w:b w:val="0"/>
          <w:i w:val="0"/>
          <w:color w:val="374151"/>
          <w:sz w:val="22"/>
        </w:rPr>
        <w:t xml:space="preserve"> Reports currently show a flat list of accounts under each section. Most family-office books expect a hierarchy (Assets &gt; Current &gt; Cash &gt; Operating Bank). Wiring the hierarchy into the reports is straightforward; we would like your preferred depth and the parent-child grouping rules.</w:t>
      </w:r>
    </w:p>
    <w:p>
      <w:pPr>
        <w:pStyle w:val="ListBullet"/>
        <w:spacing w:after="40"/>
        <w:ind w:left="283"/>
      </w:pPr>
      <w:r>
        <w:rPr>
          <w:rFonts w:ascii="Calibri" w:hAnsi="Calibri"/>
          <w:b/>
          <w:i w:val="0"/>
          <w:color w:val="111827"/>
          <w:sz w:val="22"/>
        </w:rPr>
        <w:t>Comparative period column on P&amp;L.</w:t>
      </w:r>
      <w:r>
        <w:rPr>
          <w:rFonts w:ascii="Calibri" w:hAnsi="Calibri"/>
          <w:b w:val="0"/>
          <w:i w:val="0"/>
          <w:color w:val="374151"/>
          <w:sz w:val="22"/>
        </w:rPr>
        <w:t xml:space="preserve"> Adding a 'this period vs same period prior year' column on the income statement is a common accountant ask. Whether it should be a standing column or an opt-in toggle is a judgement call.</w:t>
      </w:r>
    </w:p>
    <w:tbl>
      <w:tblPr>
        <w:tblW w:type="auto" w:w="0"/>
        <w:tblLayout w:type="autofit"/>
        <w:tblLook w:firstColumn="1" w:firstRow="1" w:lastColumn="0" w:lastRow="0" w:noHBand="0" w:noVBand="1" w:val="04A0"/>
      </w:tblPr>
      <w:tblGrid>
        <w:gridCol w:w="9972"/>
      </w:tblGrid>
      <w:tr>
        <w:tc>
          <w:tcPr>
            <w:tcW w:type="dxa" w:w="9972"/>
            <w:shd w:val="clear" w:color="auto" w:fill="F4ED E8"/>
            <w:tcBorders>
              <w:top w:val="single" w:sz="4" w:color="D1D5DB"/>
              <w:left w:val="single" w:sz="4" w:color="D1D5DB"/>
              <w:bottom w:val="single" w:sz="4" w:color="D1D5DB"/>
              <w:right w:val="single" w:sz="4" w:color="D1D5DB"/>
            </w:tcBorders>
          </w:tcPr>
          <w:p>
            <w:r>
              <w:rPr>
                <w:rFonts w:ascii="Calibri" w:hAnsi="Calibri"/>
                <w:b/>
                <w:i/>
                <w:color w:val="6B7280"/>
                <w:sz w:val="18"/>
              </w:rPr>
              <w:t>Thomas's notes — what should be on this list that isn't?</w:t>
            </w:r>
          </w:p>
        </w:tc>
      </w:tr>
      <w:tr>
        <w:tc>
          <w:tcPr>
            <w:tcW w:type="dxa" w:w="9972"/>
            <w:tcBorders>
              <w:top w:val="single" w:sz="4" w:color="D1D5DB"/>
              <w:left w:val="single" w:sz="4" w:color="D1D5DB"/>
              <w:bottom w:val="single" w:sz="4" w:color="D1D5DB"/>
              <w:right w:val="single" w:sz="4" w:color="D1D5DB"/>
            </w:tcBorders>
          </w:tcPr>
          <w:p>
            <w:pPr>
              <w:spacing w:before="40" w:after="40"/>
            </w:pPr>
          </w:p>
          <w:p/>
          <w:p/>
          <w:p/>
        </w:tc>
      </w:tr>
    </w:tbl>
    <w:p>
      <w:pPr>
        <w:spacing w:after="120"/>
      </w:pPr>
    </w:p>
    <w:p>
      <w:pPr>
        <w:keepNext/>
        <w:spacing w:before="360" w:after="160"/>
      </w:pPr>
      <w:r>
        <w:rPr>
          <w:rFonts w:ascii="Calibri" w:hAnsi="Calibri"/>
          <w:b/>
          <w:i w:val="0"/>
          <w:color w:val="1A4F4A"/>
          <w:sz w:val="36"/>
        </w:rPr>
        <w:t>8. Frequently asked questions</w:t>
      </w:r>
    </w:p>
    <w:p>
      <w:pPr>
        <w:spacing w:after="160" w:line="240" w:lineRule="auto"/>
      </w:pPr>
      <w:r>
        <w:rPr>
          <w:rFonts w:ascii="Calibri" w:hAnsi="Calibri"/>
          <w:b w:val="0"/>
          <w:i w:val="0"/>
          <w:color w:val="374151"/>
          <w:sz w:val="22"/>
        </w:rPr>
        <w:t>Questions we've heard from advisors, accountants, and family-office principals during early conversations. Answers reflect what the engine does today, not promises.</w:t>
      </w:r>
    </w:p>
    <w:p>
      <w:pPr>
        <w:keepNext/>
        <w:spacing w:before="160" w:after="40"/>
      </w:pPr>
      <w:r>
        <w:rPr>
          <w:rFonts w:ascii="Calibri" w:hAnsi="Calibri"/>
          <w:b/>
          <w:i w:val="0"/>
          <w:color w:val="1A4F4A"/>
          <w:sz w:val="22"/>
        </w:rPr>
        <w:t>Q. How is Beakon different from Xero, QuickBooks, or Sage?</w:t>
      </w:r>
    </w:p>
    <w:p>
      <w:pPr>
        <w:spacing w:after="40"/>
      </w:pPr>
      <w:r>
        <w:rPr>
          <w:rFonts w:ascii="Calibri" w:hAnsi="Calibri"/>
          <w:b w:val="0"/>
          <w:i w:val="0"/>
          <w:color w:val="374151"/>
          <w:sz w:val="22"/>
        </w:rPr>
        <w:t>A. Those products are SaaS bookkeeping built before useful AI existed. Beakon is built around the AI loop from the ground up: every intake (bills, invoices, bank lines) is a draft proposed by AI and approved by a human, with the model and confidence preserved on the audit trail. The output reports are the same, but the inputs take seconds instead of minutes per record. Multi-entity is first-class — five entities are handled the same way as one — which family offices typically lose to Xero's per-entity pricing model.</w:t>
      </w:r>
    </w:p>
    <w:p>
      <w:pPr>
        <w:keepNext/>
        <w:spacing w:before="160" w:after="40"/>
      </w:pPr>
      <w:r>
        <w:rPr>
          <w:rFonts w:ascii="Calibri" w:hAnsi="Calibri"/>
          <w:b/>
          <w:i w:val="0"/>
          <w:color w:val="1A4F4A"/>
          <w:sz w:val="22"/>
        </w:rPr>
        <w:t>Q. What happens if the AI gets something wrong?</w:t>
      </w:r>
    </w:p>
    <w:p>
      <w:pPr>
        <w:spacing w:after="40"/>
      </w:pPr>
      <w:r>
        <w:rPr>
          <w:rFonts w:ascii="Calibri" w:hAnsi="Calibri"/>
          <w:b w:val="0"/>
          <w:i w:val="0"/>
          <w:color w:val="374151"/>
          <w:sz w:val="22"/>
        </w:rPr>
        <w:t>A. The reviewer sees the AI's confidence score (under 70% is flagged yellow; under 40% red), the suggested-account reasoning, and the accounting-standard explanation on every draft. They can edit any field before approving. The audit trail records both the AI's original suggestion AND the human's final decision, so wrong suggestions never disappear silently — they're visible to anyone auditing the books later.</w:t>
      </w:r>
    </w:p>
    <w:p>
      <w:pPr>
        <w:keepNext/>
        <w:spacing w:before="160" w:after="40"/>
      </w:pPr>
      <w:r>
        <w:rPr>
          <w:rFonts w:ascii="Calibri" w:hAnsi="Calibri"/>
          <w:b/>
          <w:i w:val="0"/>
          <w:color w:val="1A4F4A"/>
          <w:sz w:val="22"/>
        </w:rPr>
        <w:t>Q. Can I run this without sending data to Anthropic?</w:t>
      </w:r>
    </w:p>
    <w:p>
      <w:pPr>
        <w:spacing w:after="40"/>
      </w:pPr>
      <w:r>
        <w:rPr>
          <w:rFonts w:ascii="Calibri" w:hAnsi="Calibri"/>
          <w:b w:val="0"/>
          <w:i w:val="0"/>
          <w:color w:val="374151"/>
          <w:sz w:val="22"/>
        </w:rPr>
        <w:t>A. Yes. Beakon's AI features have two backends: a local mode (open-source models running on the office's machine, nothing leaves the network) and Anthropic Claude (sent to api.anthropic.com over TLS). The choice is configurable per organisation. Local mode is the default; it produces good results on clean documents and stays slightly behind Claude on hard scans or cryptic memos.</w:t>
      </w:r>
    </w:p>
    <w:p>
      <w:pPr>
        <w:keepNext/>
        <w:spacing w:before="160" w:after="40"/>
      </w:pPr>
      <w:r>
        <w:rPr>
          <w:rFonts w:ascii="Calibri" w:hAnsi="Calibri"/>
          <w:b/>
          <w:i w:val="0"/>
          <w:color w:val="1A4F4A"/>
          <w:sz w:val="22"/>
        </w:rPr>
        <w:t>Q. How does multi-currency work?</w:t>
      </w:r>
    </w:p>
    <w:p>
      <w:pPr>
        <w:spacing w:after="40"/>
      </w:pPr>
      <w:r>
        <w:rPr>
          <w:rFonts w:ascii="Calibri" w:hAnsi="Calibri"/>
          <w:b w:val="0"/>
          <w:i w:val="0"/>
          <w:color w:val="374151"/>
          <w:sz w:val="22"/>
        </w:rPr>
        <w:t>A. Each entity has a functional currency (CHF for the foundation, USD for a US holdco, etc.). Documents in any currency are accepted; the engine converts at the FX rate of the document's date and posts in functional. FX rates are stored as a time series — the engine looks up the most recent rate on or before the journal entry date. Reports render in either functional or a chosen reporting currency. Month-end FX revaluation produces a separate journal entry that hits Realised / Unrealised FX accounts.</w:t>
      </w:r>
    </w:p>
    <w:p>
      <w:pPr>
        <w:keepNext/>
        <w:spacing w:before="160" w:after="40"/>
      </w:pPr>
      <w:r>
        <w:rPr>
          <w:rFonts w:ascii="Calibri" w:hAnsi="Calibri"/>
          <w:b/>
          <w:i w:val="0"/>
          <w:color w:val="1A4F4A"/>
          <w:sz w:val="22"/>
        </w:rPr>
        <w:t>Q. How does this scale to multiple entities?</w:t>
      </w:r>
    </w:p>
    <w:p>
      <w:pPr>
        <w:spacing w:after="40"/>
      </w:pPr>
      <w:r>
        <w:rPr>
          <w:rFonts w:ascii="Calibri" w:hAnsi="Calibri"/>
          <w:b w:val="0"/>
          <w:i w:val="0"/>
          <w:color w:val="374151"/>
          <w:sz w:val="22"/>
        </w:rPr>
        <w:t>A. Every record (account, bill, invoice, journal entry) carries an entity reference. Reports run in single-entity mode (just one set of books) or consolidated mode (all entities in one currency, with intercompany eliminations applied). Each entity carries its own functional currency, accounting standard, and chart of accounts; shared accounts (e.g. a holding-company-wide AR control) are also supported.</w:t>
      </w:r>
    </w:p>
    <w:p>
      <w:pPr>
        <w:keepNext/>
        <w:spacing w:before="160" w:after="40"/>
      </w:pPr>
      <w:r>
        <w:rPr>
          <w:rFonts w:ascii="Calibri" w:hAnsi="Calibri"/>
          <w:b/>
          <w:i w:val="0"/>
          <w:color w:val="1A4F4A"/>
          <w:sz w:val="22"/>
        </w:rPr>
        <w:t>Q. What is the segregation-of-duties enforcement?</w:t>
      </w:r>
    </w:p>
    <w:p>
      <w:pPr>
        <w:spacing w:after="40"/>
      </w:pPr>
      <w:r>
        <w:rPr>
          <w:rFonts w:ascii="Calibri" w:hAnsi="Calibri"/>
          <w:b w:val="0"/>
          <w:i w:val="0"/>
          <w:color w:val="374151"/>
          <w:sz w:val="22"/>
        </w:rPr>
        <w:t>A. The user who submits a journal entry for approval cannot also approve it. The engine refuses the action at the service layer — this cannot be bypassed by reconfiguring roles. For solo dev / platform support, a 'break-glass' override exists for users with platform-superuser status; every override is tagged in the audit log so it remains visible. For your end-customers, no override exists — submitter ≠ approver, always.</w:t>
      </w:r>
    </w:p>
    <w:p>
      <w:pPr>
        <w:keepNext/>
        <w:spacing w:before="160" w:after="40"/>
      </w:pPr>
      <w:r>
        <w:rPr>
          <w:rFonts w:ascii="Calibri" w:hAnsi="Calibri"/>
          <w:b/>
          <w:i w:val="0"/>
          <w:color w:val="1A4F4A"/>
          <w:sz w:val="22"/>
        </w:rPr>
        <w:t>Q. Where are the AI features used today?</w:t>
      </w:r>
    </w:p>
    <w:p>
      <w:pPr>
        <w:spacing w:after="40"/>
      </w:pPr>
      <w:r>
        <w:rPr>
          <w:rFonts w:ascii="Calibri" w:hAnsi="Calibri"/>
          <w:b w:val="0"/>
          <w:i w:val="0"/>
          <w:color w:val="374151"/>
          <w:sz w:val="22"/>
        </w:rPr>
        <w:t>A. Four places: (1) bill OCR + extraction, where receipts become draft bills with suggested expense accounts; (2) invoice OCR + extraction, the same flow on the AR side with revenue accounts; (3) bank-line categorisation, where the offset account on each bank transaction is suggested; and (4) executive commentary on the financial reports, written as 3-4 sentences of prose. All four are opt-in and switchable backends; the manual flow always works without the AI.</w:t>
      </w:r>
    </w:p>
    <w:p>
      <w:pPr>
        <w:keepNext/>
        <w:spacing w:before="160" w:after="40"/>
      </w:pPr>
      <w:r>
        <w:rPr>
          <w:rFonts w:ascii="Calibri" w:hAnsi="Calibri"/>
          <w:b/>
          <w:i w:val="0"/>
          <w:color w:val="1A4F4A"/>
          <w:sz w:val="22"/>
        </w:rPr>
        <w:t>Q. Can I export everything?</w:t>
      </w:r>
    </w:p>
    <w:p>
      <w:pPr>
        <w:spacing w:after="40"/>
      </w:pPr>
      <w:r>
        <w:rPr>
          <w:rFonts w:ascii="Calibri" w:hAnsi="Calibri"/>
          <w:b w:val="0"/>
          <w:i w:val="0"/>
          <w:color w:val="374151"/>
          <w:sz w:val="22"/>
        </w:rPr>
        <w:t>A. Yes. Every report exports to CSV with one click; the format is Excel-compatible with proper UTF-8 encoding so umlauts and other non-ASCII characters render correctly. Journal entries export to CSV in standard formats accountants expect. The audit log exports as a date-bracketed CSV. There is no vendor lock-in: if you ever leave Beakon, you take the data with you.</w:t>
      </w:r>
    </w:p>
    <w:p>
      <w:pPr>
        <w:keepNext/>
        <w:spacing w:before="160" w:after="40"/>
      </w:pPr>
      <w:r>
        <w:rPr>
          <w:rFonts w:ascii="Calibri" w:hAnsi="Calibri"/>
          <w:b/>
          <w:i w:val="0"/>
          <w:color w:val="1A4F4A"/>
          <w:sz w:val="22"/>
        </w:rPr>
        <w:t>Q. What about month-end and year-end close?</w:t>
      </w:r>
    </w:p>
    <w:p>
      <w:pPr>
        <w:spacing w:after="40"/>
      </w:pPr>
      <w:r>
        <w:rPr>
          <w:rFonts w:ascii="Calibri" w:hAnsi="Calibri"/>
          <w:b w:val="0"/>
          <w:i w:val="0"/>
          <w:color w:val="374151"/>
          <w:sz w:val="22"/>
        </w:rPr>
        <w:t>A. Closing a period marks it locked — new journal entries cannot land in a closed period without a reopen action by an authorised user. The close workflow runs FX revaluation, recurring recognition entries (deferrals, accruals), and intercompany eliminations as configurable steps. The exact close checklist is one of the open design questions in section 7 — your standard close runbook would shape this directly.</w:t>
      </w:r>
    </w:p>
    <w:p>
      <w:pPr>
        <w:keepNext/>
        <w:spacing w:before="160" w:after="40"/>
      </w:pPr>
      <w:r>
        <w:rPr>
          <w:rFonts w:ascii="Calibri" w:hAnsi="Calibri"/>
          <w:b/>
          <w:i w:val="0"/>
          <w:color w:val="1A4F4A"/>
          <w:sz w:val="22"/>
        </w:rPr>
        <w:t>Q. What does a typical month cost to run?</w:t>
      </w:r>
    </w:p>
    <w:p>
      <w:pPr>
        <w:spacing w:after="40"/>
      </w:pPr>
      <w:r>
        <w:rPr>
          <w:rFonts w:ascii="Calibri" w:hAnsi="Calibri"/>
          <w:b w:val="0"/>
          <w:i w:val="0"/>
          <w:color w:val="374151"/>
          <w:sz w:val="22"/>
        </w:rPr>
        <w:t>A. The engine itself is software you operate — no per-user, per-entity, or per-transaction fees from Beakon. The only running cost is the AI inference: roughly €0.001–0.005 per AI call when using Claude Haiku, and €0 when using local mode. For a family office processing 200 bills, 100 invoices, and 1,000 bank transactions a month, that is approximately €1–5/month total in cloud AI costs — orders of magnitude below what a Xero+Dext+ApprovalMax stack would charge.</w:t>
      </w:r>
    </w:p>
    <w:p>
      <w:pPr>
        <w:keepNext/>
        <w:spacing w:before="160" w:after="40"/>
      </w:pPr>
      <w:r>
        <w:rPr>
          <w:rFonts w:ascii="Calibri" w:hAnsi="Calibri"/>
          <w:b/>
          <w:i w:val="0"/>
          <w:color w:val="1A4F4A"/>
          <w:sz w:val="22"/>
        </w:rPr>
        <w:t>Q. How do I trust the numbers?</w:t>
      </w:r>
    </w:p>
    <w:p>
      <w:pPr>
        <w:spacing w:after="40"/>
      </w:pPr>
      <w:r>
        <w:rPr>
          <w:rFonts w:ascii="Calibri" w:hAnsi="Calibri"/>
          <w:b w:val="0"/>
          <w:i w:val="0"/>
          <w:color w:val="374151"/>
          <w:sz w:val="22"/>
        </w:rPr>
        <w:t>A. Five independent reports (Trial Balance, Balance Sheet, P&amp;L, Cash Flow, AP/AR Aging) each compute from the same posted journal entries, and each carries a balance / reconciliation badge. If the badges are green, the engine is internally consistent. If any badge turns red, the engine surfaces the exact source of the disagreement. The trial-balance and balance-sheet equations are fundamental — a correct accounting system can never silently break them, and an incorrect one cannot hide the break.</w:t>
      </w:r>
    </w:p>
    <w:tbl>
      <w:tblPr>
        <w:tblW w:type="auto" w:w="0"/>
        <w:tblLayout w:type="autofit"/>
        <w:tblLook w:firstColumn="1" w:firstRow="1" w:lastColumn="0" w:lastRow="0" w:noHBand="0" w:noVBand="1" w:val="04A0"/>
      </w:tblPr>
      <w:tblGrid>
        <w:gridCol w:w="9972"/>
      </w:tblGrid>
      <w:tr>
        <w:tc>
          <w:tcPr>
            <w:tcW w:type="dxa" w:w="9972"/>
            <w:shd w:val="clear" w:color="auto" w:fill="F4ED E8"/>
            <w:tcBorders>
              <w:top w:val="single" w:sz="4" w:color="D1D5DB"/>
              <w:left w:val="single" w:sz="4" w:color="D1D5DB"/>
              <w:bottom w:val="single" w:sz="4" w:color="D1D5DB"/>
              <w:right w:val="single" w:sz="4" w:color="D1D5DB"/>
            </w:tcBorders>
          </w:tcPr>
          <w:p>
            <w:r>
              <w:rPr>
                <w:rFonts w:ascii="Calibri" w:hAnsi="Calibri"/>
                <w:b/>
                <w:i/>
                <w:color w:val="6B7280"/>
                <w:sz w:val="18"/>
              </w:rPr>
              <w:t>Thomas's notes — any FAQ that is wrong, or missing, or worded poorly?</w:t>
            </w:r>
          </w:p>
        </w:tc>
      </w:tr>
      <w:tr>
        <w:tc>
          <w:tcPr>
            <w:tcW w:type="dxa" w:w="9972"/>
            <w:tcBorders>
              <w:top w:val="single" w:sz="4" w:color="D1D5DB"/>
              <w:left w:val="single" w:sz="4" w:color="D1D5DB"/>
              <w:bottom w:val="single" w:sz="4" w:color="D1D5DB"/>
              <w:right w:val="single" w:sz="4" w:color="D1D5DB"/>
            </w:tcBorders>
          </w:tcPr>
          <w:p>
            <w:pPr>
              <w:spacing w:before="40" w:after="40"/>
            </w:pPr>
          </w:p>
          <w:p/>
          <w:p/>
          <w:p/>
        </w:tc>
      </w:tr>
    </w:tbl>
    <w:p>
      <w:pPr>
        <w:spacing w:after="120"/>
      </w:pPr>
    </w:p>
    <w:p>
      <w:pPr>
        <w:keepNext/>
        <w:spacing w:before="360" w:after="160"/>
      </w:pPr>
      <w:r>
        <w:rPr>
          <w:rFonts w:ascii="Calibri" w:hAnsi="Calibri"/>
          <w:b/>
          <w:i w:val="0"/>
          <w:color w:val="1A4F4A"/>
          <w:sz w:val="36"/>
        </w:rPr>
        <w:t>9. How to mark this document</w:t>
      </w:r>
    </w:p>
    <w:p>
      <w:pPr>
        <w:spacing w:after="80" w:line="240" w:lineRule="auto"/>
      </w:pPr>
      <w:r>
        <w:rPr>
          <w:rFonts w:ascii="Calibri" w:hAnsi="Calibri"/>
          <w:b w:val="0"/>
          <w:i w:val="0"/>
          <w:color w:val="374151"/>
          <w:sz w:val="22"/>
        </w:rPr>
        <w:t>Each section ends with a cream-coloured Thomas's notes box. Please use these for written comments — they are intentionally blank and expandable. You can also use Word's standard Track Changes mode and Comments — anything that survives a round-trip back to us is fair game.</w:t>
      </w:r>
    </w:p>
    <w:p>
      <w:pPr>
        <w:spacing w:after="240" w:line="240" w:lineRule="auto"/>
      </w:pPr>
      <w:r>
        <w:rPr>
          <w:rFonts w:ascii="Calibri" w:hAnsi="Calibri"/>
          <w:b w:val="0"/>
          <w:i w:val="0"/>
          <w:color w:val="374151"/>
          <w:sz w:val="22"/>
        </w:rPr>
        <w:t>Once you return this document, we will lock the version, address every comment in writing, and re-issue. The result becomes the canonical Beakon engine specification for the next quarter.</w:t>
      </w:r>
    </w:p>
    <w:tbl>
      <w:tblPr>
        <w:tblW w:type="auto" w:w="0"/>
        <w:tblLayout w:type="autofit"/>
        <w:tblLook w:firstColumn="1" w:firstRow="1" w:lastColumn="0" w:lastRow="0" w:noHBand="0" w:noVBand="1" w:val="04A0"/>
      </w:tblPr>
      <w:tblGrid>
        <w:gridCol w:w="9972"/>
      </w:tblGrid>
      <w:tr>
        <w:tc>
          <w:tcPr>
            <w:tcW w:type="dxa" w:w="9972"/>
            <w:shd w:val="clear" w:color="auto" w:fill="E8F0EE"/>
            <w:tcBorders>
              <w:top w:val="single" w:sz="4" w:color="D1D5DB"/>
              <w:left w:val="single" w:sz="4" w:color="D1D5DB"/>
              <w:bottom w:val="single" w:sz="4" w:color="D1D5DB"/>
              <w:right w:val="single" w:sz="4" w:color="D1D5DB"/>
            </w:tcBorders>
            <w:vAlign w:val="center"/>
          </w:tcPr>
          <w:p>
            <w:pPr>
              <w:spacing w:before="40" w:after="40"/>
            </w:pPr>
            <w:r>
              <w:rPr>
                <w:rFonts w:ascii="Calibri" w:hAnsi="Calibri"/>
                <w:b w:val="0"/>
                <w:i w:val="0"/>
                <w:color w:val="111827"/>
                <w:sz w:val="20"/>
              </w:rPr>
              <w:t>This is a draft. Nothing in it is final. The engine is real and demonstrable today, but every sentence in this document is negotiable. Mark the document up and send it back — that is exactly the workflow Beakon is built around: AI proposes, humans approve.</w:t>
            </w:r>
          </w:p>
        </w:tc>
      </w:tr>
    </w:tbl>
    <w:p>
      <w:pPr>
        <w:spacing w:after="8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