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MSME AI adoption in Cambodia</w:t>
      </w:r>
    </w:p>
    <w:p/>
    <w:p>
      <w:pPr>
        <w:jc w:val="center"/>
      </w:pPr>
      <w:r>
        <w:rPr>
          <w:color w:val="444444"/>
          <w:sz w:val="28"/>
        </w:rPr>
        <w:t>Automated Literature Review Report</w:t>
      </w:r>
    </w:p>
    <w:p/>
    <w:p>
      <w:pPr>
        <w:jc w:val="center"/>
      </w:pPr>
      <w:r>
        <w:t>Generated: April 19, 2026</w:t>
      </w:r>
    </w:p>
    <w:p/>
    <w:p>
      <w:pPr>
        <w:jc w:val="center"/>
      </w:pPr>
      <w:r>
        <w:rPr>
          <w:i/>
        </w:rPr>
        <w:t>Search Query: "MSME AI adoption in Cambodia"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automated literature review was conducted on the query: "MSME AI adoption in Cambodia". A total of 5 papers were identified across Semantic Scholar and OpenAlex. Full texts were retrieved for 5 papers; 0 papers were included using abstract-only content. The review synthesises key findings, points of consensus, areas of debate, and identified research gaps.</w:t>
      </w:r>
    </w:p>
    <w:p>
      <w:pPr>
        <w:pStyle w:val="Heading1"/>
      </w:pPr>
      <w:r>
        <w:t>1. Search Methodology</w:t>
      </w:r>
    </w:p>
    <w:p>
      <w:r>
        <w:t>The literature search was executed automatically using two open-access academic databases: Semantic Scholar Graph API and OpenAlex. The search query used was: "MSME AI adoption in Cambodia". Papers were ranked by open-access availability, citation count, and recency. Results were deduplicated by DOI before final selection.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Papers identified (post-deduplication)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Full-text PDFs downloaded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Abstract-only inclusions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Papers excluded (no abstract/PDF)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RAG chunks ingested</w:t>
            </w:r>
          </w:p>
        </w:tc>
        <w:tc>
          <w:tcPr>
            <w:tcW w:type="dxa" w:w="4320"/>
          </w:tcPr>
          <w:p>
            <w:r>
              <w:t>1560</w:t>
            </w:r>
          </w:p>
        </w:tc>
      </w:tr>
    </w:tbl>
    <w:p/>
    <w:p>
      <w:pPr>
        <w:pStyle w:val="Heading1"/>
      </w:pPr>
      <w:r>
        <w:t>2. Findings</w:t>
      </w:r>
    </w:p>
    <w:p>
      <w:r>
        <w:t>[This section was not generated by the synthesis agent.]</w:t>
      </w:r>
    </w:p>
    <w:p>
      <w:pPr>
        <w:pStyle w:val="Heading1"/>
      </w:pPr>
      <w:r>
        <w:t>3. Consensus and Convergence</w:t>
      </w:r>
    </w:p>
    <w:p>
      <w:r>
        <w:t>[This section was not generated by the synthesis agent.]</w:t>
      </w:r>
    </w:p>
    <w:p>
      <w:pPr>
        <w:pStyle w:val="Heading1"/>
      </w:pPr>
      <w:r>
        <w:t>4. Debates and Divergence</w:t>
      </w:r>
    </w:p>
    <w:p>
      <w:r>
        <w:t>[This section was not generated by the synthesis agent.]</w:t>
      </w:r>
    </w:p>
    <w:p>
      <w:pPr>
        <w:pStyle w:val="Heading1"/>
      </w:pPr>
      <w:r>
        <w:t>5. Research Gaps</w:t>
      </w:r>
    </w:p>
    <w:p>
      <w:r>
        <w:t>[This section was not generated by the synthesis agent.]</w:t>
      </w:r>
    </w:p>
    <w:p>
      <w:pPr>
        <w:pStyle w:val="Heading1"/>
      </w:pPr>
      <w:r>
        <w:t>6. Conclusion</w:t>
      </w:r>
    </w:p>
    <w:p>
      <w:r>
        <w:t>[This section was not generated by the synthesis agent.]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ind w:left="720" w:hanging="720"/>
      </w:pPr>
      <w:r>
        <w:rPr>
          <w:sz w:val="22"/>
        </w:rPr>
        <w:t>Bank, A. D.. (2020). Asia Small and Medium-Sized Enterprise Monitor 2020:. https://doi.org/10.22617/tcs200290-2</w:t>
      </w:r>
    </w:p>
    <w:p>
      <w:pPr>
        <w:ind w:left="720" w:hanging="720"/>
      </w:pPr>
      <w:r>
        <w:rPr>
          <w:sz w:val="22"/>
        </w:rPr>
        <w:t>Bank, A. D.. (2023). E-commerce Evolution in Asia and the Pacific. https://doi.org/10.22617/tcs230473-2</w:t>
      </w:r>
    </w:p>
    <w:p>
      <w:pPr>
        <w:ind w:left="720" w:hanging="720"/>
      </w:pPr>
      <w:r>
        <w:rPr>
          <w:sz w:val="22"/>
        </w:rPr>
        <w:t>Dadios, E. P.; Culaba, A. B.; Albert, J. R.; Paqueo, V.; Orbeta, A. C.; Serafica, R.; Bandala, A. A.; Bairan, J. C. A. C.. (2018). Preparing the Philippines for the Fourth Industrial Revolution: A Scoping Study. https://doi.org/10.62986/dp2018.11</w:t>
      </w:r>
    </w:p>
    <w:p>
      <w:pPr>
        <w:ind w:left="720" w:hanging="720"/>
      </w:pPr>
      <w:r>
        <w:rPr>
          <w:sz w:val="22"/>
        </w:rPr>
        <w:t>Pellegrino, A.; Abe, M.. (2022). Digital financing for SMEs' recovery in the post-COVID era: A bibliometric review. Frontiers in Sustainable Cities. https://doi.org/10.3389/frsc.2022.978818</w:t>
      </w:r>
    </w:p>
    <w:p>
      <w:pPr>
        <w:ind w:left="720" w:hanging="720"/>
      </w:pPr>
      <w:r>
        <w:rPr>
          <w:sz w:val="22"/>
        </w:rPr>
        <w:t>Porta, R. L.; Shleifer, A.. (2014). Informality and Development. The Journal of Economic Perspectives. https://doi.org/10.1257/jep.28.3.109</w:t>
      </w:r>
    </w:p>
    <w:p>
      <w:r>
        <w:br w:type="page"/>
      </w:r>
    </w:p>
    <w:p>
      <w:pPr>
        <w:pStyle w:val="Heading1"/>
      </w:pPr>
      <w:r>
        <w:t>Appendix A — Search Log</w:t>
      </w:r>
    </w:p>
    <w:p>
      <w:r>
        <w:t>Search query: "MSME AI adoption in Cambodia"</w:t>
        <w:br/>
        <w:t>Search date: 2026-04-19</w:t>
        <w:br/>
        <w:t>Databases: Semantic Scholar, OpenAlex</w:t>
        <w:br/>
        <w:t>Project: MSME AI adoption in Cambodia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Authors</w:t>
            </w:r>
          </w:p>
        </w:tc>
        <w:tc>
          <w:tcPr>
            <w:tcW w:type="dxa" w:w="1728"/>
          </w:tcPr>
          <w:p>
            <w:r>
              <w:t>Year</w:t>
            </w:r>
          </w:p>
        </w:tc>
        <w:tc>
          <w:tcPr>
            <w:tcW w:type="dxa" w:w="1728"/>
          </w:tcPr>
          <w:p>
            <w:r>
              <w:t>Acquisition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Informality and Development</w:t>
            </w:r>
          </w:p>
        </w:tc>
        <w:tc>
          <w:tcPr>
            <w:tcW w:type="dxa" w:w="1728"/>
          </w:tcPr>
          <w:p>
            <w:r>
              <w:t>Rafael La Porta; Andrei Shleifer</w:t>
            </w:r>
          </w:p>
        </w:tc>
        <w:tc>
          <w:tcPr>
            <w:tcW w:type="dxa" w:w="1728"/>
          </w:tcPr>
          <w:p>
            <w:r>
              <w:t>2014</w:t>
            </w:r>
          </w:p>
        </w:tc>
        <w:tc>
          <w:tcPr>
            <w:tcW w:type="dxa" w:w="1728"/>
          </w:tcPr>
          <w:p>
            <w:r>
              <w:t>unpaywall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E-commerce Evolution in Asia and the Pacific</w:t>
            </w:r>
          </w:p>
        </w:tc>
        <w:tc>
          <w:tcPr>
            <w:tcW w:type="dxa" w:w="1728"/>
          </w:tcPr>
          <w:p>
            <w:r>
              <w:t>Asian Development Bank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direct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Digital financing for SMEs' recovery in the post-COVID era: A bibliometric revie</w:t>
            </w:r>
          </w:p>
        </w:tc>
        <w:tc>
          <w:tcPr>
            <w:tcW w:type="dxa" w:w="1728"/>
          </w:tcPr>
          <w:p>
            <w:r>
              <w:t>Alfonso Pellegrino; Masahiko Abe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unpaywall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Asia Small and Medium-Sized Enterprise Monitor 2020:</w:t>
            </w:r>
          </w:p>
        </w:tc>
        <w:tc>
          <w:tcPr>
            <w:tcW w:type="dxa" w:w="1728"/>
          </w:tcPr>
          <w:p>
            <w:r>
              <w:t>Asian Development Bank</w:t>
            </w:r>
          </w:p>
        </w:tc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direct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Preparing the Philippines for the Fourth Industrial Revolution: A Scoping Study</w:t>
            </w:r>
          </w:p>
        </w:tc>
        <w:tc>
          <w:tcPr>
            <w:tcW w:type="dxa" w:w="1728"/>
          </w:tcPr>
          <w:p>
            <w:r>
              <w:t>Elmer P. Dadios; Alvin B. Culaba; Jose Ramon Albert</w:t>
            </w:r>
          </w:p>
        </w:tc>
        <w:tc>
          <w:tcPr>
            <w:tcW w:type="dxa" w:w="1728"/>
          </w:tcPr>
          <w:p>
            <w:r>
              <w:t>2018</w:t>
            </w:r>
          </w:p>
        </w:tc>
        <w:tc>
          <w:tcPr>
            <w:tcW w:type="dxa" w:w="1728"/>
          </w:tcPr>
          <w:p>
            <w:r>
              <w:t>unpaywall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