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aim</w:t>
      </w:r>
    </w:p>
    <w:p/>
    <w:p>
      <w:pPr>
        <w:jc w:val="center"/>
      </w:pPr>
      <w:r>
        <w:rPr>
          <w:color w:val="444444"/>
          <w:sz w:val="28"/>
        </w:rPr>
        <w:t>Automated Literature Review Report</w:t>
      </w:r>
    </w:p>
    <w:p/>
    <w:p>
      <w:pPr>
        <w:jc w:val="center"/>
      </w:pPr>
      <w:r>
        <w:t>Generated: April 19, 2026</w:t>
      </w:r>
    </w:p>
    <w:p/>
    <w:p>
      <w:pPr>
        <w:jc w:val="center"/>
      </w:pPr>
      <w:r>
        <w:rPr>
          <w:i/>
        </w:rPr>
        <w:t>Search Query: "aim"</w:t>
      </w:r>
    </w:p>
    <w:p>
      <w:r>
        <w:br w:type="page"/>
      </w:r>
    </w:p>
    <w:p>
      <w:pPr>
        <w:pStyle w:val="Heading1"/>
      </w:pPr>
      <w:r>
        <w:t>Abstract</w:t>
      </w:r>
    </w:p>
    <w:p>
      <w:r>
        <w:t>This automated literature review was conducted on the query: "aim". A total of 1 papers were identified across Semantic Scholar and OpenAlex. Full texts were retrieved for 0 papers; 1 papers were included using abstract-only content. The review synthesises key findings, points of consensus, areas of debate, and identified research gaps.</w:t>
      </w:r>
    </w:p>
    <w:p>
      <w:pPr>
        <w:pStyle w:val="Heading1"/>
      </w:pPr>
      <w:r>
        <w:t>1. Search Methodology</w:t>
      </w:r>
    </w:p>
    <w:p>
      <w:r>
        <w:t>The literature search was executed automatically using two open-access academic databases: Semantic Scholar Graph API and OpenAlex. The search query used was: "aim". Papers were ranked by open-access availability, citation count, and recency. Results were deduplicated by DOI before final selection.</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Count</w:t>
            </w:r>
          </w:p>
        </w:tc>
      </w:tr>
      <w:tr>
        <w:tc>
          <w:tcPr>
            <w:tcW w:type="dxa" w:w="4320"/>
          </w:tcPr>
          <w:p>
            <w:r>
              <w:t>Papers identified (post-deduplication)</w:t>
            </w:r>
          </w:p>
        </w:tc>
        <w:tc>
          <w:tcPr>
            <w:tcW w:type="dxa" w:w="4320"/>
          </w:tcPr>
          <w:p>
            <w:r>
              <w:t>5</w:t>
            </w:r>
          </w:p>
        </w:tc>
      </w:tr>
      <w:tr>
        <w:tc>
          <w:tcPr>
            <w:tcW w:type="dxa" w:w="4320"/>
          </w:tcPr>
          <w:p>
            <w:r>
              <w:t>Full-text PDFs downloaded</w:t>
            </w:r>
          </w:p>
        </w:tc>
        <w:tc>
          <w:tcPr>
            <w:tcW w:type="dxa" w:w="4320"/>
          </w:tcPr>
          <w:p>
            <w:r>
              <w:t>0</w:t>
            </w:r>
          </w:p>
        </w:tc>
      </w:tr>
      <w:tr>
        <w:tc>
          <w:tcPr>
            <w:tcW w:type="dxa" w:w="4320"/>
          </w:tcPr>
          <w:p>
            <w:r>
              <w:t>Abstract-only inclusions</w:t>
            </w:r>
          </w:p>
        </w:tc>
        <w:tc>
          <w:tcPr>
            <w:tcW w:type="dxa" w:w="4320"/>
          </w:tcPr>
          <w:p>
            <w:r>
              <w:t>1</w:t>
            </w:r>
          </w:p>
        </w:tc>
      </w:tr>
      <w:tr>
        <w:tc>
          <w:tcPr>
            <w:tcW w:type="dxa" w:w="4320"/>
          </w:tcPr>
          <w:p>
            <w:r>
              <w:t>Papers excluded (no abstract/PDF)</w:t>
            </w:r>
          </w:p>
        </w:tc>
        <w:tc>
          <w:tcPr>
            <w:tcW w:type="dxa" w:w="4320"/>
          </w:tcPr>
          <w:p>
            <w:r>
              <w:t>0</w:t>
            </w:r>
          </w:p>
        </w:tc>
      </w:tr>
      <w:tr>
        <w:tc>
          <w:tcPr>
            <w:tcW w:type="dxa" w:w="4320"/>
          </w:tcPr>
          <w:p>
            <w:r>
              <w:t>Total RAG chunks ingested</w:t>
            </w:r>
          </w:p>
        </w:tc>
        <w:tc>
          <w:tcPr>
            <w:tcW w:type="dxa" w:w="4320"/>
          </w:tcPr>
          <w:p>
            <w:r>
              <w:t>333</w:t>
            </w:r>
          </w:p>
        </w:tc>
      </w:tr>
    </w:tbl>
    <w:p/>
    <w:p>
      <w:pPr>
        <w:pStyle w:val="Heading1"/>
      </w:pPr>
      <w:r>
        <w:t>2. Findings</w:t>
      </w:r>
    </w:p>
    <w:p>
      <w:r>
        <w:rPr>
          <w:i/>
          <w:color w:val="4477AA"/>
          <w:sz w:val="18"/>
        </w:rPr>
        <w:t>ℹ️ Source: RAG database</w:t>
      </w:r>
    </w:p>
    <w:p>
      <w:r>
        <w:t>The retrieved literature highlights the AIM ASEAN Programme’s structured approach to fostering AI adoption among Micro, Small, and Medium Enterprises (MSMEs) in Southeast Asia. The programme’s curriculum is designed to demystify AI, guide business owners through the adoption journey, and ensure ethical and effective implementation [R3]. Key modules cover AI fundamentals, adoption roadmaps, ethical governance, and risk management, with a focus on practical, actionable insights tailored to local contexts [R3, R4, R6]. For instance, Module 1 emphasizes foundational AI knowledge, including types of AI (e.g., Machine Learning, Generative AI) and their business applications, while Module 2 provides a step-by-step framework for AI deployment, from discovery and assessment to piloting and scalability [R2, R6, R10]. The programme also addresses broader challenges such as legal compliance, workforce transformation, and ROI measurement, ensuring MSMEs can integrate AI responsibly and strategically [R4, R12].</w:t>
      </w:r>
    </w:p>
    <w:p>
      <w:r>
        <w:t>A notable finding is the programme’s emphasis on customization and local relevance. The curriculum acknowledges regional variations in education levels, digital literacy, and industry maturity, recommending adaptations to enhance engagement and knowledge transfer [R11]. For example, facilitators are encouraged to adjust content delivery based on factors like time constraints, online/offline settings, and participant receptiveness [R11]. This flexibility ensures that AI training remains accessible and applicable to diverse MSMEs across ASEAN member states. Additionally, the programme highlights the importance of stakeholder engagement and success metrics, stressing that measurable outcomes are critical for securing buy-in and demonstrating AI’s value [R6].</w:t>
      </w:r>
    </w:p>
    <w:p>
      <w:r>
        <w:t>The literature also underscores AI’s transformative potential for business operations. Use cases span customer service, marketing, finance, and human resources, with examples such as automated screening and personalized learning paths in HR [R2, R8]. AI is positioned as a tool for increasing efficiency, improving decision-making, and enhancing customer experiences, aligning with broader digital transformation goals in the region [R10]. However, the programme cautions against overestimating AI’s capabilities, emphasizing the need for responsible deployment, data governance, and ethical considerations [R4, R5]. For instance, Module 3 focuses on ethical AI principles, while Module 7 addresses risk management and mitigation strategies [R4, R7].</w:t>
      </w:r>
    </w:p>
    <w:p>
      <w:r>
        <w:t>Overall, the findings demonstrate a comprehensive, phased approach to AI adoption tailored to MSMEs’ needs. The programme’s modular structure, practical exercises, and emphasis on local adaptation reflect a commitment to making AI accessible and impactful for businesses in the ASEAN region. By combining foundational knowledge with real-world applications and ethical guidelines, the AIM ASEAN Programme aims to empower MSMEs to leverage AI for sustainable growth and competitiveness [R3, R4, R10].</w:t>
      </w:r>
    </w:p>
    <w:p>
      <w:r>
        <w:t>References:</w:t>
      </w:r>
    </w:p>
    <w:p>
      <w:r>
        <w:t>[R1] Module 1 AI Use Cases. (n.d.). [PDF].  (Module, n.d., p. 1)</w:t>
      </w:r>
    </w:p>
    <w:p>
      <w:r>
        <w:t>[R2] AIM ASEAN Programme AI for MSME Advancement in ASEAN Curriculum Outline. (n.d.). [PDF].  (AIM, n.d., p. 7)</w:t>
      </w:r>
    </w:p>
    <w:p>
      <w:r>
        <w:t>[R3] AIM ASEAN Programme AI for MSME Advancement in ASEAN Curriculum Outline. (n.d.). [PDF].  (AIM, n.d., p. 3)</w:t>
      </w:r>
    </w:p>
    <w:p>
      <w:r>
        <w:t>[R4] AIM ASEAN Programme AI for MSME Advancement in ASEAN Curriculum Outline. (n.d.). [PDF].  (AIM, n.d., p. 13)</w:t>
      </w:r>
    </w:p>
    <w:p>
      <w:r>
        <w:t>[R5] Facilitator Guide AIM ASEAN. (n.d.). [PDF].  (Facilitator, n.d., p. 4)</w:t>
      </w:r>
    </w:p>
    <w:p>
      <w:r>
        <w:t>[R6] Facilitator Guide AIM ASEAN. (n.d.). [PDF].  (Facilitator, n.d., p. 18)</w:t>
      </w:r>
    </w:p>
    <w:p>
      <w:r>
        <w:t>[R7] AIM ASEAN Programme AI for MSME Advancement in ASEAN Curriculum Outline. (n.d.). [PDF].  (AIM, n.d., p. 2)</w:t>
      </w:r>
    </w:p>
    <w:p>
      <w:r>
        <w:t>[R8] Facilitator Guide AIM ASEAN. (n.d.). [PDF].  (Facilitator, n.d., p. 8)</w:t>
      </w:r>
    </w:p>
    <w:p>
      <w:r>
        <w:t>[R9] Facilitator Guide AIM ASEAN. (n.d.). [PDF].  (Facilitator, n.d., p. 2)</w:t>
      </w:r>
    </w:p>
    <w:p>
      <w:r>
        <w:t>[R10] AIM ASEAN Programme AI for MSME Advancement in ASEAN Curriculum Outline. (n.d.). [PDF].  (AIM, n.d., p. 5)</w:t>
      </w:r>
    </w:p>
    <w:p>
      <w:r>
        <w:t>[R11] Facilitator Guide AIM ASEAN. (n.d.). [PDF].  (Facilitator, n.d., p. 46)</w:t>
      </w:r>
    </w:p>
    <w:p>
      <w:r>
        <w:t>[R12] Facilitator Guide AIM ASEAN. (n.d.). [PDF].  (Facilitator, n.d., p. 38)</w:t>
      </w:r>
    </w:p>
    <w:p>
      <w:pPr>
        <w:pStyle w:val="Heading1"/>
      </w:pPr>
      <w:r>
        <w:t>3. Consensus and Convergence</w:t>
      </w:r>
    </w:p>
    <w:p>
      <w:r>
        <w:rPr>
          <w:i/>
          <w:color w:val="4477AA"/>
          <w:sz w:val="18"/>
        </w:rPr>
        <w:t>ℹ️ Source: RAG database</w:t>
      </w:r>
    </w:p>
    <w:p>
      <w:r>
        <w:t>Across the reviewed literature, there is a strong consensus that AI adoption among MSMEs in ASEAN requires a structured, phased approach to ensure effectiveness and sustainability. Multiple sources emphasize the importance of beginning with foundational AI literacy before progressing to implementation, with Module 1 of the AIM ASEAN Programme explicitly stating that business owners must first understand core AI concepts—such as Machine Learning, Deep Learning, and Generative AI—before identifying use cases (AIM, n.d., p. 5). This is reinforced in the Facilitator Guide, which positions Module 1 as the "essential entry point" for the entire curriculum, ensuring participants are not intimidated by AI but rather motivated to explore its business applications (Facilitator, n.d., p. 4). The convergence on this structured progression suggests that demystifying AI through accessible education is a critical first step in driving adoption.</w:t>
      </w:r>
    </w:p>
    <w:p>
      <w:r>
        <w:t>Another point of agreement is the necessity of addressing ethical and governance considerations early in the AI adoption journey. Module 3 of the curriculum highlights the risks of bias, lack of transparency, and accountability in AI systems, stressing that these are not just theoretical concerns but practical challenges that impact reputation and legal compliance (Facilitator, n.d., p. 27). This is echoed in Module 7, which underscores the importance of proactive risk management, including data quality controls and continuous monitoring, to ensure AI projects are both innovative and secure (AIM, n.d., p. 19). The repeated emphasis on ethical AI and risk mitigation across modules indicates a shared recognition that responsible AI adoption is as important as technical implementation for long-term success.</w:t>
      </w:r>
    </w:p>
    <w:p>
      <w:r>
        <w:t>Additionally, the literature consistently highlights the need for stakeholder engagement and measurable success metrics as key drivers of AI adoption. Module 2 outlines a clear roadmap for AI implementation—Discovery, Assessment, Piloting, and Scalability—while stressing that stakeholder buy-in and defined success criteria are essential for securing support and demonstrating real-world impact (Facilitator, n.d., p. 18). This is further supported by Module 4, which addresses change management and ROI measurement, reinforcing the idea that AI adoption must be aligned with broader business strategy and organizational culture (AIM, n.d., p. 13). The convergence on these themes suggests that AI adoption is not solely a technological challenge but also a strategic and cultural one, requiring careful planning and stakeholder alignment.</w:t>
      </w:r>
    </w:p>
    <w:p>
      <w:r>
        <w:t>Finally, there is consensus that AI adoption should be tailored to the specific needs of MSMEs, with a focus on practical, low-cost solutions. The curriculum emphasizes identifying AI opportunities within existing business operations, such as automating simple tasks or improving customer service, rather than pursuing large-scale, resource-intensive projects (AIM, n.d., p. 5). This pragmatic approach is reflected in Module 7, which encourages businesses to start with small-scale pilots to test AI solutions before scaling (AIM, n.d., p. 19). The repeated focus on scalability and risk mitigation underscores the importance of a cautious, iterative approach to AI adoption, particularly for smaller enterprises with limited resources.</w:t>
      </w:r>
    </w:p>
    <w:p>
      <w:r>
        <w:t>References:</w:t>
      </w:r>
    </w:p>
    <w:p>
      <w:r>
        <w:t>[R1] AIM ASEAN Programme AI for MSME Advancement in ASEAN Curriculum Outline. (n.d.). [PDF].  (AIM, n.d., p. 3)</w:t>
      </w:r>
    </w:p>
    <w:p>
      <w:r>
        <w:t>[R2] Facilitator Guide AIM ASEAN. (n.d.). [PDF].  (Facilitator, n.d., p. 18)</w:t>
      </w:r>
    </w:p>
    <w:p>
      <w:r>
        <w:t>[R3] Facilitator Guide AIM ASEAN. (n.d.). [PDF].  (Facilitator, n.d., p. 45)</w:t>
      </w:r>
    </w:p>
    <w:p>
      <w:r>
        <w:t>[R4] Facilitator Guide AIM ASEAN. (n.d.). [PDF].  (Facilitator, n.d., p. 4)</w:t>
      </w:r>
    </w:p>
    <w:p>
      <w:r>
        <w:t>[R5] AIM ASEAN Programme AI for MSME Advancement in ASEAN Curriculum Outline. (n.d.). [PDF].  (AIM, n.d., p. 5)</w:t>
      </w:r>
    </w:p>
    <w:p>
      <w:r>
        <w:t>[R6] AIM ASEAN Programme AI for MSME Advancement in ASEAN Curriculum Outline. (n.d.). [PDF].  (AIM, n.d., p. 19)</w:t>
      </w:r>
    </w:p>
    <w:p>
      <w:r>
        <w:t>[R7] Facilitator Guide AIM ASEAN. (n.d.). [PDF].  (Facilitator, n.d., p. 27)</w:t>
      </w:r>
    </w:p>
    <w:p>
      <w:r>
        <w:t>[R8] Facilitator Guide AIM ASEAN. (n.d.). [PDF].  (Facilitator, n.d., p. 3)</w:t>
      </w:r>
    </w:p>
    <w:p>
      <w:r>
        <w:t>[R9] AIM ASEAN Programme AI for MSME Advancement in ASEAN Curriculum Outline. (n.d.). [PDF].  (AIM, n.d., p. 21)</w:t>
      </w:r>
    </w:p>
    <w:p>
      <w:r>
        <w:t>[R10] AIM ASEAN Programme AI for MSME Advancement in ASEAN Curriculum Outline. (n.d.). [PDF].  (AIM, n.d., p. 2)</w:t>
      </w:r>
    </w:p>
    <w:p>
      <w:r>
        <w:t>[R11] AIM ASEAN Programme AI for MSME Advancement in ASEAN Curriculum Outline. (n.d.). [PDF].  (AIM, n.d., p. 21)</w:t>
      </w:r>
    </w:p>
    <w:p>
      <w:r>
        <w:t>[R12] AIM ASEAN Programme AI for MSME Advancement in ASEAN Curriculum Outline. (n.d.). [PDF].  (AIM, n.d., p. 13)</w:t>
      </w:r>
    </w:p>
    <w:p>
      <w:pPr>
        <w:pStyle w:val="Heading1"/>
      </w:pPr>
      <w:r>
        <w:t>4. Debates and Divergence</w:t>
      </w:r>
    </w:p>
    <w:p>
      <w:r>
        <w:rPr>
          <w:i/>
          <w:color w:val="4477AA"/>
          <w:sz w:val="18"/>
        </w:rPr>
        <w:t>ℹ️ Source: RAG database</w:t>
      </w:r>
    </w:p>
    <w:p>
      <w:r>
        <w:t>The AIM ASEAN Programme curriculum presents a structured approach to AI adoption for MSMEs, yet certain debates and methodological differences emerge in its implementation and content. One key area of divergence lies in the emphasis on ethical governance versus practical adoption. While Module 3 of the curriculum strongly advocates for ethical principles such as fairness, transparency, and accountability ([R1]; [R2]), the Facilitator Guide acknowledges that local implementation partners must adapt these principles to varying educational and technological contexts across ASEAN countries ([R9]). This raises questions about whether a standardized ethical framework can be effectively applied across diverse cultural and regulatory environments. For instance, the curriculum highlights the importance of human oversight in critical AI decisions ([R2]), but the Facilitator Guide also notes that self-guided learning modes may lack immediate feedback, potentially undermining the consistency of ethical adherence ([R6]; [R7]). This tension suggests a debate between the ideal of universal ethical standards and the reality of localized adaptation.</w:t>
      </w:r>
    </w:p>
    <w:p>
      <w:r>
        <w:t>Another point of contention is the balance between theoretical knowledge and practical application. The curriculum outlines core principles of responsible AI, including algorithmic bias mitigation and data governance ([R2]; [R8]), yet the Facilitator Guide emphasizes the need for sector-specific adaptation to ensure relevance ([R7]). This discrepancy reflects differing views on whether AI training should prioritize broad ethical frameworks or tailored, industry-specific guidance. For example, while the curriculum stresses the importance of continuous monitoring and post-deployment audits ([R5]), the Facilitator Guide acknowledges that self-paced learning may not effectively address misunderstandings in real time ([R6]). This methodological difference underscores a broader debate about the most effective way to deliver AI training—whether through structured, instructor-led sessions or flexible, self-directed learning.</w:t>
      </w:r>
    </w:p>
    <w:p>
      <w:r>
        <w:t>Additionally, there is a divergence in how the curriculum addresses the role of AI in business decision-making. The AIM ASEAN Programme emphasizes the need for AI governance frameworks to define clear policies and responsibilities ([R2]; [R8]), yet the Facilitator Guide highlights the challenges of ensuring consistent engagement when participants learn at their own pace ([R6]). This raises questions about whether a standardized governance framework can be effectively implemented without direct oversight. Furthermore, the curriculum’s focus on ethical risks, such as algorithmic bias and data quality ([R2]), contrasts with the Facilitator Guide’s recognition that local trainers may need to prioritize immediate business applications over theoretical ethical considerations ([R9]). This tension suggests a debate between the importance of ethical rigor and the practical constraints of AI adoption in MSMEs.</w:t>
      </w:r>
    </w:p>
    <w:p>
      <w:r>
        <w:t>Finally, the curriculum’s approach to AI adoption presents conflicting perspectives on the role of human oversight. While Module 3 emphasizes the necessity of human review for critical AI decisions ([R2]), the Facilitator Guide acknowledges that self-guided learning may not provide the necessary feedback to ensure ethical compliance ([R6]). This methodological difference highlights a broader debate about whether AI governance can be effectively enforced through standardized training or requires ongoing, adaptive guidance. The curriculum’s structured modules and learning objectives ([R8]) contrast with the Facilitator Guide’s flexibility in delivery methods ([R7]), suggesting differing views on the best way to balance ethical principles with practical implementation.</w:t>
      </w:r>
    </w:p>
    <w:p>
      <w:r>
        <w:t>References:</w:t>
      </w:r>
    </w:p>
    <w:p>
      <w:r>
        <w:t>[R1] Facilitator Guide AIM ASEAN. (n.d.). [PDF].  (Facilitator, n.d., p. 27)</w:t>
      </w:r>
    </w:p>
    <w:p>
      <w:r>
        <w:t>[R2] AIM ASEAN Programme AI for MSME Advancement in ASEAN Curriculum Outline. (n.d.). [PDF].  (AIM, n.d., p. 11)</w:t>
      </w:r>
    </w:p>
    <w:p>
      <w:r>
        <w:t>[R3] Facilitator Guide AIM ASEAN. (n.d.). [PDF].  (Facilitator, n.d., p. 4)</w:t>
      </w:r>
    </w:p>
    <w:p>
      <w:r>
        <w:t>[R4] AIM ASEAN Programme AI for MSME Advancement in ASEAN Curriculum Outline. (n.d.). [PDF].  (AIM, n.d., p. 3)</w:t>
      </w:r>
    </w:p>
    <w:p>
      <w:r>
        <w:t>[R5] AIM ASEAN Programme AI for MSME Advancement in ASEAN Curriculum Outline. (n.d.). [PDF].  (AIM, n.d., p. 21)</w:t>
      </w:r>
    </w:p>
    <w:p>
      <w:r>
        <w:t>[R6] Facilitator Guide AIM ASEAN. (n.d.). [PDF].  (Facilitator, n.d., p. 49)</w:t>
      </w:r>
    </w:p>
    <w:p>
      <w:r>
        <w:t>[R7] Facilitator Guide AIM ASEAN. (n.d.). [PDF].  (Facilitator, n.d., p. 48)</w:t>
      </w:r>
    </w:p>
    <w:p>
      <w:r>
        <w:t>[R8] AIM ASEAN Programme AI for MSME Advancement in ASEAN Curriculum Outline. (n.d.). [PDF].  (AIM, n.d., p. 10)</w:t>
      </w:r>
    </w:p>
    <w:p>
      <w:r>
        <w:t>[R9] Facilitator Guide AIM ASEAN. (n.d.). [PDF].  (Facilitator, n.d., p. 46)</w:t>
      </w:r>
    </w:p>
    <w:p>
      <w:r>
        <w:t>[R10] AIM ASEAN Programme AI for MSME Advancement in ASEAN Curriculum Outline. (n.d.). [PDF].  (AIM, n.d., p. 1)</w:t>
      </w:r>
    </w:p>
    <w:p>
      <w:r>
        <w:t>[R11] Facilitator Guide AIM ASEAN. (n.d.). [PDF].  (Facilitator, n.d., p. 1)</w:t>
      </w:r>
    </w:p>
    <w:p>
      <w:r>
        <w:t>[R12] Facilitator Guide AIM ASEAN. (n.d.). [PDF].  (Facilitator, n.d., p. 2)</w:t>
      </w:r>
    </w:p>
    <w:p>
      <w:pPr>
        <w:pStyle w:val="Heading1"/>
      </w:pPr>
      <w:r>
        <w:t>5. Research Gaps</w:t>
      </w:r>
    </w:p>
    <w:p>
      <w:r>
        <w:rPr>
          <w:i/>
          <w:color w:val="4477AA"/>
          <w:sz w:val="18"/>
        </w:rPr>
        <w:t>ℹ️ Source: RAG database</w:t>
      </w:r>
    </w:p>
    <w:p>
      <w:r>
        <w:t>The retrieved literature on the AIM ASEAN Programme provides a comprehensive framework for AI adoption among MSMEs in Southeast Asia, yet several critical gaps remain in the existing research and curriculum. While the programme effectively covers AI fundamentals, ethical governance, and deployment strategies, there is limited empirical evidence on the long-term impact of these modules on business outcomes. Specifically, the curriculum outlines learning objectives and suggested durations but lacks rigorous evaluation metrics to assess whether participants successfully implement AI solutions post-training [R2]. Additionally, the programme emphasizes theoretical knowledge and use cases but does not thoroughly address the practical challenges MSMEs face in resource-constrained environments, such as limited access to high-quality data or technical expertise [R4]. This gap underscores the need for further research on the scalability and adaptability of AI training programmes in diverse ASEAN markets.</w:t>
      </w:r>
    </w:p>
    <w:p>
      <w:r>
        <w:t>Another notable limitation is the understudied role of cultural and regional differences in AI adoption. The AIM ASEAN Programme acknowledges the importance of local customization but does not provide detailed case studies or data on how AI implementation varies across the ten ASEAN member states [R5]. For instance, while Module 6 focuses on building an AI-ready culture, there is no exploration of how cultural attitudes toward automation or trust in AI systems differ between countries, which could significantly influence adoption rates [R10]. Furthermore, the curriculum briefly touches on ethical and governance principles but does not delve into the specific legal frameworks or regulatory challenges unique to each ASEAN nation, leaving a critical research gap in understanding the regional policy landscape for AI [R9].</w:t>
      </w:r>
    </w:p>
    <w:p>
      <w:r>
        <w:t>The literature also reveals a lack of focus on the financial sustainability of AI projects for MSMEs. While Module 4 discusses ROI measurement, the programme does not explore cost-effective AI solutions tailored to the budget constraints of small businesses [R10]. For example, there is minimal discussion on open-source AI tools or low-cost deployment strategies that could make AI more accessible to micro and small enterprises [R2]. Additionally, the curriculum does not address the potential for AI to exacerbate existing inequalities within MSMEs, such as digital divides between urban and rural businesses, which warrants further investigation [R4]. These gaps highlight the need for future research to bridge the divide between AI theory and its practical, affordable application in real-world MSME settings.</w:t>
      </w:r>
    </w:p>
    <w:p>
      <w:r>
        <w:t>Lastly, the retrieved evidence indicates a lack of longitudinal studies on the evolving risks associated with AI adoption in MSMEs. Module 7 outlines risk management strategies, but there is no discussion on how emerging risks, such as those related to generative AI or deepfake technologies, may impact small businesses in the future [R9]. Moreover, the programme does not explore the role of AI in enhancing resilience during economic or environmental crises, which is particularly relevant for MSMEs in ASEAN, a region vulnerable to climate change and supply chain disruptions [R10]. Addressing these gaps will require interdisciplinary research that combines technical, economic, and sociocultural perspectives to ensure AI adoption is both effective and equitable across the region.</w:t>
      </w:r>
    </w:p>
    <w:p>
      <w:r>
        <w:t>References</w:t>
      </w:r>
    </w:p>
    <w:p>
      <w:r>
        <w:t>[R1] Facilitator Guide AIM ASEAN. (n.d.). [PDF].</w:t>
      </w:r>
    </w:p>
    <w:p>
      <w:r>
        <w:t>[R2] AIM ASEAN Programme AI for MSME Advancement in ASEAN Curriculum Outline. (n.d.). [PDF].</w:t>
      </w:r>
    </w:p>
    <w:p>
      <w:r>
        <w:t>[R3] Facilitator Guide AIM ASEAN. (n.d.). [PDF].</w:t>
      </w:r>
    </w:p>
    <w:p>
      <w:r>
        <w:t>[R4] Facilitator Guide AIM ASEAN. (n.d.). [PDF].</w:t>
      </w:r>
    </w:p>
    <w:p>
      <w:r>
        <w:t>[R5] Facilitator Guide AIM ASEAN. (n.d.). [PDF].</w:t>
      </w:r>
    </w:p>
    <w:p>
      <w:r>
        <w:t>[R6] Facilitator Guide AIM ASEAN. (n.d.). [PDF].</w:t>
      </w:r>
    </w:p>
    <w:p>
      <w:r>
        <w:t>[R7] AIM ASEAN Programme AI for MSME Advancement in ASEAN Curriculum Outline. (n.d.). [PDF].</w:t>
      </w:r>
    </w:p>
    <w:p>
      <w:r>
        <w:t>[R8] Facilitator Guide AIM ASEAN. (n.d.). [PDF].</w:t>
      </w:r>
    </w:p>
    <w:p>
      <w:r>
        <w:t>[R9] AIM ASEAN Programme AI for MSME Advancement in ASEAN Curriculum Outline. (n.d.). [PDF].</w:t>
      </w:r>
    </w:p>
    <w:p>
      <w:r>
        <w:t>[R10] AIM ASEAN Programme AI for MSME Advancement in ASEAN Curriculum Outline. (n.d.). [PDF].</w:t>
      </w:r>
    </w:p>
    <w:p>
      <w:r>
        <w:t>[R11] Facilitator Guide AIM ASEAN. (n.d.). [PDF].</w:t>
      </w:r>
    </w:p>
    <w:p>
      <w:r>
        <w:t>[R12] AIM ASEAN Programme AI for MSME Advancement in ASEAN Curriculum Outline. (n.d.). [PDF].</w:t>
      </w:r>
    </w:p>
    <w:p>
      <w:pPr>
        <w:pStyle w:val="Heading1"/>
      </w:pPr>
      <w:r>
        <w:t>6. Conclusion</w:t>
      </w:r>
    </w:p>
    <w:p>
      <w:r>
        <w:rPr>
          <w:i/>
          <w:color w:val="4477AA"/>
          <w:sz w:val="18"/>
        </w:rPr>
        <w:t>ℹ️ Source: RAG database</w:t>
      </w:r>
    </w:p>
    <w:p>
      <w:r>
        <w:t>The literature reviewed underscores the critical role of structured AI training programs in facilitating the adoption of artificial intelligence among micro, small, and medium enterprises (MSMEs) in the ASEAN region. The AIM ASEAN Programme, as outlined in the curriculum and facilitator guides, provides a comprehensive framework that demystifies AI, guides business owners through the adoption journey, and ensures ethical and effective implementation [R1, R2, R10]. The program’s design principles emphasize combining AI literacy with business relevance, showcasing practical use cases, and providing clear, actionable steps for implementation [R8]. This structured approach is essential for MSMEs, which often lack the resources and expertise to navigate AI adoption independently. By focusing on tangible benefits such as increased efficiency, improved decision-making, and enhanced customer experience, the program motivates business owners to view AI as a strategic tool rather than a complex technology [R2, R10].</w:t>
      </w:r>
    </w:p>
    <w:p>
      <w:r>
        <w:t>A key insight from the reviewed sources is the importance of ethical and governance considerations in AI adoption. The curriculum highlights the need for fairness, transparency, and accountability in AI systems, emphasizing that these principles are not just abstract concepts but practical necessities that directly impact a business’s reputation and legal standing [R3, R9]. Modules on ethical AI and governance frameworks equip participants with the knowledge to establish clear policies, audit data and model outputs, and ensure human oversight in critical decisions [R3, R9]. Additionally, the literature stresses the significance of data governance, including privacy, security, and compliance with regulations such as GDPR and PDPA, to mitigate risks and ensure the responsible use of AI [R9, R12]. These ethical and governance considerations are particularly relevant for MSMEs, which may be more vulnerable to reputational and legal risks if AI is not implemented responsibly.</w:t>
      </w:r>
    </w:p>
    <w:p>
      <w:r>
        <w:t>The reviewed sources also highlight the structured steps and frameworks necessary for successful AI adoption. The AI adoption journey is broken down into key phases, including discovery, assessment, piloting, and scalability, with an emphasis on stakeholder engagement and defining success metrics from the outset [R7]. This phased approach minimizes risk and maximizes the likelihood of success by allowing businesses to test AI solutions on a small scale before full implementation [R7]. Furthermore, the literature underscores the importance of change management, upskilling employees, and fostering an AI-ready organizational culture to ensure smooth integration of AI into business operations [R5, R6]. The modules also address broader challenges such as the evolving legal and regulatory landscape, measuring ROI, and future-proofing strategies, providing business owners with a holistic framework to anticipate and mitigate risks associated with AI adoption [R5].</w:t>
      </w:r>
    </w:p>
    <w:p>
      <w:r>
        <w:t>In conclusion, the literature reviewed demonstrates that successful AI adoption among MSMEs requires a combination of foundational knowledge, ethical considerations, and structured implementation strategies. The AIM ASEAN Programme serves as a model for how AI training can be tailored to the needs of MSMEs, providing them with the tools and confidence to leverage AI for growth and competitiveness [R1, R8]. The emphasis on practical use cases, ethical governance, and clear implementation steps ensures that businesses can adopt AI in a way that is both effective and responsible. As AI continues to evolve, such structured programs will be crucial in bridging the gap between AI’s potential and its practical application in the MSME sector.</w:t>
      </w:r>
    </w:p>
    <w:p>
      <w:r>
        <w:t>References</w:t>
      </w:r>
    </w:p>
    <w:p>
      <w:r>
        <w:t>[AIM] AIM ASEAN Programme AI for MSME Advancement in ASEAN Curriculum Outline. (n.d.). [PDF].</w:t>
      </w:r>
    </w:p>
    <w:p>
      <w:r>
        <w:t>[Facilitator] Facilitator Guide AIM ASEAN. (n.d.). [PDF].</w:t>
      </w:r>
    </w:p>
    <w:p>
      <w:r>
        <w:t>[Module] Module 1 AI Use Cases. (n.d.). [PDF].</w:t>
      </w:r>
    </w:p>
    <w:p>
      <w:r>
        <w:br w:type="page"/>
      </w:r>
    </w:p>
    <w:p>
      <w:pPr>
        <w:pStyle w:val="Heading1"/>
      </w:pPr>
      <w:r>
        <w:t>References</w:t>
      </w:r>
    </w:p>
    <w:p>
      <w:pPr>
        <w:ind w:left="720" w:hanging="720"/>
      </w:pPr>
      <w:r>
        <w:rPr>
          <w:sz w:val="22"/>
        </w:rPr>
        <w:t>Tinbergen, N.. (1963). On aims and methods of Ethology. Zeitschrift für Tierpsychologie. https://doi.org/10.1111/j.1439-0310.1963.tb01161.x</w:t>
      </w:r>
    </w:p>
    <w:p>
      <w:r>
        <w:br w:type="page"/>
      </w:r>
    </w:p>
    <w:p>
      <w:pPr>
        <w:pStyle w:val="Heading1"/>
      </w:pPr>
      <w:r>
        <w:t>Appendix A — Search Log</w:t>
      </w:r>
    </w:p>
    <w:p>
      <w:r>
        <w:t>Search query: "aim"</w:t>
        <w:br/>
        <w:t>Search date: 2026-04-19</w:t>
        <w:br/>
        <w:t>Databases: Semantic Scholar, OpenAlex</w:t>
        <w:br/>
        <w:t>Project: aim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w:t>
            </w:r>
          </w:p>
        </w:tc>
        <w:tc>
          <w:tcPr>
            <w:tcW w:type="dxa" w:w="1728"/>
          </w:tcPr>
          <w:p>
            <w:r>
              <w:t>Title</w:t>
            </w:r>
          </w:p>
        </w:tc>
        <w:tc>
          <w:tcPr>
            <w:tcW w:type="dxa" w:w="1728"/>
          </w:tcPr>
          <w:p>
            <w:r>
              <w:t>Authors</w:t>
            </w:r>
          </w:p>
        </w:tc>
        <w:tc>
          <w:tcPr>
            <w:tcW w:type="dxa" w:w="1728"/>
          </w:tcPr>
          <w:p>
            <w:r>
              <w:t>Year</w:t>
            </w:r>
          </w:p>
        </w:tc>
        <w:tc>
          <w:tcPr>
            <w:tcW w:type="dxa" w:w="1728"/>
          </w:tcPr>
          <w:p>
            <w:r>
              <w:t>Acquisition</w:t>
            </w:r>
          </w:p>
        </w:tc>
      </w:tr>
      <w:tr>
        <w:tc>
          <w:tcPr>
            <w:tcW w:type="dxa" w:w="1728"/>
          </w:tcPr>
          <w:p>
            <w:r>
              <w:t>1</w:t>
            </w:r>
          </w:p>
        </w:tc>
        <w:tc>
          <w:tcPr>
            <w:tcW w:type="dxa" w:w="1728"/>
          </w:tcPr>
          <w:p>
            <w:r>
              <w:t>On aims and methods of Ethology</w:t>
            </w:r>
          </w:p>
        </w:tc>
        <w:tc>
          <w:tcPr>
            <w:tcW w:type="dxa" w:w="1728"/>
          </w:tcPr>
          <w:p>
            <w:r>
              <w:t>N. Tinbergen</w:t>
            </w:r>
          </w:p>
        </w:tc>
        <w:tc>
          <w:tcPr>
            <w:tcW w:type="dxa" w:w="1728"/>
          </w:tcPr>
          <w:p>
            <w:r>
              <w:t>1963</w:t>
            </w:r>
          </w:p>
        </w:tc>
        <w:tc>
          <w:tcPr>
            <w:tcW w:type="dxa" w:w="1728"/>
          </w:tcPr>
          <w:p>
            <w:r>
              <w:t>abstract_fallback</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