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1DA" w:rsidRPr="003A71DA" w:rsidRDefault="00B07975" w:rsidP="003A7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STS615</w:t>
      </w:r>
      <w:r w:rsidR="003A71DA" w:rsidRPr="003A71DA">
        <w:rPr>
          <w:rFonts w:ascii="Times New Roman" w:eastAsia="Times New Roman" w:hAnsi="Times New Roman" w:cs="Times New Roman"/>
          <w:b/>
          <w:bCs/>
          <w:kern w:val="36"/>
          <w:sz w:val="48"/>
          <w:szCs w:val="48"/>
        </w:rPr>
        <w:t xml:space="preserve"> – Statistical Foundations &amp; Causal Inference</w:t>
      </w:r>
    </w:p>
    <w:p w:rsidR="003A71DA" w:rsidRPr="003A71DA" w:rsidRDefault="003A71DA" w:rsidP="003A71DA">
      <w:p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Graduate – Applied Track</w:t>
      </w:r>
    </w:p>
    <w:p w:rsidR="003A71DA" w:rsidRPr="003A71DA" w:rsidRDefault="00014E94" w:rsidP="003A7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A71DA" w:rsidRPr="003A71DA" w:rsidRDefault="003A71DA" w:rsidP="003A71DA">
      <w:pPr>
        <w:spacing w:before="100" w:beforeAutospacing="1" w:after="100" w:afterAutospacing="1" w:line="240" w:lineRule="auto"/>
        <w:outlineLvl w:val="1"/>
        <w:rPr>
          <w:rFonts w:ascii="Times New Roman" w:eastAsia="Times New Roman" w:hAnsi="Times New Roman" w:cs="Times New Roman"/>
          <w:b/>
          <w:bCs/>
          <w:sz w:val="36"/>
        </w:rPr>
      </w:pPr>
      <w:r w:rsidRPr="003A71DA">
        <w:rPr>
          <w:rFonts w:ascii="Times New Roman" w:eastAsia="Times New Roman" w:hAnsi="Times New Roman" w:cs="Times New Roman"/>
          <w:b/>
          <w:bCs/>
          <w:sz w:val="36"/>
        </w:rPr>
        <w:t>1. Course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975"/>
      </w:tblGrid>
      <w:tr w:rsidR="003A71DA" w:rsidRPr="003A71DA" w:rsidTr="003A71DA">
        <w:trPr>
          <w:tblHeader/>
          <w:tblCellSpacing w:w="15" w:type="dxa"/>
        </w:trPr>
        <w:tc>
          <w:tcPr>
            <w:tcW w:w="0" w:type="auto"/>
            <w:vAlign w:val="center"/>
            <w:hideMark/>
          </w:tcPr>
          <w:p w:rsidR="003A71DA" w:rsidRPr="003A71DA" w:rsidRDefault="003A71DA" w:rsidP="003A71DA">
            <w:pPr>
              <w:spacing w:after="0" w:line="240" w:lineRule="auto"/>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Item</w:t>
            </w:r>
          </w:p>
        </w:tc>
        <w:tc>
          <w:tcPr>
            <w:tcW w:w="0" w:type="auto"/>
            <w:vAlign w:val="center"/>
            <w:hideMark/>
          </w:tcPr>
          <w:p w:rsidR="003A71DA" w:rsidRPr="003A71DA" w:rsidRDefault="003A71DA" w:rsidP="003A71DA">
            <w:pPr>
              <w:spacing w:after="0" w:line="240" w:lineRule="auto"/>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Details</w:t>
            </w:r>
          </w:p>
        </w:tc>
      </w:tr>
      <w:tr w:rsidR="003A71DA" w:rsidRPr="003A71DA" w:rsidTr="003A71DA">
        <w:trPr>
          <w:tblCellSpacing w:w="15" w:type="dxa"/>
        </w:trPr>
        <w:tc>
          <w:tcPr>
            <w:tcW w:w="0" w:type="auto"/>
            <w:vAlign w:val="center"/>
            <w:hideMark/>
          </w:tcPr>
          <w:p w:rsidR="003A71DA" w:rsidRPr="003A71DA" w:rsidRDefault="003A71DA" w:rsidP="003A71DA">
            <w:pPr>
              <w:spacing w:after="0"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Term</w:t>
            </w:r>
          </w:p>
        </w:tc>
        <w:tc>
          <w:tcPr>
            <w:tcW w:w="0" w:type="auto"/>
            <w:vAlign w:val="center"/>
            <w:hideMark/>
          </w:tcPr>
          <w:p w:rsidR="003A71DA" w:rsidRPr="003A71DA" w:rsidRDefault="003A71DA" w:rsidP="003A71DA">
            <w:pPr>
              <w:spacing w:after="0"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15 weeks </w:t>
            </w:r>
          </w:p>
        </w:tc>
      </w:tr>
    </w:tbl>
    <w:p w:rsidR="003A71DA" w:rsidRPr="003A71DA" w:rsidRDefault="00014E94" w:rsidP="003A7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A71DA" w:rsidRPr="003A71DA" w:rsidRDefault="003A71DA" w:rsidP="003A71DA">
      <w:pPr>
        <w:spacing w:before="100" w:beforeAutospacing="1" w:after="100" w:afterAutospacing="1" w:line="240" w:lineRule="auto"/>
        <w:outlineLvl w:val="1"/>
        <w:rPr>
          <w:rFonts w:ascii="Times New Roman" w:eastAsia="Times New Roman" w:hAnsi="Times New Roman" w:cs="Times New Roman"/>
          <w:b/>
          <w:bCs/>
          <w:sz w:val="36"/>
        </w:rPr>
      </w:pPr>
      <w:r w:rsidRPr="003A71DA">
        <w:rPr>
          <w:rFonts w:ascii="Times New Roman" w:eastAsia="Times New Roman" w:hAnsi="Times New Roman" w:cs="Times New Roman"/>
          <w:b/>
          <w:bCs/>
          <w:sz w:val="36"/>
        </w:rPr>
        <w:t>2. Course Description</w:t>
      </w:r>
    </w:p>
    <w:p w:rsidR="003A71DA" w:rsidRPr="003A71DA" w:rsidRDefault="003A71DA" w:rsidP="003A71DA">
      <w:p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This course builds a rigorous foundation in statistical inference and demonstrates how those tools underpin causal analysis in the social sciences and public policy research. Students progress from probability theory, sampling distributions, and hypothesis testing to regression-based inference and finally to experimental and quasi-experimental research designs.</w:t>
      </w:r>
    </w:p>
    <w:p w:rsidR="003A71DA" w:rsidRPr="003A71DA" w:rsidRDefault="003A71DA" w:rsidP="003A71DA">
      <w:p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Each week integrates conceptual lectures with hands-on Python labs that replicate classic empirical studies and produce reproducible analysis notebooks.</w:t>
      </w:r>
    </w:p>
    <w:p w:rsidR="003A71DA" w:rsidRPr="003A71DA" w:rsidRDefault="00014E94" w:rsidP="003A7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A71DA" w:rsidRPr="003A71DA" w:rsidRDefault="003A71DA" w:rsidP="003A71DA">
      <w:pPr>
        <w:spacing w:before="100" w:beforeAutospacing="1" w:after="100" w:afterAutospacing="1" w:line="240" w:lineRule="auto"/>
        <w:outlineLvl w:val="1"/>
        <w:rPr>
          <w:rFonts w:ascii="Times New Roman" w:eastAsia="Times New Roman" w:hAnsi="Times New Roman" w:cs="Times New Roman"/>
          <w:b/>
          <w:bCs/>
          <w:sz w:val="36"/>
        </w:rPr>
      </w:pPr>
      <w:r w:rsidRPr="003A71DA">
        <w:rPr>
          <w:rFonts w:ascii="Times New Roman" w:eastAsia="Times New Roman" w:hAnsi="Times New Roman" w:cs="Times New Roman"/>
          <w:b/>
          <w:bCs/>
          <w:sz w:val="36"/>
        </w:rPr>
        <w:t>3. Learning Outcomes</w:t>
      </w:r>
    </w:p>
    <w:p w:rsidR="003A71DA" w:rsidRPr="003A71DA" w:rsidRDefault="003A71DA" w:rsidP="003A71DA">
      <w:p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By the end of the term students will be able to:</w:t>
      </w:r>
    </w:p>
    <w:p w:rsidR="003A71DA" w:rsidRPr="003A71DA" w:rsidRDefault="003A71DA" w:rsidP="003A7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Probability &amp; Inference</w:t>
      </w:r>
      <w:r w:rsidRPr="003A71DA">
        <w:rPr>
          <w:rFonts w:ascii="Times New Roman" w:eastAsia="Times New Roman" w:hAnsi="Times New Roman" w:cs="Times New Roman"/>
          <w:sz w:val="24"/>
          <w:szCs w:val="24"/>
        </w:rPr>
        <w:t xml:space="preserve"> – Apply probability rules, the Central Limit Theorem, and sampling distribution theory to construct point estimates, confidence intervals, and hypothesis tests.</w:t>
      </w:r>
    </w:p>
    <w:p w:rsidR="003A71DA" w:rsidRPr="003A71DA" w:rsidRDefault="003A71DA" w:rsidP="003A7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Regression Foundations</w:t>
      </w:r>
      <w:r w:rsidRPr="003A71DA">
        <w:rPr>
          <w:rFonts w:ascii="Times New Roman" w:eastAsia="Times New Roman" w:hAnsi="Times New Roman" w:cs="Times New Roman"/>
          <w:sz w:val="24"/>
          <w:szCs w:val="24"/>
        </w:rPr>
        <w:t xml:space="preserve"> – Estimate and interpret multiple linear and logistic regression models; assess assumptions and model diagnostics.</w:t>
      </w:r>
    </w:p>
    <w:p w:rsidR="003A71DA" w:rsidRPr="003A71DA" w:rsidRDefault="003A71DA" w:rsidP="003A7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Causal Design</w:t>
      </w:r>
      <w:r w:rsidRPr="003A71DA">
        <w:rPr>
          <w:rFonts w:ascii="Times New Roman" w:eastAsia="Times New Roman" w:hAnsi="Times New Roman" w:cs="Times New Roman"/>
          <w:sz w:val="24"/>
          <w:szCs w:val="24"/>
        </w:rPr>
        <w:t xml:space="preserve"> – Define counterfactual estim</w:t>
      </w:r>
      <w:r w:rsidR="00B07975">
        <w:rPr>
          <w:rFonts w:ascii="Times New Roman" w:eastAsia="Times New Roman" w:hAnsi="Times New Roman" w:cs="Times New Roman"/>
          <w:sz w:val="24"/>
          <w:szCs w:val="24"/>
        </w:rPr>
        <w:t>ate</w:t>
      </w:r>
      <w:r w:rsidRPr="003A71DA">
        <w:rPr>
          <w:rFonts w:ascii="Times New Roman" w:eastAsia="Times New Roman" w:hAnsi="Times New Roman" w:cs="Times New Roman"/>
          <w:sz w:val="24"/>
          <w:szCs w:val="24"/>
        </w:rPr>
        <w:t xml:space="preserve"> (ATE, ATT) and select appropriate identification strategies (RCT, </w:t>
      </w:r>
      <w:proofErr w:type="spellStart"/>
      <w:r w:rsidRPr="003A71DA">
        <w:rPr>
          <w:rFonts w:ascii="Times New Roman" w:eastAsia="Times New Roman" w:hAnsi="Times New Roman" w:cs="Times New Roman"/>
          <w:sz w:val="24"/>
          <w:szCs w:val="24"/>
        </w:rPr>
        <w:t>DiD</w:t>
      </w:r>
      <w:proofErr w:type="spellEnd"/>
      <w:r w:rsidRPr="003A71DA">
        <w:rPr>
          <w:rFonts w:ascii="Times New Roman" w:eastAsia="Times New Roman" w:hAnsi="Times New Roman" w:cs="Times New Roman"/>
          <w:sz w:val="24"/>
          <w:szCs w:val="24"/>
        </w:rPr>
        <w:t>, matching, IV, fixed effects).</w:t>
      </w:r>
    </w:p>
    <w:p w:rsidR="003A71DA" w:rsidRPr="003A71DA" w:rsidRDefault="003A71DA" w:rsidP="003A7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Implementation</w:t>
      </w:r>
      <w:r w:rsidRPr="003A71DA">
        <w:rPr>
          <w:rFonts w:ascii="Times New Roman" w:eastAsia="Times New Roman" w:hAnsi="Times New Roman" w:cs="Times New Roman"/>
          <w:sz w:val="24"/>
          <w:szCs w:val="24"/>
        </w:rPr>
        <w:t xml:space="preserve"> – Write reproducible Python code (NumPy, pandas, </w:t>
      </w:r>
      <w:proofErr w:type="spellStart"/>
      <w:r w:rsidRPr="003A71DA">
        <w:rPr>
          <w:rFonts w:ascii="Times New Roman" w:eastAsia="Times New Roman" w:hAnsi="Times New Roman" w:cs="Times New Roman"/>
          <w:sz w:val="24"/>
          <w:szCs w:val="24"/>
        </w:rPr>
        <w:t>statsmodels</w:t>
      </w:r>
      <w:proofErr w:type="spellEnd"/>
      <w:r w:rsidRPr="003A71DA">
        <w:rPr>
          <w:rFonts w:ascii="Times New Roman" w:eastAsia="Times New Roman" w:hAnsi="Times New Roman" w:cs="Times New Roman"/>
          <w:sz w:val="24"/>
          <w:szCs w:val="24"/>
        </w:rPr>
        <w:t xml:space="preserve">, </w:t>
      </w:r>
      <w:proofErr w:type="spellStart"/>
      <w:r w:rsidRPr="003A71DA">
        <w:rPr>
          <w:rFonts w:ascii="Times New Roman" w:eastAsia="Times New Roman" w:hAnsi="Times New Roman" w:cs="Times New Roman"/>
          <w:sz w:val="24"/>
          <w:szCs w:val="24"/>
        </w:rPr>
        <w:t>linearmodels</w:t>
      </w:r>
      <w:proofErr w:type="spellEnd"/>
      <w:r w:rsidRPr="003A71DA">
        <w:rPr>
          <w:rFonts w:ascii="Times New Roman" w:eastAsia="Times New Roman" w:hAnsi="Times New Roman" w:cs="Times New Roman"/>
          <w:sz w:val="24"/>
          <w:szCs w:val="24"/>
        </w:rPr>
        <w:t xml:space="preserve">, </w:t>
      </w:r>
      <w:proofErr w:type="spellStart"/>
      <w:r w:rsidRPr="003A71DA">
        <w:rPr>
          <w:rFonts w:ascii="Times New Roman" w:eastAsia="Times New Roman" w:hAnsi="Times New Roman" w:cs="Times New Roman"/>
          <w:sz w:val="24"/>
          <w:szCs w:val="24"/>
        </w:rPr>
        <w:t>scikit</w:t>
      </w:r>
      <w:proofErr w:type="spellEnd"/>
      <w:r w:rsidRPr="003A71DA">
        <w:rPr>
          <w:rFonts w:ascii="Times New Roman" w:eastAsia="Times New Roman" w:hAnsi="Times New Roman" w:cs="Times New Roman"/>
          <w:sz w:val="24"/>
          <w:szCs w:val="24"/>
        </w:rPr>
        <w:t>-learn) to estimate models and conduct robustness checks.</w:t>
      </w:r>
    </w:p>
    <w:p w:rsidR="003A71DA" w:rsidRPr="003A71DA" w:rsidRDefault="003A71DA" w:rsidP="003A7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Impact Evaluation Proposal</w:t>
      </w:r>
      <w:r w:rsidRPr="003A71DA">
        <w:rPr>
          <w:rFonts w:ascii="Times New Roman" w:eastAsia="Times New Roman" w:hAnsi="Times New Roman" w:cs="Times New Roman"/>
          <w:sz w:val="24"/>
          <w:szCs w:val="24"/>
        </w:rPr>
        <w:t xml:space="preserve"> – Design a complete evaluation strategy specifying theory of change, data requirements, identification strategy, and ethical considerations.</w:t>
      </w:r>
    </w:p>
    <w:p w:rsidR="003A71DA" w:rsidRPr="003A71DA" w:rsidRDefault="00014E94" w:rsidP="003A7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A71DA" w:rsidRPr="003A71DA" w:rsidRDefault="003A71DA" w:rsidP="003A71DA">
      <w:pPr>
        <w:spacing w:before="100" w:beforeAutospacing="1" w:after="100" w:afterAutospacing="1" w:line="240" w:lineRule="auto"/>
        <w:outlineLvl w:val="1"/>
        <w:rPr>
          <w:rFonts w:ascii="Times New Roman" w:eastAsia="Times New Roman" w:hAnsi="Times New Roman" w:cs="Times New Roman"/>
          <w:b/>
          <w:bCs/>
          <w:sz w:val="36"/>
        </w:rPr>
      </w:pPr>
      <w:r w:rsidRPr="003A71DA">
        <w:rPr>
          <w:rFonts w:ascii="Times New Roman" w:eastAsia="Times New Roman" w:hAnsi="Times New Roman" w:cs="Times New Roman"/>
          <w:b/>
          <w:bCs/>
          <w:sz w:val="36"/>
        </w:rPr>
        <w:lastRenderedPageBreak/>
        <w:t>4. Required Texts &amp; Resources</w:t>
      </w:r>
    </w:p>
    <w:tbl>
      <w:tblPr>
        <w:tblStyle w:val="TableGrid"/>
        <w:tblW w:w="0" w:type="auto"/>
        <w:tblLook w:val="04A0" w:firstRow="1" w:lastRow="0" w:firstColumn="1" w:lastColumn="0" w:noHBand="0" w:noVBand="1"/>
      </w:tblPr>
      <w:tblGrid>
        <w:gridCol w:w="336"/>
        <w:gridCol w:w="5745"/>
        <w:gridCol w:w="3269"/>
      </w:tblGrid>
      <w:tr w:rsidR="003A71DA" w:rsidRPr="003A71DA" w:rsidTr="003A71DA">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w:t>
            </w:r>
          </w:p>
        </w:tc>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Reference</w:t>
            </w:r>
          </w:p>
        </w:tc>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Use</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1</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w:t>
            </w:r>
            <w:r w:rsidRPr="003A71DA">
              <w:rPr>
                <w:rFonts w:ascii="Times New Roman" w:eastAsia="Times New Roman" w:hAnsi="Times New Roman" w:cs="Times New Roman"/>
                <w:i/>
                <w:iCs/>
                <w:sz w:val="24"/>
                <w:szCs w:val="24"/>
              </w:rPr>
              <w:t>Statistics: The Art and Science of Learning from Data</w:t>
            </w:r>
            <w:r w:rsidRPr="003A71DA">
              <w:rPr>
                <w:rFonts w:ascii="Times New Roman" w:eastAsia="Times New Roman" w:hAnsi="Times New Roman" w:cs="Times New Roman"/>
                <w:sz w:val="24"/>
                <w:szCs w:val="24"/>
              </w:rPr>
              <w:t xml:space="preserve"> (latest ed.)</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Core statistical inference (Weeks 1–6)</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2</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Murnane &amp; Willett, </w:t>
            </w:r>
            <w:r w:rsidRPr="003A71DA">
              <w:rPr>
                <w:rFonts w:ascii="Times New Roman" w:eastAsia="Times New Roman" w:hAnsi="Times New Roman" w:cs="Times New Roman"/>
                <w:i/>
                <w:iCs/>
                <w:sz w:val="24"/>
                <w:szCs w:val="24"/>
              </w:rPr>
              <w:t>Methods Matter</w:t>
            </w:r>
            <w:r w:rsidRPr="003A71DA">
              <w:rPr>
                <w:rFonts w:ascii="Times New Roman" w:eastAsia="Times New Roman" w:hAnsi="Times New Roman" w:cs="Times New Roman"/>
                <w:sz w:val="24"/>
                <w:szCs w:val="24"/>
              </w:rPr>
              <w:t xml:space="preserve"> (2010)</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Conceptual foundations of causal reasoning</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3</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Gertler et al., </w:t>
            </w:r>
            <w:r w:rsidRPr="003A71DA">
              <w:rPr>
                <w:rFonts w:ascii="Times New Roman" w:eastAsia="Times New Roman" w:hAnsi="Times New Roman" w:cs="Times New Roman"/>
                <w:i/>
                <w:iCs/>
                <w:sz w:val="24"/>
                <w:szCs w:val="24"/>
              </w:rPr>
              <w:t>Impact Evaluation in Practice</w:t>
            </w:r>
            <w:r w:rsidRPr="003A71DA">
              <w:rPr>
                <w:rFonts w:ascii="Times New Roman" w:eastAsia="Times New Roman" w:hAnsi="Times New Roman" w:cs="Times New Roman"/>
                <w:sz w:val="24"/>
                <w:szCs w:val="24"/>
              </w:rPr>
              <w:t xml:space="preserve"> (2nd ed., 2016)</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Applied impact evaluation design</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4</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Angrist &amp; </w:t>
            </w:r>
            <w:proofErr w:type="spellStart"/>
            <w:r w:rsidRPr="003A71DA">
              <w:rPr>
                <w:rFonts w:ascii="Times New Roman" w:eastAsia="Times New Roman" w:hAnsi="Times New Roman" w:cs="Times New Roman"/>
                <w:sz w:val="24"/>
                <w:szCs w:val="24"/>
              </w:rPr>
              <w:t>Pischke</w:t>
            </w:r>
            <w:proofErr w:type="spellEnd"/>
            <w:r w:rsidRPr="003A71DA">
              <w:rPr>
                <w:rFonts w:ascii="Times New Roman" w:eastAsia="Times New Roman" w:hAnsi="Times New Roman" w:cs="Times New Roman"/>
                <w:sz w:val="24"/>
                <w:szCs w:val="24"/>
              </w:rPr>
              <w:t xml:space="preserve">, </w:t>
            </w:r>
            <w:r w:rsidRPr="003A71DA">
              <w:rPr>
                <w:rFonts w:ascii="Times New Roman" w:eastAsia="Times New Roman" w:hAnsi="Times New Roman" w:cs="Times New Roman"/>
                <w:i/>
                <w:iCs/>
                <w:sz w:val="24"/>
                <w:szCs w:val="24"/>
              </w:rPr>
              <w:t>Mostly Harmless Econometrics</w:t>
            </w:r>
            <w:r w:rsidRPr="003A71DA">
              <w:rPr>
                <w:rFonts w:ascii="Times New Roman" w:eastAsia="Times New Roman" w:hAnsi="Times New Roman" w:cs="Times New Roman"/>
                <w:sz w:val="24"/>
                <w:szCs w:val="24"/>
              </w:rPr>
              <w:t xml:space="preserve"> (2008)</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Advanced quasi-experimental methods</w:t>
            </w:r>
          </w:p>
        </w:tc>
      </w:tr>
    </w:tbl>
    <w:p w:rsidR="003A71DA" w:rsidRPr="003A71DA" w:rsidRDefault="00014E94" w:rsidP="003A7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A71DA" w:rsidRPr="003A71DA" w:rsidRDefault="003A71DA" w:rsidP="003A7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71DA">
        <w:rPr>
          <w:rFonts w:ascii="Times New Roman" w:eastAsia="Times New Roman" w:hAnsi="Times New Roman" w:cs="Times New Roman"/>
          <w:b/>
          <w:bCs/>
          <w:kern w:val="36"/>
          <w:sz w:val="48"/>
          <w:szCs w:val="48"/>
        </w:rPr>
        <w:t>8. Weekly Schedule</w:t>
      </w:r>
    </w:p>
    <w:tbl>
      <w:tblPr>
        <w:tblStyle w:val="TableGrid"/>
        <w:tblW w:w="0" w:type="auto"/>
        <w:tblLook w:val="04A0" w:firstRow="1" w:lastRow="0" w:firstColumn="1" w:lastColumn="0" w:noHBand="0" w:noVBand="1"/>
      </w:tblPr>
      <w:tblGrid>
        <w:gridCol w:w="803"/>
        <w:gridCol w:w="3475"/>
        <w:gridCol w:w="5072"/>
      </w:tblGrid>
      <w:tr w:rsidR="003A71DA" w:rsidRPr="003A71DA" w:rsidTr="003A71DA">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Week</w:t>
            </w:r>
          </w:p>
        </w:tc>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Theme</w:t>
            </w:r>
          </w:p>
        </w:tc>
        <w:tc>
          <w:tcPr>
            <w:tcW w:w="0" w:type="auto"/>
            <w:hideMark/>
          </w:tcPr>
          <w:p w:rsidR="003A71DA" w:rsidRPr="003A71DA" w:rsidRDefault="003A71DA" w:rsidP="003A71DA">
            <w:pPr>
              <w:jc w:val="center"/>
              <w:rPr>
                <w:rFonts w:ascii="Times New Roman" w:eastAsia="Times New Roman" w:hAnsi="Times New Roman" w:cs="Times New Roman"/>
                <w:b/>
                <w:bCs/>
                <w:sz w:val="24"/>
                <w:szCs w:val="24"/>
              </w:rPr>
            </w:pPr>
            <w:r w:rsidRPr="003A71DA">
              <w:rPr>
                <w:rFonts w:ascii="Times New Roman" w:eastAsia="Times New Roman" w:hAnsi="Times New Roman" w:cs="Times New Roman"/>
                <w:b/>
                <w:bCs/>
                <w:sz w:val="24"/>
                <w:szCs w:val="24"/>
              </w:rPr>
              <w:t>Readings</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Sampling &amp; Data </w:t>
            </w:r>
            <w:r w:rsidR="00014E94">
              <w:rPr>
                <w:rFonts w:ascii="Times New Roman" w:eastAsia="Times New Roman" w:hAnsi="Times New Roman" w:cs="Times New Roman"/>
                <w:sz w:val="24"/>
                <w:szCs w:val="24"/>
              </w:rPr>
              <w:t>measurement</w:t>
            </w:r>
            <w:bookmarkStart w:id="0" w:name="_GoBack"/>
            <w:bookmarkEnd w:id="0"/>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Ch. 1–3</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2</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Probability &amp; Random Variables</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Ch. 4–6</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3</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Sampling Distributions &amp; CLT</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Ch. 7</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4</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Statistical Inference: Estimation &amp; Tests</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Ch. 8–9</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5</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Multiple Linear Regression (OLS)</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Regression chapter (typically Ch. 12 or 13 depending on edition)</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6</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Logistic Regression &amp; Model Diagnostics</w:t>
            </w:r>
          </w:p>
        </w:tc>
        <w:tc>
          <w:tcPr>
            <w:tcW w:w="0" w:type="auto"/>
            <w:hideMark/>
          </w:tcPr>
          <w:p w:rsidR="003A71DA" w:rsidRPr="003A71DA" w:rsidRDefault="003A71DA" w:rsidP="003A71DA">
            <w:pPr>
              <w:rPr>
                <w:rFonts w:ascii="Times New Roman" w:eastAsia="Times New Roman" w:hAnsi="Times New Roman" w:cs="Times New Roman"/>
                <w:sz w:val="24"/>
                <w:szCs w:val="24"/>
              </w:rPr>
            </w:pPr>
            <w:proofErr w:type="spellStart"/>
            <w:r w:rsidRPr="003A71DA">
              <w:rPr>
                <w:rFonts w:ascii="Times New Roman" w:eastAsia="Times New Roman" w:hAnsi="Times New Roman" w:cs="Times New Roman"/>
                <w:sz w:val="24"/>
                <w:szCs w:val="24"/>
              </w:rPr>
              <w:t>Agresti</w:t>
            </w:r>
            <w:proofErr w:type="spellEnd"/>
            <w:r w:rsidRPr="003A71DA">
              <w:rPr>
                <w:rFonts w:ascii="Times New Roman" w:eastAsia="Times New Roman" w:hAnsi="Times New Roman" w:cs="Times New Roman"/>
                <w:sz w:val="24"/>
                <w:szCs w:val="24"/>
              </w:rPr>
              <w:t xml:space="preserve"> &amp; Franklin – Logistic regression chapter (typically Ch. 15 or 16 depending on edition)</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7</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Introduction to Causality &amp; Counterfactual Framework</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Murnane &amp; Willett – Ch. 1–2; Angrist &amp; </w:t>
            </w:r>
            <w:proofErr w:type="spellStart"/>
            <w:r w:rsidRPr="003A71DA">
              <w:rPr>
                <w:rFonts w:ascii="Times New Roman" w:eastAsia="Times New Roman" w:hAnsi="Times New Roman" w:cs="Times New Roman"/>
                <w:sz w:val="24"/>
                <w:szCs w:val="24"/>
              </w:rPr>
              <w:t>Pischke</w:t>
            </w:r>
            <w:proofErr w:type="spellEnd"/>
            <w:r w:rsidRPr="003A71DA">
              <w:rPr>
                <w:rFonts w:ascii="Times New Roman" w:eastAsia="Times New Roman" w:hAnsi="Times New Roman" w:cs="Times New Roman"/>
                <w:sz w:val="24"/>
                <w:szCs w:val="24"/>
              </w:rPr>
              <w:t xml:space="preserve"> – Ch. 1</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8</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Midterm Exam</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9</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Randomized Controlled Trials (RCTs)</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Gertler et al. – Ch. 3–4</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10</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Difference-in-Differences (</w:t>
            </w:r>
            <w:proofErr w:type="spellStart"/>
            <w:r w:rsidRPr="003A71DA">
              <w:rPr>
                <w:rFonts w:ascii="Times New Roman" w:eastAsia="Times New Roman" w:hAnsi="Times New Roman" w:cs="Times New Roman"/>
                <w:sz w:val="24"/>
                <w:szCs w:val="24"/>
              </w:rPr>
              <w:t>DiD</w:t>
            </w:r>
            <w:proofErr w:type="spellEnd"/>
            <w:r w:rsidRPr="003A71DA">
              <w:rPr>
                <w:rFonts w:ascii="Times New Roman" w:eastAsia="Times New Roman" w:hAnsi="Times New Roman" w:cs="Times New Roman"/>
                <w:sz w:val="24"/>
                <w:szCs w:val="24"/>
              </w:rPr>
              <w:t>)</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Gertler et al. – Ch. 8</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11</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Propensity Score Matching</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Gertler et al. – Ch. 7</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12</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Panel Data &amp; Fixed Effects</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Angrist &amp; </w:t>
            </w:r>
            <w:proofErr w:type="spellStart"/>
            <w:r w:rsidRPr="003A71DA">
              <w:rPr>
                <w:rFonts w:ascii="Times New Roman" w:eastAsia="Times New Roman" w:hAnsi="Times New Roman" w:cs="Times New Roman"/>
                <w:sz w:val="24"/>
                <w:szCs w:val="24"/>
              </w:rPr>
              <w:t>Pischke</w:t>
            </w:r>
            <w:proofErr w:type="spellEnd"/>
            <w:r w:rsidRPr="003A71DA">
              <w:rPr>
                <w:rFonts w:ascii="Times New Roman" w:eastAsia="Times New Roman" w:hAnsi="Times New Roman" w:cs="Times New Roman"/>
                <w:sz w:val="24"/>
                <w:szCs w:val="24"/>
              </w:rPr>
              <w:t xml:space="preserve"> – Ch. 5</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13</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Instrumental Variables &amp; Identification Challenges</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 xml:space="preserve">Angrist &amp; </w:t>
            </w:r>
            <w:proofErr w:type="spellStart"/>
            <w:r w:rsidRPr="003A71DA">
              <w:rPr>
                <w:rFonts w:ascii="Times New Roman" w:eastAsia="Times New Roman" w:hAnsi="Times New Roman" w:cs="Times New Roman"/>
                <w:sz w:val="24"/>
                <w:szCs w:val="24"/>
              </w:rPr>
              <w:t>Pischke</w:t>
            </w:r>
            <w:proofErr w:type="spellEnd"/>
            <w:r w:rsidRPr="003A71DA">
              <w:rPr>
                <w:rFonts w:ascii="Times New Roman" w:eastAsia="Times New Roman" w:hAnsi="Times New Roman" w:cs="Times New Roman"/>
                <w:sz w:val="24"/>
                <w:szCs w:val="24"/>
              </w:rPr>
              <w:t xml:space="preserve"> – Ch. 4</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14</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Student Presentations</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w:t>
            </w:r>
          </w:p>
        </w:tc>
      </w:tr>
      <w:tr w:rsidR="003A71DA" w:rsidRPr="003A71DA" w:rsidTr="003A71DA">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b/>
                <w:bCs/>
                <w:sz w:val="24"/>
                <w:szCs w:val="24"/>
              </w:rPr>
              <w:t>15</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Student Presentations &amp; Course Wrap-Up</w:t>
            </w:r>
          </w:p>
        </w:tc>
        <w:tc>
          <w:tcPr>
            <w:tcW w:w="0" w:type="auto"/>
            <w:hideMark/>
          </w:tcPr>
          <w:p w:rsidR="003A71DA" w:rsidRPr="003A71DA" w:rsidRDefault="003A71DA" w:rsidP="003A71DA">
            <w:pPr>
              <w:rPr>
                <w:rFonts w:ascii="Times New Roman" w:eastAsia="Times New Roman" w:hAnsi="Times New Roman" w:cs="Times New Roman"/>
                <w:sz w:val="24"/>
                <w:szCs w:val="24"/>
              </w:rPr>
            </w:pPr>
            <w:r w:rsidRPr="003A71DA">
              <w:rPr>
                <w:rFonts w:ascii="Times New Roman" w:eastAsia="Times New Roman" w:hAnsi="Times New Roman" w:cs="Times New Roman"/>
                <w:sz w:val="24"/>
                <w:szCs w:val="24"/>
              </w:rPr>
              <w:t>—</w:t>
            </w:r>
          </w:p>
        </w:tc>
      </w:tr>
    </w:tbl>
    <w:p w:rsidR="003A71DA" w:rsidRPr="003A71DA" w:rsidRDefault="003A71DA" w:rsidP="003A71DA">
      <w:pPr>
        <w:spacing w:after="0" w:line="240" w:lineRule="auto"/>
        <w:rPr>
          <w:rFonts w:ascii="Times New Roman" w:eastAsia="Times New Roman" w:hAnsi="Times New Roman" w:cs="Times New Roman"/>
          <w:sz w:val="24"/>
          <w:szCs w:val="24"/>
        </w:rPr>
      </w:pPr>
    </w:p>
    <w:p w:rsidR="003B27FD" w:rsidRDefault="003B27FD"/>
    <w:sectPr w:rsidR="003B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63B8B"/>
    <w:multiLevelType w:val="multilevel"/>
    <w:tmpl w:val="F5A4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62743"/>
    <w:multiLevelType w:val="multilevel"/>
    <w:tmpl w:val="FD44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AF724F"/>
    <w:multiLevelType w:val="multilevel"/>
    <w:tmpl w:val="354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0B54C2"/>
    <w:multiLevelType w:val="multilevel"/>
    <w:tmpl w:val="CAB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DA"/>
    <w:rsid w:val="00014E94"/>
    <w:rsid w:val="003A71DA"/>
    <w:rsid w:val="003B27FD"/>
    <w:rsid w:val="009D19AF"/>
    <w:rsid w:val="00B0797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C819"/>
  <w15:chartTrackingRefBased/>
  <w15:docId w15:val="{6A33E60A-0082-468E-954A-868E1E43E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A71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71DA"/>
    <w:pPr>
      <w:spacing w:before="100" w:beforeAutospacing="1" w:after="100" w:afterAutospacing="1" w:line="240" w:lineRule="auto"/>
      <w:outlineLvl w:val="1"/>
    </w:pPr>
    <w:rPr>
      <w:rFonts w:ascii="Times New Roman" w:eastAsia="Times New Roman" w:hAnsi="Times New Roman" w:cs="Times New Roman"/>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71DA"/>
    <w:rPr>
      <w:rFonts w:ascii="Times New Roman" w:eastAsia="Times New Roman" w:hAnsi="Times New Roman" w:cs="Times New Roman"/>
      <w:b/>
      <w:bCs/>
      <w:sz w:val="36"/>
    </w:rPr>
  </w:style>
  <w:style w:type="paragraph" w:styleId="NormalWeb">
    <w:name w:val="Normal (Web)"/>
    <w:basedOn w:val="Normal"/>
    <w:uiPriority w:val="99"/>
    <w:semiHidden/>
    <w:unhideWhenUsed/>
    <w:rsid w:val="003A71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1DA"/>
    <w:rPr>
      <w:b/>
      <w:bCs/>
    </w:rPr>
  </w:style>
  <w:style w:type="character" w:styleId="Emphasis">
    <w:name w:val="Emphasis"/>
    <w:basedOn w:val="DefaultParagraphFont"/>
    <w:uiPriority w:val="20"/>
    <w:qFormat/>
    <w:rsid w:val="003A71DA"/>
    <w:rPr>
      <w:i/>
      <w:iCs/>
    </w:rPr>
  </w:style>
  <w:style w:type="table" w:styleId="TableGrid">
    <w:name w:val="Table Grid"/>
    <w:basedOn w:val="TableNormal"/>
    <w:uiPriority w:val="39"/>
    <w:rsid w:val="003A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19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2026-02-23T04:38:00Z</dcterms:created>
  <dcterms:modified xsi:type="dcterms:W3CDTF">2026-02-24T08:11:00Z</dcterms:modified>
</cp:coreProperties>
</file>