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94375"/>
          <w:sz w:val="40"/>
          <w:szCs w:val="40"/>
        </w:rPr>
        <w:t xml:space="preserve">Koszt hostingu HubMI na AWS</w:t>
      </w:r>
    </w:p>
    <w:p>
      <w:pPr>
        <w:pBdr>
          <w:bottom w:val="single" w:color="294375" w:sz="8" w:space="6"/>
        </w:pBdr>
        <w:spacing w:after="240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Szacunek miesięczny · region eu-central-1 (Frankfurt) · ceny z 4 października 2026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94375"/>
          <w:sz w:val="28"/>
          <w:szCs w:val="28"/>
        </w:rPr>
        <w:t xml:space="preserve">Podsumowanie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Stała infrastruktura kosztuje około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23 USD miesięcznie netto</w:t>
      </w:r>
      <w:r>
        <w:rPr>
          <w:rFonts w:ascii="Arial" w:cs="Arial" w:eastAsia="Arial" w:hAnsi="Arial"/>
          <w:sz w:val="21"/>
          <w:szCs w:val="21"/>
        </w:rPr>
        <w:t xml:space="preserve"> (około 28 USD z 23% VAT). Prawie cały koszt to maszyna EC2 i jej publiczny adres IP. Frontend w S3 i CloudFront mieści się przy obecnym ruchu w darmowych limitach.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Do tego dochodzą koszty zależne od ruchu: reranking Cohere (około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 USD za 1000 rozmów</w:t>
      </w:r>
      <w:r>
        <w:rPr>
          <w:rFonts w:ascii="Arial" w:cs="Arial" w:eastAsia="Arial" w:hAnsi="Arial"/>
          <w:sz w:val="21"/>
          <w:szCs w:val="21"/>
        </w:rPr>
        <w:t xml:space="preserve">) i streszczenia LLM w OpenAI. Embeddingi kosztują ułamki centa.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94375"/>
          <w:sz w:val="28"/>
          <w:szCs w:val="28"/>
        </w:rPr>
        <w:t xml:space="preserve">Architektura, której dotyczy wycena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EC2 t3.small</w:t>
      </w:r>
      <w:r>
        <w:rPr>
          <w:rFonts w:ascii="Arial" w:cs="Arial" w:eastAsia="Arial" w:hAnsi="Arial"/>
          <w:sz w:val="21"/>
          <w:szCs w:val="21"/>
        </w:rPr>
        <w:t xml:space="preserve"> (2 vCPU, 2 GB RAM) z Amazon Linux 2023: PostgreSQL 16 z pgvector i FastAPI w Dockerze na jednej maszynie.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Dysk EBS gp3 20 GB</w:t>
      </w:r>
      <w:r>
        <w:rPr>
          <w:rFonts w:ascii="Arial" w:cs="Arial" w:eastAsia="Arial" w:hAnsi="Arial"/>
          <w:sz w:val="21"/>
          <w:szCs w:val="21"/>
        </w:rPr>
        <w:t xml:space="preserve"> na system, obrazy Dockera i bazę.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Elastic IP</w:t>
      </w:r>
      <w:r>
        <w:rPr>
          <w:rFonts w:ascii="Arial" w:cs="Arial" w:eastAsia="Arial" w:hAnsi="Arial"/>
          <w:sz w:val="21"/>
          <w:szCs w:val="21"/>
        </w:rPr>
        <w:t xml:space="preserve">, czyli stały publiczny adres IPv4 maszyny.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S3</w:t>
      </w:r>
      <w:r>
        <w:rPr>
          <w:rFonts w:ascii="Arial" w:cs="Arial" w:eastAsia="Arial" w:hAnsi="Arial"/>
          <w:sz w:val="21"/>
          <w:szCs w:val="21"/>
        </w:rPr>
        <w:t xml:space="preserve">: prywatny bucket z plikami frontendu (około 2 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CloudFront</w:t>
      </w:r>
      <w:r>
        <w:rPr>
          <w:rFonts w:ascii="Arial" w:cs="Arial" w:eastAsia="Arial" w:hAnsi="Arial"/>
          <w:sz w:val="21"/>
          <w:szCs w:val="21"/>
        </w:rPr>
        <w:t xml:space="preserve">: HTTPS dla strony, ścieżki /api/* kierowane do EC2, funkcja do odświeżania podstron.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94375"/>
          <w:sz w:val="28"/>
          <w:szCs w:val="28"/>
        </w:rPr>
        <w:t xml:space="preserve">Koszt stały (miesięcznie, 730 godzin)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26"/>
        <w:gridCol w:w="1700"/>
      </w:tblGrid>
      <w:tr>
        <w:trPr>
          <w:tblHeader/>
        </w:trPr>
        <w:tc>
          <w:tcPr>
            <w:tcW w:type="dxa" w:w="3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29437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Usługa</w:t>
            </w:r>
          </w:p>
        </w:tc>
        <w:tc>
          <w:tcPr>
            <w:tcW w:type="dxa" w:w="39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29437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Wyliczenie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29437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USD / mies.</w:t>
            </w:r>
          </w:p>
        </w:tc>
      </w:tr>
      <w:tr>
        <w:tc>
          <w:tcPr>
            <w:tcW w:type="dxa" w:w="3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EC2 t3.small (on-demand)</w:t>
            </w:r>
          </w:p>
        </w:tc>
        <w:tc>
          <w:tcPr>
            <w:tcW w:type="dxa" w:w="39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730 h × 0,0240 USD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17,52</w:t>
            </w:r>
          </w:p>
        </w:tc>
      </w:tr>
      <w:tr>
        <w:tc>
          <w:tcPr>
            <w:tcW w:type="dxa" w:w="3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EBS gp3, 20 GB</w:t>
            </w:r>
          </w:p>
        </w:tc>
        <w:tc>
          <w:tcPr>
            <w:tcW w:type="dxa" w:w="39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GB × 0,0952 USD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1,90</w:t>
            </w:r>
          </w:p>
        </w:tc>
      </w:tr>
      <w:tr>
        <w:tc>
          <w:tcPr>
            <w:tcW w:type="dxa" w:w="3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Publiczny IPv4 (Elastic IP)</w:t>
            </w:r>
          </w:p>
        </w:tc>
        <w:tc>
          <w:tcPr>
            <w:tcW w:type="dxa" w:w="39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730 h × 0,005 USD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3,65</w:t>
            </w:r>
          </w:p>
        </w:tc>
      </w:tr>
      <w:tr>
        <w:tc>
          <w:tcPr>
            <w:tcW w:type="dxa" w:w="3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 (frontend, około 2 MB)</w:t>
            </w:r>
          </w:p>
        </w:tc>
        <w:tc>
          <w:tcPr>
            <w:tcW w:type="dxa" w:w="39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przechowywanie i odczyty przez CloudFront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0,01</w:t>
            </w:r>
          </w:p>
        </w:tc>
      </w:tr>
      <w:tr>
        <w:tc>
          <w:tcPr>
            <w:tcW w:type="dxa" w:w="3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CloudFront</w:t>
            </w:r>
          </w:p>
        </w:tc>
        <w:tc>
          <w:tcPr>
            <w:tcW w:type="dxa" w:w="39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 darmowym limicie: 1 TB, 10 mln żądań, 2 mln wywołań funkcji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</w:tr>
      <w:tr>
        <w:tc>
          <w:tcPr>
            <w:tcW w:type="dxa" w:w="3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 EC2 → CloudFront</w:t>
            </w:r>
          </w:p>
        </w:tc>
        <w:tc>
          <w:tcPr>
            <w:tcW w:type="dxa" w:w="39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 do CloudFront jest bezpłatny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</w:tr>
      <w:tr>
        <w:tc>
          <w:tcPr>
            <w:tcW w:type="dxa" w:w="3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Razem netto</w:t>
            </w:r>
          </w:p>
        </w:tc>
        <w:tc>
          <w:tcPr>
            <w:tcW w:type="dxa" w:w="39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≈ 23,07</w:t>
            </w:r>
          </w:p>
        </w:tc>
      </w:tr>
    </w:tbl>
    <w:p>
      <w:pPr>
        <w:spacing w:after="120" w:before="120"/>
        <w:rPr>
          <w:color w:val="5A6478"/>
          <w:sz w:val="19"/>
          <w:szCs w:val="19"/>
        </w:rPr>
      </w:pPr>
      <w:r>
        <w:rPr>
          <w:rFonts w:ascii="Arial" w:cs="Arial" w:eastAsia="Arial" w:hAnsi="Arial"/>
          <w:color w:val="5A6478"/>
          <w:sz w:val="19"/>
          <w:szCs w:val="19"/>
        </w:rPr>
        <w:t xml:space="preserve">Z 23% VAT (konto bez numeru VAT UE): około 28,38 USD.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94375"/>
          <w:sz w:val="28"/>
          <w:szCs w:val="28"/>
        </w:rPr>
        <w:t xml:space="preserve">Koszt zależny od ruchu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Każda rozmowa w module „Znajdź rozwiązanie” to jedno wyszukiwanie: embedding zapytania, reranking i streszczenie LLM.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26"/>
        <w:gridCol w:w="1700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29437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Pozycja</w:t>
            </w:r>
          </w:p>
        </w:tc>
        <w:tc>
          <w:tcPr>
            <w:tcW w:type="dxa" w:w="43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29437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Cena / założenie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29437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1000 rozmów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Cohere rerank-v3.5</w:t>
            </w:r>
          </w:p>
        </w:tc>
        <w:tc>
          <w:tcPr>
            <w:tcW w:type="dxa" w:w="43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2,00 USD za 1000 wyszukiwań (do 100 dokumentów każde)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2,00 USD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 zapytania (OpenAI text-embedding-3-large)</w:t>
            </w:r>
          </w:p>
        </w:tc>
        <w:tc>
          <w:tcPr>
            <w:tcW w:type="dxa" w:w="43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0,13 USD za 1 mln tokenów; około 60 tokenów na zapytanie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0,01 USD</w:t>
            </w:r>
          </w:p>
        </w:tc>
      </w:tr>
      <w:t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Streszczenie LLM (OpenAI gpt-6-luna)</w:t>
            </w:r>
          </w:p>
        </w:tc>
        <w:tc>
          <w:tcPr>
            <w:tcW w:type="dxa" w:w="43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około 3000 tokenów wejścia i do 400 wyjścia (LLM_MAX_TOKENS)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wg cennika OpenAI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Wzór na LLM: </w:t>
      </w:r>
      <w:r>
        <w:rPr>
          <w:rFonts w:ascii="Arial" w:cs="Arial" w:eastAsia="Arial" w:hAnsi="Arial"/>
          <w:sz w:val="21"/>
          <w:szCs w:val="21"/>
        </w:rPr>
        <w:t xml:space="preserve">liczba rozmów × (3000 × cena wejścia + 400 × cena wyjścia) / 1 000 000. Ceny gpt-6-luna nie ma w tej wycenie; trzeba ją wziąć z aktualnego cennika OpenAI.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Jednorazowy ingest bazy wiedzy: </w:t>
      </w:r>
      <w:r>
        <w:rPr>
          <w:rFonts w:ascii="Arial" w:cs="Arial" w:eastAsia="Arial" w:hAnsi="Arial"/>
          <w:sz w:val="21"/>
          <w:szCs w:val="21"/>
        </w:rPr>
        <w:t xml:space="preserve">około 380 KB tekstu, czyli mniej więcej 150 tys. tokenów: około 0,02 USD za embeddingi. Moduł 3 (asystent) i Moduł 4 (raport AI) zużywają LLM tylko na żądanie użytkownika.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94375"/>
          <w:sz w:val="28"/>
          <w:szCs w:val="28"/>
        </w:rPr>
        <w:t xml:space="preserve">Scenariusze miesięczne (bez LLM)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2700"/>
        <w:gridCol w:w="1700"/>
      </w:tblGrid>
      <w:tr>
        <w:trPr>
          <w:tblHeader/>
        </w:trPr>
        <w:tc>
          <w:tcPr>
            <w:tcW w:type="dxa" w:w="46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29437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Scenariusz</w:t>
            </w:r>
          </w:p>
        </w:tc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29437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Składniki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29437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USD / mies.</w:t>
            </w:r>
          </w:p>
        </w:tc>
      </w:tr>
      <w:tr>
        <w:tc>
          <w:tcPr>
            <w:tcW w:type="dxa" w:w="46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Sama infrastruktura (demo, mały ruch)</w:t>
            </w:r>
          </w:p>
        </w:tc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koszt stały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23</w:t>
            </w:r>
          </w:p>
        </w:tc>
      </w:tr>
      <w:tr>
        <w:tc>
          <w:tcPr>
            <w:tcW w:type="dxa" w:w="46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1000 rozmów w miesiącu</w:t>
            </w:r>
          </w:p>
        </w:tc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koszt stały + Cohere + embeddingi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25</w:t>
            </w:r>
          </w:p>
        </w:tc>
      </w:tr>
      <w:tr>
        <w:tc>
          <w:tcPr>
            <w:tcW w:type="dxa" w:w="46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10 000 rozmów w miesiącu</w:t>
            </w:r>
          </w:p>
        </w:tc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koszt stały + Cohere + embeddingi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43</w:t>
            </w:r>
          </w:p>
        </w:tc>
      </w:tr>
      <w:tr>
        <w:tc>
          <w:tcPr>
            <w:tcW w:type="dxa" w:w="46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Większa maszyna t3.medium (4 GB RAM)</w:t>
            </w:r>
          </w:p>
        </w:tc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35,04 + 1,90 + 3,65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41</w:t>
            </w:r>
          </w:p>
        </w:tc>
      </w:tr>
      <w:tr>
        <w:tc>
          <w:tcPr>
            <w:tcW w:type="dxa" w:w="46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t3.small włączona tylko 10 h × 22 dni</w:t>
            </w:r>
          </w:p>
        </w:tc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5,28 + 1,90 + 3,65 (IP i dysk płatne także po zatrzymaniu)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11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94375"/>
          <w:sz w:val="28"/>
          <w:szCs w:val="28"/>
        </w:rPr>
        <w:t xml:space="preserve">Jak obniżyć koszt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Wyłączanie poza godzinami pracy. </w:t>
      </w:r>
      <w:r>
        <w:rPr>
          <w:rFonts w:ascii="Arial" w:cs="Arial" w:eastAsia="Arial" w:hAnsi="Arial"/>
          <w:sz w:val="21"/>
          <w:szCs w:val="21"/>
        </w:rPr>
        <w:t xml:space="preserve">Zatrzymana instancja nie kosztuje za EC2, ale dysk i Elastic IP nadal są płatne.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Reranking bez Cohere. </w:t>
      </w:r>
      <w:r>
        <w:rPr>
          <w:rFonts w:ascii="Arial" w:cs="Arial" w:eastAsia="Arial" w:hAnsi="Arial"/>
          <w:sz w:val="21"/>
          <w:szCs w:val="21"/>
        </w:rPr>
        <w:t xml:space="preserve">Ustawienie RERANK_PROVIDER=noop usuwa 2 USD na 1000 rozmów, ale wyniki wyszukiwania są wtedy słabsze.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Savings Plan na rok. </w:t>
      </w:r>
      <w:r>
        <w:rPr>
          <w:rFonts w:ascii="Arial" w:cs="Arial" w:eastAsia="Arial" w:hAnsi="Arial"/>
          <w:sz w:val="21"/>
          <w:szCs w:val="21"/>
        </w:rPr>
        <w:t xml:space="preserve">Obniża cenę EC2 o około 30–40%. Ma sens dopiero po hackathonie, przy stałym użyciu.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Usuwanie zasobów po demo. </w:t>
      </w:r>
      <w:r>
        <w:rPr>
          <w:rFonts w:ascii="Arial" w:cs="Arial" w:eastAsia="Arial" w:hAnsi="Arial"/>
          <w:sz w:val="21"/>
          <w:szCs w:val="21"/>
        </w:rPr>
        <w:t xml:space="preserve">Polecenia deploy/aws/frontend.sh destroy i deploy/aws/backend.sh destroy kasują wszystko, więc dalszych opłat już nie ma.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94375"/>
          <w:sz w:val="28"/>
          <w:szCs w:val="28"/>
        </w:rPr>
        <w:t xml:space="preserve">Założenia i ryzyka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Ceny on-demand netto w USD, bez darmowego okresu i kredytów dla nowych kont AWS (mogą obniżyć rachunek do zera w pierwszych miesiącach).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T3 działa domyślnie w trybie unlimited. Gdy procesor długo pracuje powyżej 20% (np. przy masowym ingeście), AWS dolicza 0,05 USD za każdą vCPU-godzinę ponad limit kredytów.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Kopie zapasowe (snapshoty EBS), monitoring CloudWatch i własna domena nie są uwzględnione.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Ruch wychodzący z EC2 do internetu (SSH, wywołania API OpenAI i Cohere) mieści się w darmowych 100 GB miesięcznie.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94375"/>
          <w:sz w:val="28"/>
          <w:szCs w:val="28"/>
        </w:rPr>
        <w:t xml:space="preserve">Źródła cen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su6ezy3x8eejjbsmneg3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EC2 t3.small w eu-central-1: 0,0240 USD/h (aws-pricing.com)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7ddchrydn876no_9iauu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EBS gp3 w eu-central-1: 0,0952 USD za GB-miesiąc (aws-pricing.com)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ckuawsgazapdjo0fqhyz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Opłata za publiczny IPv4: 0,005 USD/h (AWS News Blog)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uevzrp_kgri2gtnmidup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CloudFront: darmowy limit 1 TB i 10 mln żądań miesięcznie (cennik AWS)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n-dqdkwy8jnpsatinw9e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OpenAI text-embedding-3-large: 0,13 USD za 1 mln tokenów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kxe8ihzyxynlo8-5jtn3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Cohere Rerank 3.5: 2,00 USD za 1000 wyszukiwań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su6ezy3x8eejjbsmneg3" Type="http://schemas.openxmlformats.org/officeDocument/2006/relationships/hyperlink" Target="https://aws-pricing.com/t3.small.html" TargetMode="External"/><Relationship Id="rIdi7ddchrydn876no_9iauu" Type="http://schemas.openxmlformats.org/officeDocument/2006/relationships/hyperlink" Target="https://aws-pricing.com/eu-central-1.html" TargetMode="External"/><Relationship Id="rIdbckuawsgazapdjo0fqhyz" Type="http://schemas.openxmlformats.org/officeDocument/2006/relationships/hyperlink" Target="https://aws.amazon.com/blogs/aws/new-aws-public-ipv4-address-charge-public-ip-insights" TargetMode="External"/><Relationship Id="rIdcuevzrp_kgri2gtnmidup" Type="http://schemas.openxmlformats.org/officeDocument/2006/relationships/hyperlink" Target="https://aws.amazon.com/cloudfront/pricing/pay-as-you-go" TargetMode="External"/><Relationship Id="rIdbn-dqdkwy8jnpsatinw9e" Type="http://schemas.openxmlformats.org/officeDocument/2006/relationships/hyperlink" Target="https://pricepertoken.com/embedding/model/openai-text-embedding-3-large" TargetMode="External"/><Relationship Id="rIdhkxe8ihzyxynlo8-5jtn3" Type="http://schemas.openxmlformats.org/officeDocument/2006/relationships/hyperlink" Target="https://costbench.com/software/llm-api-providers/cohere-api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Koszt hostingu HubMI na AWS</dc:title>
  <dc:creator>HubMI</dc:creator>
  <cp:lastModifiedBy>Un-named</cp:lastModifiedBy>
  <cp:revision>1</cp:revision>
  <dcterms:created xsi:type="dcterms:W3CDTF">2026-10-04T07:26:17.036Z</dcterms:created>
  <dcterms:modified xsi:type="dcterms:W3CDTF">2026-10-04T07:26:17.042Z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