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40"/>
      </w:pPr>
      <w:r>
        <w:rPr>
          <w:rFonts w:ascii="Calibri" w:hAnsi="Calibri"/>
          <w:b/>
          <w:color w:val="3730A3"/>
          <w:sz w:val="60"/>
        </w:rPr>
        <w:t>YORU</w:t>
      </w:r>
    </w:p>
    <w:p>
      <w:pPr>
        <w:spacing w:after="100"/>
      </w:pPr>
      <w:r>
        <w:rPr>
          <w:rFonts w:ascii="Calibri" w:hAnsi="Calibri"/>
          <w:b/>
          <w:color w:val="172033"/>
          <w:sz w:val="40"/>
        </w:rPr>
        <w:t>Product Requirements Document &amp; System Design</w:t>
      </w:r>
    </w:p>
    <w:p>
      <w:pPr>
        <w:spacing w:after="400"/>
      </w:pPr>
      <w:r>
        <w:rPr>
          <w:rFonts w:ascii="Calibri" w:hAnsi="Calibri"/>
          <w:i/>
          <w:color w:val="64748B"/>
          <w:sz w:val="25"/>
        </w:rPr>
        <w:t>Marketplace produk beauty, home services, dan AI assistant untuk customer serta partner</w:t>
      </w:r>
    </w:p>
    <w:p>
      <w:pPr>
        <w:spacing w:after="40"/>
      </w:pPr>
      <w:r>
        <w:rPr>
          <w:rFonts w:ascii="Calibri" w:hAnsi="Calibri"/>
          <w:b/>
          <w:color w:val="172033"/>
          <w:sz w:val="21"/>
        </w:rPr>
        <w:t xml:space="preserve">Dokumen: </w:t>
      </w:r>
      <w:r>
        <w:rPr>
          <w:rFonts w:ascii="Calibri" w:hAnsi="Calibri"/>
          <w:color w:val="334155"/>
          <w:sz w:val="21"/>
        </w:rPr>
        <w:t>Product Requirements Document + System Design</w:t>
      </w:r>
    </w:p>
    <w:p>
      <w:pPr>
        <w:spacing w:after="40"/>
      </w:pPr>
      <w:r>
        <w:rPr>
          <w:rFonts w:ascii="Calibri" w:hAnsi="Calibri"/>
          <w:b/>
          <w:color w:val="172033"/>
          <w:sz w:val="21"/>
        </w:rPr>
        <w:t xml:space="preserve">Versi: </w:t>
      </w:r>
      <w:r>
        <w:rPr>
          <w:rFonts w:ascii="Calibri" w:hAnsi="Calibri"/>
          <w:color w:val="334155"/>
          <w:sz w:val="21"/>
        </w:rPr>
        <w:t>1.0 · Draft untuk validasi</w:t>
      </w:r>
    </w:p>
    <w:p>
      <w:pPr>
        <w:spacing w:after="40"/>
      </w:pPr>
      <w:r>
        <w:rPr>
          <w:rFonts w:ascii="Calibri" w:hAnsi="Calibri"/>
          <w:b/>
          <w:color w:val="172033"/>
          <w:sz w:val="21"/>
        </w:rPr>
        <w:t xml:space="preserve">Tanggal: </w:t>
      </w:r>
      <w:r>
        <w:rPr>
          <w:rFonts w:ascii="Calibri" w:hAnsi="Calibri"/>
          <w:color w:val="334155"/>
          <w:sz w:val="21"/>
        </w:rPr>
        <w:t>28 Juli 2026</w:t>
      </w:r>
    </w:p>
    <w:p>
      <w:pPr>
        <w:spacing w:after="40"/>
      </w:pPr>
      <w:r>
        <w:rPr>
          <w:rFonts w:ascii="Calibri" w:hAnsi="Calibri"/>
          <w:b/>
          <w:color w:val="172033"/>
          <w:sz w:val="21"/>
        </w:rPr>
        <w:t xml:space="preserve">Produk: </w:t>
      </w:r>
      <w:r>
        <w:rPr>
          <w:rFonts w:ascii="Calibri" w:hAnsi="Calibri"/>
          <w:color w:val="334155"/>
          <w:sz w:val="21"/>
        </w:rPr>
        <w:t>Yoru — AI-assisted beauty commerce &amp; home services</w:t>
      </w:r>
    </w:p>
    <w:p>
      <w:pPr>
        <w:spacing w:after="40"/>
      </w:pPr>
      <w:r>
        <w:rPr>
          <w:rFonts w:ascii="Calibri" w:hAnsi="Calibri"/>
          <w:b/>
          <w:color w:val="172033"/>
          <w:sz w:val="21"/>
        </w:rPr>
        <w:t xml:space="preserve">Target pembaca: </w:t>
      </w:r>
      <w:r>
        <w:rPr>
          <w:rFonts w:ascii="Calibri" w:hAnsi="Calibri"/>
          <w:color w:val="334155"/>
          <w:sz w:val="21"/>
        </w:rPr>
        <w:t>Founder, Product, Design, Engineering, QA, Operations</w:t>
      </w:r>
    </w:p>
    <w:p>
      <w:pPr>
        <w:spacing w:after="40"/>
      </w:pPr>
      <w:r>
        <w:rPr>
          <w:rFonts w:ascii="Calibri" w:hAnsi="Calibri"/>
          <w:b/>
          <w:color w:val="172033"/>
          <w:sz w:val="21"/>
        </w:rPr>
        <w:t xml:space="preserve">Status: </w:t>
      </w:r>
      <w:r>
        <w:rPr>
          <w:rFonts w:ascii="Calibri" w:hAnsi="Calibri"/>
          <w:color w:val="334155"/>
          <w:sz w:val="21"/>
        </w:rPr>
        <w:t>Baseline dari nol; belum mengikat keputusan legal/komersial</w:t>
      </w:r>
    </w:p>
    <w:p>
      <w:pPr>
        <w:spacing w:before="200" w:after="200"/>
        <w:pBdr>
          <w:bottom w:val="single" w:sz="14" w:space="1" w:color="4F46E5"/>
        </w:pBdr>
      </w:pPr>
    </w:p>
    <w:tbl>
      <w:tblPr>
        <w:tblW w:type="dxa" w:w="9360"/>
        <w:jc w:val="left"/>
        <w:tblLayout w:type="fixed"/>
        <w:tblLook w:firstColumn="1" w:firstRow="1" w:lastColumn="0" w:lastRow="0" w:noHBand="0" w:noVBand="1" w:val="04A0"/>
        <w:tblInd w:w="120" w:type="dxa"/>
        <w:tblBorders>
          <w:top w:val="single" w:sz="8" w:space="0" w:color="EEF2FF"/>
          <w:left w:val="single" w:sz="8" w:space="0" w:color="EEF2FF"/>
          <w:bottom w:val="single" w:sz="8" w:space="0" w:color="EEF2FF"/>
          <w:right w:val="single" w:sz="8" w:space="0" w:color="EEF2FF"/>
          <w:insideH w:val="single" w:sz="8" w:space="0" w:color="EEF2FF"/>
          <w:insideV w:val="single" w:sz="8" w:space="0" w:color="EEF2FF"/>
        </w:tblBorders>
      </w:tblPr>
      <w:tblGrid>
        <w:gridCol w:w="9360"/>
      </w:tblGrid>
      <w:tr>
        <w:tc>
          <w:tcPr>
            <w:tcW w:type="dxa" w:w="9360"/>
            <w:tcMar>
              <w:top w:w="80" w:type="dxa"/>
              <w:start w:w="120" w:type="dxa"/>
              <w:bottom w:w="80" w:type="dxa"/>
              <w:end w:w="120" w:type="dxa"/>
            </w:tcMar>
            <w:vAlign w:val="center"/>
            <w:shd w:fill="EEF2FF"/>
          </w:tcPr>
          <w:p>
            <w:pPr>
              <w:spacing w:after="0" w:line="264" w:lineRule="auto"/>
            </w:pPr>
            <w:r>
              <w:rPr>
                <w:rFonts w:ascii="Calibri" w:hAnsi="Calibri"/>
                <w:b/>
                <w:color w:val="3730A3"/>
                <w:sz w:val="22"/>
              </w:rPr>
              <w:t xml:space="preserve">Keputusan arsitektur utama. </w:t>
            </w:r>
            <w:r>
              <w:rPr>
                <w:rFonts w:ascii="Calibri" w:hAnsi="Calibri"/>
                <w:color w:val="172033"/>
                <w:sz w:val="22"/>
              </w:rPr>
              <w:t>Mulai dengan dua aplikasi Next.js dalam satu monorepo dan satu backend FastAPI berbentuk modular monolith. Desain ini menjaga kecepatan MVP tanpa mengorbankan batas domain, tenant isolation, dan jalur scaling.</w:t>
            </w:r>
          </w:p>
        </w:tc>
      </w:tr>
    </w:tbl>
    <w:p>
      <w:pPr>
        <w:spacing w:after="40"/>
      </w:pPr>
    </w:p>
    <w:p>
      <w:pPr>
        <w:pStyle w:val="Heading1"/>
        <w:keepNext/>
      </w:pPr>
      <w:r>
        <w:rPr>
          <w:rFonts w:ascii="Calibri" w:hAnsi="Calibri"/>
          <w:b/>
          <w:color w:val="3730A3"/>
          <w:sz w:val="32"/>
        </w:rPr>
        <w:t>Ringkasan eksekutif</w:t>
      </w:r>
    </w:p>
    <w:p>
      <w:pPr>
        <w:spacing w:after="120" w:line="264" w:lineRule="auto"/>
      </w:pPr>
      <w:r>
        <w:rPr>
          <w:rFonts w:ascii="Calibri" w:hAnsi="Calibri"/>
          <w:i w:val="0"/>
          <w:color w:val="334155"/>
          <w:sz w:val="22"/>
        </w:rPr>
        <w:t>Yoru adalah marketplace hybrid B2C dan B2B2C yang menggabungkan penjualan skincare, fashion, serta aksesori styling dengan pemesanan layanan home service seperti treatment, barber, salon, dan kategori dental yang diizinkan. Platform membantu UMKM dan profesional menawarkan produk atau keahlian tanpa wajib memiliki lokasi usaha fisik.</w:t>
      </w:r>
    </w:p>
    <w:p>
      <w:pPr>
        <w:spacing w:after="120" w:line="264" w:lineRule="auto"/>
      </w:pPr>
      <w:r>
        <w:rPr>
          <w:rFonts w:ascii="Calibri" w:hAnsi="Calibri"/>
          <w:i w:val="0"/>
          <w:color w:val="334155"/>
          <w:sz w:val="22"/>
        </w:rPr>
        <w:t>Pembeda utama Yoru adalah AI assistant. Pada sisi customer, AI membantu menyaring produk atau layanan berdasarkan kebutuhan, preferensi, foto opsional, lokasi, dan budget. Pada sisi partner, AI merangkum omzet, tren, risiko, dan peluang pertumbuhan menggunakan metrik yang dihitung secara deterministik dari database.</w:t>
      </w:r>
    </w:p>
    <w:p>
      <w:pPr>
        <w:spacing w:after="120" w:line="264" w:lineRule="auto"/>
      </w:pPr>
      <w:r>
        <w:rPr>
          <w:rFonts w:ascii="Calibri" w:hAnsi="Calibri"/>
          <w:i w:val="0"/>
          <w:color w:val="334155"/>
          <w:sz w:val="22"/>
        </w:rPr>
        <w:t>Model pendapatan awal adalah komisi platform sekitar 10%. PRD ini menyarankan komisi dihitung pada subtotal produk/layanan setelah diskon yang ditanggung partner, tidak termasuk ongkir, pajak, tip, dan biaya payment gateway. Formula tersebut tetap menjadi keputusan bisnis dan akuntansi yang harus dikunci sebelum implementasi pembayaran.</w:t>
      </w:r>
    </w:p>
    <w:tbl>
      <w:tblPr>
        <w:tblW w:type="dxa" w:w="9360"/>
        <w:jc w:val="left"/>
        <w:tblLayout w:type="fixed"/>
        <w:tblLook w:firstColumn="1" w:firstRow="1" w:lastColumn="0" w:lastRow="0" w:noHBand="0" w:noVBand="1" w:val="04A0"/>
        <w:tblInd w:w="120" w:type="dxa"/>
        <w:tblBorders>
          <w:top w:val="single" w:sz="8" w:space="0" w:color="FFF7ED"/>
          <w:left w:val="single" w:sz="8" w:space="0" w:color="FFF7ED"/>
          <w:bottom w:val="single" w:sz="8" w:space="0" w:color="FFF7ED"/>
          <w:right w:val="single" w:sz="8" w:space="0" w:color="FFF7ED"/>
          <w:insideH w:val="single" w:sz="8" w:space="0" w:color="FFF7ED"/>
          <w:insideV w:val="single" w:sz="8" w:space="0" w:color="FFF7ED"/>
        </w:tblBorders>
      </w:tblPr>
      <w:tblGrid>
        <w:gridCol w:w="9360"/>
      </w:tblGrid>
      <w:tr>
        <w:tc>
          <w:tcPr>
            <w:tcW w:type="dxa" w:w="9360"/>
            <w:tcMar>
              <w:top w:w="80" w:type="dxa"/>
              <w:start w:w="120" w:type="dxa"/>
              <w:bottom w:w="80" w:type="dxa"/>
              <w:end w:w="120" w:type="dxa"/>
            </w:tcMar>
            <w:vAlign w:val="center"/>
            <w:shd w:fill="FFF7ED"/>
          </w:tcPr>
          <w:p>
            <w:pPr>
              <w:spacing w:after="0" w:line="264" w:lineRule="auto"/>
            </w:pPr>
            <w:r>
              <w:rPr>
                <w:rFonts w:ascii="Calibri" w:hAnsi="Calibri"/>
                <w:b/>
                <w:color w:val="3730A3"/>
                <w:sz w:val="22"/>
              </w:rPr>
              <w:t xml:space="preserve">Batas keselamatan. </w:t>
            </w:r>
            <w:r>
              <w:rPr>
                <w:rFonts w:ascii="Calibri" w:hAnsi="Calibri"/>
                <w:color w:val="172033"/>
                <w:sz w:val="22"/>
              </w:rPr>
              <w:t>Rekomendasi AI tidak boleh diposisikan sebagai diagnosis medis. Foto kulit dan informasi kesehatan termasuk data berisiko tinggi; fitur ini membutuhkan persetujuan eksplisit, minimisasi data, retensi pendek, dan jalur eskalasi ke profesional. Layanan dental invasif sebaiknya tidak masuk MVP sebelum validasi legal serta klinis.</w:t>
            </w:r>
          </w:p>
        </w:tc>
      </w:tr>
    </w:tbl>
    <w:p>
      <w:pPr>
        <w:spacing w:after="40"/>
      </w:pPr>
    </w:p>
    <w:p>
      <w:pPr>
        <w:pStyle w:val="Heading2"/>
        <w:keepNext/>
      </w:pPr>
      <w:r>
        <w:rPr>
          <w:rFonts w:ascii="Calibri" w:hAnsi="Calibri"/>
          <w:b/>
          <w:color w:val="4F46E5"/>
          <w:sz w:val="26"/>
        </w:rPr>
        <w:t>Struktur dokumen</w:t>
      </w:r>
    </w:p>
    <w:p>
      <w:pPr>
        <w:numPr>
          <w:ilvl w:val="0"/>
          <w:numId w:val="10"/>
        </w:numPr>
        <w:spacing w:after="160" w:line="280" w:lineRule="auto"/>
        <w:keepLines/>
      </w:pPr>
      <w:r>
        <w:rPr>
          <w:rFonts w:ascii="Calibri" w:hAnsi="Calibri"/>
          <w:color w:val="334155"/>
          <w:sz w:val="22"/>
        </w:rPr>
        <w:t>Bagian A — skema produk, aktor, domain, dan ruang lingkup.</w:t>
      </w:r>
    </w:p>
    <w:p>
      <w:pPr>
        <w:numPr>
          <w:ilvl w:val="0"/>
          <w:numId w:val="10"/>
        </w:numPr>
        <w:spacing w:after="160" w:line="280" w:lineRule="auto"/>
        <w:keepLines/>
      </w:pPr>
      <w:r>
        <w:rPr>
          <w:rFonts w:ascii="Calibri" w:hAnsi="Calibri"/>
          <w:color w:val="334155"/>
          <w:sz w:val="22"/>
        </w:rPr>
        <w:t>Bagian B — PRD: kebutuhan fungsional, user flow, aturan bisnis, dan acceptance criteria.</w:t>
      </w:r>
    </w:p>
    <w:p>
      <w:pPr>
        <w:numPr>
          <w:ilvl w:val="0"/>
          <w:numId w:val="10"/>
        </w:numPr>
        <w:spacing w:after="160" w:line="280" w:lineRule="auto"/>
        <w:keepLines/>
      </w:pPr>
      <w:r>
        <w:rPr>
          <w:rFonts w:ascii="Calibri" w:hAnsi="Calibri"/>
          <w:color w:val="334155"/>
          <w:sz w:val="22"/>
        </w:rPr>
        <w:t>Bagian C — system design: arsitektur, model data, API, AI, security, dan performa.</w:t>
      </w:r>
    </w:p>
    <w:p>
      <w:pPr>
        <w:numPr>
          <w:ilvl w:val="0"/>
          <w:numId w:val="10"/>
        </w:numPr>
        <w:spacing w:after="160" w:line="280" w:lineRule="auto"/>
        <w:keepLines/>
      </w:pPr>
      <w:r>
        <w:rPr>
          <w:rFonts w:ascii="Calibri" w:hAnsi="Calibri"/>
          <w:color w:val="334155"/>
          <w:sz w:val="22"/>
        </w:rPr>
        <w:t>Bagian D — delivery: testing, observability, roadmap, risiko, dan open decisions.</w:t>
      </w:r>
    </w:p>
    <w:p>
      <w:pPr>
        <w:pStyle w:val="Heading1"/>
        <w:keepNext/>
      </w:pPr>
      <w:r>
        <w:rPr>
          <w:rFonts w:ascii="Calibri" w:hAnsi="Calibri"/>
          <w:b/>
          <w:color w:val="3730A3"/>
          <w:sz w:val="32"/>
        </w:rPr>
        <w:t>A. Skema Produk</w:t>
      </w:r>
    </w:p>
    <w:p>
      <w:pPr>
        <w:pStyle w:val="Heading2"/>
        <w:keepNext/>
      </w:pPr>
      <w:r>
        <w:rPr>
          <w:rFonts w:ascii="Calibri" w:hAnsi="Calibri"/>
          <w:b/>
          <w:color w:val="4F46E5"/>
          <w:sz w:val="26"/>
        </w:rPr>
        <w:t>1. Visi, masalah, dan proposisi nilai</w:t>
      </w:r>
    </w:p>
    <w:p>
      <w:pPr>
        <w:pStyle w:val="Heading3"/>
        <w:keepNext/>
      </w:pPr>
      <w:r>
        <w:rPr>
          <w:rFonts w:ascii="Calibri" w:hAnsi="Calibri"/>
          <w:b/>
          <w:color w:val="172033"/>
          <w:sz w:val="24"/>
        </w:rPr>
        <w:t>1.1 Visi produk</w:t>
      </w:r>
    </w:p>
    <w:p>
      <w:pPr>
        <w:spacing w:after="120" w:line="264" w:lineRule="auto"/>
      </w:pPr>
      <w:r>
        <w:rPr>
          <w:rFonts w:ascii="Calibri" w:hAnsi="Calibri"/>
          <w:i w:val="0"/>
          <w:color w:val="334155"/>
          <w:sz w:val="22"/>
        </w:rPr>
        <w:t>Menjadi platform beauty commerce dan home service yang mempertemukan customer dengan produk, UMKM, dan profesional tepercaya—dengan rekomendasi AI yang relevan, aman, transparan, dan sesuai budget.</w:t>
      </w:r>
    </w:p>
    <w:p>
      <w:pPr>
        <w:pStyle w:val="Heading3"/>
        <w:keepNext/>
      </w:pPr>
      <w:r>
        <w:rPr>
          <w:rFonts w:ascii="Calibri" w:hAnsi="Calibri"/>
          <w:b/>
          <w:color w:val="172033"/>
          <w:sz w:val="24"/>
        </w:rPr>
        <w:t>1.2 Masalah yang diselesaikan</w:t>
      </w:r>
    </w:p>
    <w:p>
      <w:pPr>
        <w:numPr>
          <w:ilvl w:val="0"/>
          <w:numId w:val="10"/>
        </w:numPr>
        <w:spacing w:after="160" w:line="280" w:lineRule="auto"/>
        <w:keepLines/>
      </w:pPr>
      <w:r>
        <w:rPr>
          <w:rFonts w:ascii="Calibri" w:hAnsi="Calibri"/>
          <w:color w:val="334155"/>
          <w:sz w:val="22"/>
        </w:rPr>
        <w:t>Customer kesulitan memilih produk atau layanan beauty yang sesuai kebutuhan, budget, lokasi, dan risiko pribadi.</w:t>
      </w:r>
    </w:p>
    <w:p>
      <w:pPr>
        <w:numPr>
          <w:ilvl w:val="0"/>
          <w:numId w:val="10"/>
        </w:numPr>
        <w:spacing w:after="160" w:line="280" w:lineRule="auto"/>
        <w:keepLines/>
      </w:pPr>
      <w:r>
        <w:rPr>
          <w:rFonts w:ascii="Calibri" w:hAnsi="Calibri"/>
          <w:color w:val="334155"/>
          <w:sz w:val="22"/>
        </w:rPr>
        <w:t>UMKM beauty kesulitan mendapat demand, mengelola katalog, memproses transaksi, serta membaca performa penjualan.</w:t>
      </w:r>
    </w:p>
    <w:p>
      <w:pPr>
        <w:numPr>
          <w:ilvl w:val="0"/>
          <w:numId w:val="10"/>
        </w:numPr>
        <w:spacing w:after="160" w:line="280" w:lineRule="auto"/>
        <w:keepLines/>
      </w:pPr>
      <w:r>
        <w:rPr>
          <w:rFonts w:ascii="Calibri" w:hAnsi="Calibri"/>
          <w:color w:val="334155"/>
          <w:sz w:val="22"/>
        </w:rPr>
        <w:t>Profesional barber, salon, treatment, atau dental tertentu membutuhkan akses customer tanpa modal tempat usaha.</w:t>
      </w:r>
    </w:p>
    <w:p>
      <w:pPr>
        <w:numPr>
          <w:ilvl w:val="0"/>
          <w:numId w:val="10"/>
        </w:numPr>
        <w:spacing w:after="160" w:line="280" w:lineRule="auto"/>
        <w:keepLines/>
      </w:pPr>
      <w:r>
        <w:rPr>
          <w:rFonts w:ascii="Calibri" w:hAnsi="Calibri"/>
          <w:color w:val="334155"/>
          <w:sz w:val="22"/>
        </w:rPr>
        <w:t>Marketplace umum tidak menyatukan produk, jadwal profesional, layanan lokasi, verifikasi kompetensi, dan rekomendasi AI dalam satu pengalaman.</w:t>
      </w:r>
    </w:p>
    <w:p>
      <w:pPr>
        <w:pStyle w:val="Heading3"/>
        <w:keepNext/>
      </w:pPr>
      <w:r>
        <w:rPr>
          <w:rFonts w:ascii="Calibri" w:hAnsi="Calibri"/>
          <w:b/>
          <w:color w:val="172033"/>
          <w:sz w:val="24"/>
        </w:rPr>
        <w:t>1.3 Proposisi nilai per pihak</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500"/>
        <w:gridCol w:w="4500"/>
        <w:gridCol w:w="3360"/>
      </w:tblGrid>
      <w:tr>
        <w:trPr>
          <w:tblHeader w:val="true"/>
          <w:cantSplit/>
        </w:trPr>
        <w:tc>
          <w:tcPr>
            <w:tcW w:type="dxa" w:w="15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8"/>
              </w:rPr>
              <w:t>Pihak</w:t>
            </w:r>
          </w:p>
        </w:tc>
        <w:tc>
          <w:tcPr>
            <w:tcW w:type="dxa" w:w="45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8"/>
              </w:rPr>
              <w:t>Nilai utama</w:t>
            </w:r>
          </w:p>
        </w:tc>
        <w:tc>
          <w:tcPr>
            <w:tcW w:type="dxa" w:w="33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8"/>
              </w:rPr>
              <w:t>Hasil yang diharapkan</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334155"/>
                <w:sz w:val="18"/>
              </w:rPr>
              <w:t>Customer</w:t>
            </w:r>
          </w:p>
        </w:tc>
        <w:tc>
          <w:tcPr>
            <w:tcW w:type="dxa" w:w="4500"/>
            <w:tcMar>
              <w:top w:w="80" w:type="dxa"/>
              <w:start w:w="120" w:type="dxa"/>
              <w:bottom w:w="80" w:type="dxa"/>
              <w:end w:w="120" w:type="dxa"/>
            </w:tcMar>
            <w:vAlign w:val="center"/>
          </w:tcPr>
          <w:p>
            <w:pPr>
              <w:spacing w:after="0" w:line="252" w:lineRule="auto"/>
            </w:pPr>
            <w:r>
              <w:rPr>
                <w:rFonts w:ascii="Calibri" w:hAnsi="Calibri"/>
                <w:color w:val="334155"/>
                <w:sz w:val="18"/>
              </w:rPr>
              <w:t>Produk + home service terverifikasi, rekomendasi AI, tracking, transaksi terintegrasi.</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8"/>
              </w:rPr>
              <w:t>Pilihan lebih relevan, rasa aman, dan pengalaman end-to-end.</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334155"/>
                <w:sz w:val="18"/>
              </w:rPr>
              <w:t>Partner UMKM</w:t>
            </w:r>
          </w:p>
        </w:tc>
        <w:tc>
          <w:tcPr>
            <w:tcW w:type="dxa" w:w="4500"/>
            <w:tcMar>
              <w:top w:w="80" w:type="dxa"/>
              <w:start w:w="120" w:type="dxa"/>
              <w:bottom w:w="80" w:type="dxa"/>
              <w:end w:w="120" w:type="dxa"/>
            </w:tcMar>
            <w:vAlign w:val="center"/>
          </w:tcPr>
          <w:p>
            <w:pPr>
              <w:spacing w:after="0" w:line="252" w:lineRule="auto"/>
            </w:pPr>
            <w:r>
              <w:rPr>
                <w:rFonts w:ascii="Calibri" w:hAnsi="Calibri"/>
                <w:color w:val="334155"/>
                <w:sz w:val="18"/>
              </w:rPr>
              <w:t>Kanal penjualan, katalog, dashboard, profesional, fulfillment, dan AI insight.</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8"/>
              </w:rPr>
              <w:t>Lebih banyak demand dan keputusan bisnis berbasis data.</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334155"/>
                <w:sz w:val="18"/>
              </w:rPr>
              <w:t>Profesional</w:t>
            </w:r>
          </w:p>
        </w:tc>
        <w:tc>
          <w:tcPr>
            <w:tcW w:type="dxa" w:w="4500"/>
            <w:tcMar>
              <w:top w:w="80" w:type="dxa"/>
              <w:start w:w="120" w:type="dxa"/>
              <w:bottom w:w="80" w:type="dxa"/>
              <w:end w:w="120" w:type="dxa"/>
            </w:tcMar>
            <w:vAlign w:val="center"/>
          </w:tcPr>
          <w:p>
            <w:pPr>
              <w:spacing w:after="0" w:line="252" w:lineRule="auto"/>
            </w:pPr>
            <w:r>
              <w:rPr>
                <w:rFonts w:ascii="Calibri" w:hAnsi="Calibri"/>
                <w:color w:val="334155"/>
                <w:sz w:val="18"/>
              </w:rPr>
              <w:t>Akses booking tanpa tempat fisik, jadwal, area layanan, reputasi, dan payout.</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8"/>
              </w:rPr>
              <w:t>Utilisasi waktu dan pendapatan meningkat.</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334155"/>
                <w:sz w:val="18"/>
              </w:rPr>
              <w:t>Platform</w:t>
            </w:r>
          </w:p>
        </w:tc>
        <w:tc>
          <w:tcPr>
            <w:tcW w:type="dxa" w:w="4500"/>
            <w:tcMar>
              <w:top w:w="80" w:type="dxa"/>
              <w:start w:w="120" w:type="dxa"/>
              <w:bottom w:w="80" w:type="dxa"/>
              <w:end w:w="120" w:type="dxa"/>
            </w:tcMar>
            <w:vAlign w:val="center"/>
          </w:tcPr>
          <w:p>
            <w:pPr>
              <w:spacing w:after="0" w:line="252" w:lineRule="auto"/>
            </w:pPr>
            <w:r>
              <w:rPr>
                <w:rFonts w:ascii="Calibri" w:hAnsi="Calibri"/>
                <w:color w:val="334155"/>
                <w:sz w:val="18"/>
              </w:rPr>
              <w:t>Komisi 10%, data marketplace, repeat purchase, dan supply network.</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8"/>
              </w:rPr>
              <w:t>Pertumbuhan GMV dan ekosistem beauty yang defensible.</w:t>
            </w:r>
          </w:p>
        </w:tc>
      </w:tr>
    </w:tbl>
    <w:p>
      <w:pPr>
        <w:spacing w:after="40"/>
      </w:pPr>
    </w:p>
    <w:p>
      <w:pPr>
        <w:pStyle w:val="Heading2"/>
        <w:keepNext/>
      </w:pPr>
      <w:r>
        <w:rPr>
          <w:rFonts w:ascii="Calibri" w:hAnsi="Calibri"/>
          <w:b/>
          <w:color w:val="4F46E5"/>
          <w:sz w:val="26"/>
        </w:rPr>
        <w:t>2. Model bisnis dan prinsip finansial</w:t>
      </w:r>
    </w:p>
    <w:p>
      <w:pPr>
        <w:spacing w:after="120" w:line="264" w:lineRule="auto"/>
      </w:pPr>
      <w:r>
        <w:rPr>
          <w:rFonts w:ascii="Calibri" w:hAnsi="Calibri"/>
          <w:i w:val="0"/>
          <w:color w:val="334155"/>
          <w:sz w:val="22"/>
        </w:rPr>
        <w:t>Model transaksi Yoru harus menggunakan ledger internal yang dapat diaudit. Payment status, order status, dan payout status tidak boleh digabung menjadi satu field karena masing-masing memiliki lifecycle berbeda.</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800"/>
        <w:gridCol w:w="3000"/>
        <w:gridCol w:w="4560"/>
      </w:tblGrid>
      <w:tr>
        <w:trPr>
          <w:tblHeader w:val="true"/>
          <w:cantSplit/>
        </w:trPr>
        <w:tc>
          <w:tcPr>
            <w:tcW w:type="dxa" w:w="18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8"/>
              </w:rPr>
              <w:t>Komponen</w:t>
            </w:r>
          </w:p>
        </w:tc>
        <w:tc>
          <w:tcPr>
            <w:tcW w:type="dxa" w:w="30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8"/>
              </w:rPr>
              <w:t>Usulan baseline</w:t>
            </w:r>
          </w:p>
        </w:tc>
        <w:tc>
          <w:tcPr>
            <w:tcW w:type="dxa" w:w="45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8"/>
              </w:rPr>
              <w:t>Catatan keputusan</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8"/>
              </w:rPr>
              <w:t>Komisi platform</w:t>
            </w:r>
          </w:p>
        </w:tc>
        <w:tc>
          <w:tcPr>
            <w:tcW w:type="dxa" w:w="3000"/>
            <w:tcMar>
              <w:top w:w="80" w:type="dxa"/>
              <w:start w:w="120" w:type="dxa"/>
              <w:bottom w:w="80" w:type="dxa"/>
              <w:end w:w="120" w:type="dxa"/>
            </w:tcMar>
            <w:vAlign w:val="center"/>
          </w:tcPr>
          <w:p>
            <w:pPr>
              <w:spacing w:after="0" w:line="252" w:lineRule="auto"/>
            </w:pPr>
            <w:r>
              <w:rPr>
                <w:rFonts w:ascii="Calibri" w:hAnsi="Calibri"/>
                <w:color w:val="334155"/>
                <w:sz w:val="18"/>
              </w:rPr>
              <w:t>10% dari eligible subtotal.</w:t>
            </w:r>
          </w:p>
        </w:tc>
        <w:tc>
          <w:tcPr>
            <w:tcW w:type="dxa" w:w="4560"/>
            <w:tcMar>
              <w:top w:w="80" w:type="dxa"/>
              <w:start w:w="120" w:type="dxa"/>
              <w:bottom w:w="80" w:type="dxa"/>
              <w:end w:w="120" w:type="dxa"/>
            </w:tcMar>
            <w:vAlign w:val="center"/>
          </w:tcPr>
          <w:p>
            <w:pPr>
              <w:spacing w:after="0" w:line="252" w:lineRule="auto"/>
            </w:pPr>
            <w:r>
              <w:rPr>
                <w:rFonts w:ascii="Calibri" w:hAnsi="Calibri"/>
                <w:color w:val="334155"/>
                <w:sz w:val="18"/>
              </w:rPr>
              <w:t>Kunci dasar pengenaan komisi dan penanganan diskon.</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8"/>
              </w:rPr>
              <w:t>Payment gateway fee</w:t>
            </w:r>
          </w:p>
        </w:tc>
        <w:tc>
          <w:tcPr>
            <w:tcW w:type="dxa" w:w="3000"/>
            <w:tcMar>
              <w:top w:w="80" w:type="dxa"/>
              <w:start w:w="120" w:type="dxa"/>
              <w:bottom w:w="80" w:type="dxa"/>
              <w:end w:w="120" w:type="dxa"/>
            </w:tcMar>
            <w:vAlign w:val="center"/>
          </w:tcPr>
          <w:p>
            <w:pPr>
              <w:spacing w:after="0" w:line="252" w:lineRule="auto"/>
            </w:pPr>
            <w:r>
              <w:rPr>
                <w:rFonts w:ascii="Calibri" w:hAnsi="Calibri"/>
                <w:color w:val="334155"/>
                <w:sz w:val="18"/>
              </w:rPr>
              <w:t>Ditampilkan terpisah pada ledger.</w:t>
            </w:r>
          </w:p>
        </w:tc>
        <w:tc>
          <w:tcPr>
            <w:tcW w:type="dxa" w:w="4560"/>
            <w:tcMar>
              <w:top w:w="80" w:type="dxa"/>
              <w:start w:w="120" w:type="dxa"/>
              <w:bottom w:w="80" w:type="dxa"/>
              <w:end w:w="120" w:type="dxa"/>
            </w:tcMar>
            <w:vAlign w:val="center"/>
          </w:tcPr>
          <w:p>
            <w:pPr>
              <w:spacing w:after="0" w:line="252" w:lineRule="auto"/>
            </w:pPr>
            <w:r>
              <w:rPr>
                <w:rFonts w:ascii="Calibri" w:hAnsi="Calibri"/>
                <w:color w:val="334155"/>
                <w:sz w:val="18"/>
              </w:rPr>
              <w:t>Tentukan ditanggung platform, partner, atau customer.</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8"/>
              </w:rPr>
              <w:t>Ongkir / travel fee</w:t>
            </w:r>
          </w:p>
        </w:tc>
        <w:tc>
          <w:tcPr>
            <w:tcW w:type="dxa" w:w="3000"/>
            <w:tcMar>
              <w:top w:w="80" w:type="dxa"/>
              <w:start w:w="120" w:type="dxa"/>
              <w:bottom w:w="80" w:type="dxa"/>
              <w:end w:w="120" w:type="dxa"/>
            </w:tcMar>
            <w:vAlign w:val="center"/>
          </w:tcPr>
          <w:p>
            <w:pPr>
              <w:spacing w:after="0" w:line="252" w:lineRule="auto"/>
            </w:pPr>
            <w:r>
              <w:rPr>
                <w:rFonts w:ascii="Calibri" w:hAnsi="Calibri"/>
                <w:color w:val="334155"/>
                <w:sz w:val="18"/>
              </w:rPr>
              <w:t>Di luar basis komisi.</w:t>
            </w:r>
          </w:p>
        </w:tc>
        <w:tc>
          <w:tcPr>
            <w:tcW w:type="dxa" w:w="4560"/>
            <w:tcMar>
              <w:top w:w="80" w:type="dxa"/>
              <w:start w:w="120" w:type="dxa"/>
              <w:bottom w:w="80" w:type="dxa"/>
              <w:end w:w="120" w:type="dxa"/>
            </w:tcMar>
            <w:vAlign w:val="center"/>
          </w:tcPr>
          <w:p>
            <w:pPr>
              <w:spacing w:after="0" w:line="252" w:lineRule="auto"/>
            </w:pPr>
            <w:r>
              <w:rPr>
                <w:rFonts w:ascii="Calibri" w:hAnsi="Calibri"/>
                <w:color w:val="334155"/>
                <w:sz w:val="18"/>
              </w:rPr>
              <w:t>Travel fee dapat dibagi ke profesional sesuai aturan.</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8"/>
              </w:rPr>
              <w:t>Tip</w:t>
            </w:r>
          </w:p>
        </w:tc>
        <w:tc>
          <w:tcPr>
            <w:tcW w:type="dxa" w:w="3000"/>
            <w:tcMar>
              <w:top w:w="80" w:type="dxa"/>
              <w:start w:w="120" w:type="dxa"/>
              <w:bottom w:w="80" w:type="dxa"/>
              <w:end w:w="120" w:type="dxa"/>
            </w:tcMar>
            <w:vAlign w:val="center"/>
          </w:tcPr>
          <w:p>
            <w:pPr>
              <w:spacing w:after="0" w:line="252" w:lineRule="auto"/>
            </w:pPr>
            <w:r>
              <w:rPr>
                <w:rFonts w:ascii="Calibri" w:hAnsi="Calibri"/>
                <w:color w:val="334155"/>
                <w:sz w:val="18"/>
              </w:rPr>
              <w:t>100% untuk profesional, di luar komisi.</w:t>
            </w:r>
          </w:p>
        </w:tc>
        <w:tc>
          <w:tcPr>
            <w:tcW w:type="dxa" w:w="4560"/>
            <w:tcMar>
              <w:top w:w="80" w:type="dxa"/>
              <w:start w:w="120" w:type="dxa"/>
              <w:bottom w:w="80" w:type="dxa"/>
              <w:end w:w="120" w:type="dxa"/>
            </w:tcMar>
            <w:vAlign w:val="center"/>
          </w:tcPr>
          <w:p>
            <w:pPr>
              <w:spacing w:after="0" w:line="252" w:lineRule="auto"/>
            </w:pPr>
            <w:r>
              <w:rPr>
                <w:rFonts w:ascii="Calibri" w:hAnsi="Calibri"/>
                <w:color w:val="334155"/>
                <w:sz w:val="18"/>
              </w:rPr>
              <w:t>Butuh dukungan payout dan pelaporan.</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8"/>
              </w:rPr>
              <w:t>Refund</w:t>
            </w:r>
          </w:p>
        </w:tc>
        <w:tc>
          <w:tcPr>
            <w:tcW w:type="dxa" w:w="3000"/>
            <w:tcMar>
              <w:top w:w="80" w:type="dxa"/>
              <w:start w:w="120" w:type="dxa"/>
              <w:bottom w:w="80" w:type="dxa"/>
              <w:end w:w="120" w:type="dxa"/>
            </w:tcMar>
            <w:vAlign w:val="center"/>
          </w:tcPr>
          <w:p>
            <w:pPr>
              <w:spacing w:after="0" w:line="252" w:lineRule="auto"/>
            </w:pPr>
            <w:r>
              <w:rPr>
                <w:rFonts w:ascii="Calibri" w:hAnsi="Calibri"/>
                <w:color w:val="334155"/>
                <w:sz w:val="18"/>
              </w:rPr>
              <w:t>Reverse ledger secara proporsional.</w:t>
            </w:r>
          </w:p>
        </w:tc>
        <w:tc>
          <w:tcPr>
            <w:tcW w:type="dxa" w:w="4560"/>
            <w:tcMar>
              <w:top w:w="80" w:type="dxa"/>
              <w:start w:w="120" w:type="dxa"/>
              <w:bottom w:w="80" w:type="dxa"/>
              <w:end w:w="120" w:type="dxa"/>
            </w:tcMar>
            <w:vAlign w:val="center"/>
          </w:tcPr>
          <w:p>
            <w:pPr>
              <w:spacing w:after="0" w:line="252" w:lineRule="auto"/>
            </w:pPr>
            <w:r>
              <w:rPr>
                <w:rFonts w:ascii="Calibri" w:hAnsi="Calibri"/>
                <w:color w:val="334155"/>
                <w:sz w:val="18"/>
              </w:rPr>
              <w:t>Refund parsial dan no-show perlu formula eksplisit.</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8"/>
              </w:rPr>
              <w:t>Payout</w:t>
            </w:r>
          </w:p>
        </w:tc>
        <w:tc>
          <w:tcPr>
            <w:tcW w:type="dxa" w:w="3000"/>
            <w:tcMar>
              <w:top w:w="80" w:type="dxa"/>
              <w:start w:w="120" w:type="dxa"/>
              <w:bottom w:w="80" w:type="dxa"/>
              <w:end w:w="120" w:type="dxa"/>
            </w:tcMar>
            <w:vAlign w:val="center"/>
          </w:tcPr>
          <w:p>
            <w:pPr>
              <w:spacing w:after="0" w:line="252" w:lineRule="auto"/>
            </w:pPr>
            <w:r>
              <w:rPr>
                <w:rFonts w:ascii="Calibri" w:hAnsi="Calibri"/>
                <w:color w:val="334155"/>
                <w:sz w:val="18"/>
              </w:rPr>
              <w:t>T+N setelah order/booking selesai dan masa sengketa.</w:t>
            </w:r>
          </w:p>
        </w:tc>
        <w:tc>
          <w:tcPr>
            <w:tcW w:type="dxa" w:w="4560"/>
            <w:tcMar>
              <w:top w:w="80" w:type="dxa"/>
              <w:start w:w="120" w:type="dxa"/>
              <w:bottom w:w="80" w:type="dxa"/>
              <w:end w:w="120" w:type="dxa"/>
            </w:tcMar>
            <w:vAlign w:val="center"/>
          </w:tcPr>
          <w:p>
            <w:pPr>
              <w:spacing w:after="0" w:line="252" w:lineRule="auto"/>
            </w:pPr>
            <w:r>
              <w:rPr>
                <w:rFonts w:ascii="Calibri" w:hAnsi="Calibri"/>
                <w:color w:val="334155"/>
                <w:sz w:val="18"/>
              </w:rPr>
              <w:t>Gunakan provider marketplace/disbursement; jangan membuat wallet tanpa review regulasi.</w:t>
            </w:r>
          </w:p>
        </w:tc>
      </w:tr>
    </w:tbl>
    <w:p>
      <w:pPr>
        <w:spacing w:after="40"/>
      </w:pPr>
    </w:p>
    <w:p>
      <w:pPr>
        <w:spacing w:after="120" w:line="264" w:lineRule="auto"/>
      </w:pPr>
      <w:r>
        <w:rPr>
          <w:rFonts w:ascii="Calibri" w:hAnsi="Calibri"/>
          <w:i w:val="0"/>
          <w:color w:val="334155"/>
          <w:sz w:val="22"/>
        </w:rPr>
        <w:t>Formula usulan: net payout = eligible subtotal - platform commission - partner-funded discount - allocated gateway fee - refunds - adjustments + tip + partner shipping/travel allocation. Semua komponen disimpan sebagai immutable ledger entries dan dikoreksi dengan reversal, bukan mengubah riwayat.</w:t>
      </w:r>
    </w:p>
    <w:p>
      <w:pPr>
        <w:pStyle w:val="Heading2"/>
        <w:keepNext/>
      </w:pPr>
      <w:r>
        <w:rPr>
          <w:rFonts w:ascii="Calibri" w:hAnsi="Calibri"/>
          <w:b/>
          <w:color w:val="4F46E5"/>
          <w:sz w:val="26"/>
        </w:rPr>
        <w:t>3. Aktor, role, dan tenancy</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900"/>
        <w:gridCol w:w="3000"/>
        <w:gridCol w:w="4460"/>
      </w:tblGrid>
      <w:tr>
        <w:trPr>
          <w:tblHeader w:val="true"/>
          <w:cantSplit/>
        </w:trPr>
        <w:tc>
          <w:tcPr>
            <w:tcW w:type="dxa" w:w="19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Aktor / role</w:t>
            </w:r>
          </w:p>
        </w:tc>
        <w:tc>
          <w:tcPr>
            <w:tcW w:type="dxa" w:w="30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Scope akses</w:t>
            </w:r>
          </w:p>
        </w:tc>
        <w:tc>
          <w:tcPr>
            <w:tcW w:type="dxa" w:w="44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Tanggung jawab utama</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7"/>
              </w:rPr>
              <w:t>Customer</w:t>
            </w:r>
          </w:p>
        </w:tc>
        <w:tc>
          <w:tcPr>
            <w:tcW w:type="dxa" w:w="3000"/>
            <w:tcMar>
              <w:top w:w="80" w:type="dxa"/>
              <w:start w:w="120" w:type="dxa"/>
              <w:bottom w:w="80" w:type="dxa"/>
              <w:end w:w="120" w:type="dxa"/>
            </w:tcMar>
            <w:vAlign w:val="center"/>
          </w:tcPr>
          <w:p>
            <w:pPr>
              <w:spacing w:after="0" w:line="252" w:lineRule="auto"/>
            </w:pPr>
            <w:r>
              <w:rPr>
                <w:rFonts w:ascii="Calibri" w:hAnsi="Calibri"/>
                <w:color w:val="334155"/>
                <w:sz w:val="17"/>
              </w:rPr>
              <w:t>Akun dan transaksi sendiri.</w:t>
            </w:r>
          </w:p>
        </w:tc>
        <w:tc>
          <w:tcPr>
            <w:tcW w:type="dxa" w:w="4460"/>
            <w:tcMar>
              <w:top w:w="80" w:type="dxa"/>
              <w:start w:w="120" w:type="dxa"/>
              <w:bottom w:w="80" w:type="dxa"/>
              <w:end w:w="120" w:type="dxa"/>
            </w:tcMar>
            <w:vAlign w:val="center"/>
          </w:tcPr>
          <w:p>
            <w:pPr>
              <w:spacing w:after="0" w:line="252" w:lineRule="auto"/>
            </w:pPr>
            <w:r>
              <w:rPr>
                <w:rFonts w:ascii="Calibri" w:hAnsi="Calibri"/>
                <w:color w:val="334155"/>
                <w:sz w:val="17"/>
              </w:rPr>
              <w:t>Belanja, booking, AI assistant, tracking, review, dispute.</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7"/>
              </w:rPr>
              <w:t>Partner Owner</w:t>
            </w:r>
          </w:p>
        </w:tc>
        <w:tc>
          <w:tcPr>
            <w:tcW w:type="dxa" w:w="3000"/>
            <w:tcMar>
              <w:top w:w="80" w:type="dxa"/>
              <w:start w:w="120" w:type="dxa"/>
              <w:bottom w:w="80" w:type="dxa"/>
              <w:end w:w="120" w:type="dxa"/>
            </w:tcMar>
            <w:vAlign w:val="center"/>
          </w:tcPr>
          <w:p>
            <w:pPr>
              <w:spacing w:after="0" w:line="252" w:lineRule="auto"/>
            </w:pPr>
            <w:r>
              <w:rPr>
                <w:rFonts w:ascii="Calibri" w:hAnsi="Calibri"/>
                <w:color w:val="334155"/>
                <w:sz w:val="17"/>
              </w:rPr>
              <w:t>Seluruh data organisasi partner.</w:t>
            </w:r>
          </w:p>
        </w:tc>
        <w:tc>
          <w:tcPr>
            <w:tcW w:type="dxa" w:w="4460"/>
            <w:tcMar>
              <w:top w:w="80" w:type="dxa"/>
              <w:start w:w="120" w:type="dxa"/>
              <w:bottom w:w="80" w:type="dxa"/>
              <w:end w:w="120" w:type="dxa"/>
            </w:tcMar>
            <w:vAlign w:val="center"/>
          </w:tcPr>
          <w:p>
            <w:pPr>
              <w:spacing w:after="0" w:line="252" w:lineRule="auto"/>
            </w:pPr>
            <w:r>
              <w:rPr>
                <w:rFonts w:ascii="Calibri" w:hAnsi="Calibri"/>
                <w:color w:val="334155"/>
                <w:sz w:val="17"/>
              </w:rPr>
              <w:t>Katalog, service, staff, finance, payout, analytics.</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7"/>
              </w:rPr>
              <w:t>Partner Admin</w:t>
            </w:r>
          </w:p>
        </w:tc>
        <w:tc>
          <w:tcPr>
            <w:tcW w:type="dxa" w:w="3000"/>
            <w:tcMar>
              <w:top w:w="80" w:type="dxa"/>
              <w:start w:w="120" w:type="dxa"/>
              <w:bottom w:w="80" w:type="dxa"/>
              <w:end w:w="120" w:type="dxa"/>
            </w:tcMar>
            <w:vAlign w:val="center"/>
          </w:tcPr>
          <w:p>
            <w:pPr>
              <w:spacing w:after="0" w:line="252" w:lineRule="auto"/>
            </w:pPr>
            <w:r>
              <w:rPr>
                <w:rFonts w:ascii="Calibri" w:hAnsi="Calibri"/>
                <w:color w:val="334155"/>
                <w:sz w:val="17"/>
              </w:rPr>
              <w:t>Sesuai permission partner.</w:t>
            </w:r>
          </w:p>
        </w:tc>
        <w:tc>
          <w:tcPr>
            <w:tcW w:type="dxa" w:w="4460"/>
            <w:tcMar>
              <w:top w:w="80" w:type="dxa"/>
              <w:start w:w="120" w:type="dxa"/>
              <w:bottom w:w="80" w:type="dxa"/>
              <w:end w:w="120" w:type="dxa"/>
            </w:tcMar>
            <w:vAlign w:val="center"/>
          </w:tcPr>
          <w:p>
            <w:pPr>
              <w:spacing w:after="0" w:line="252" w:lineRule="auto"/>
            </w:pPr>
            <w:r>
              <w:rPr>
                <w:rFonts w:ascii="Calibri" w:hAnsi="Calibri"/>
                <w:color w:val="334155"/>
                <w:sz w:val="17"/>
              </w:rPr>
              <w:t>Operasi harian, catalog, order, booking, professional.</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7"/>
              </w:rPr>
              <w:t>Partner Finance</w:t>
            </w:r>
          </w:p>
        </w:tc>
        <w:tc>
          <w:tcPr>
            <w:tcW w:type="dxa" w:w="3000"/>
            <w:tcMar>
              <w:top w:w="80" w:type="dxa"/>
              <w:start w:w="120" w:type="dxa"/>
              <w:bottom w:w="80" w:type="dxa"/>
              <w:end w:w="120" w:type="dxa"/>
            </w:tcMar>
            <w:vAlign w:val="center"/>
          </w:tcPr>
          <w:p>
            <w:pPr>
              <w:spacing w:after="0" w:line="252" w:lineRule="auto"/>
            </w:pPr>
            <w:r>
              <w:rPr>
                <w:rFonts w:ascii="Calibri" w:hAnsi="Calibri"/>
                <w:color w:val="334155"/>
                <w:sz w:val="17"/>
              </w:rPr>
              <w:t>Ledger, settlement, payout.</w:t>
            </w:r>
          </w:p>
        </w:tc>
        <w:tc>
          <w:tcPr>
            <w:tcW w:type="dxa" w:w="4460"/>
            <w:tcMar>
              <w:top w:w="80" w:type="dxa"/>
              <w:start w:w="120" w:type="dxa"/>
              <w:bottom w:w="80" w:type="dxa"/>
              <w:end w:w="120" w:type="dxa"/>
            </w:tcMar>
            <w:vAlign w:val="center"/>
          </w:tcPr>
          <w:p>
            <w:pPr>
              <w:spacing w:after="0" w:line="252" w:lineRule="auto"/>
            </w:pPr>
            <w:r>
              <w:rPr>
                <w:rFonts w:ascii="Calibri" w:hAnsi="Calibri"/>
                <w:color w:val="334155"/>
                <w:sz w:val="17"/>
              </w:rPr>
              <w:t>Rekonsiliasi dan pelaporan.</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7"/>
              </w:rPr>
              <w:t>Professional</w:t>
            </w:r>
          </w:p>
        </w:tc>
        <w:tc>
          <w:tcPr>
            <w:tcW w:type="dxa" w:w="3000"/>
            <w:tcMar>
              <w:top w:w="80" w:type="dxa"/>
              <w:start w:w="120" w:type="dxa"/>
              <w:bottom w:w="80" w:type="dxa"/>
              <w:end w:w="120" w:type="dxa"/>
            </w:tcMar>
            <w:vAlign w:val="center"/>
          </w:tcPr>
          <w:p>
            <w:pPr>
              <w:spacing w:after="0" w:line="252" w:lineRule="auto"/>
            </w:pPr>
            <w:r>
              <w:rPr>
                <w:rFonts w:ascii="Calibri" w:hAnsi="Calibri"/>
                <w:color w:val="334155"/>
                <w:sz w:val="17"/>
              </w:rPr>
              <w:t>Profil dan job yang ditugaskan.</w:t>
            </w:r>
          </w:p>
        </w:tc>
        <w:tc>
          <w:tcPr>
            <w:tcW w:type="dxa" w:w="4460"/>
            <w:tcMar>
              <w:top w:w="80" w:type="dxa"/>
              <w:start w:w="120" w:type="dxa"/>
              <w:bottom w:w="80" w:type="dxa"/>
              <w:end w:w="120" w:type="dxa"/>
            </w:tcMar>
            <w:vAlign w:val="center"/>
          </w:tcPr>
          <w:p>
            <w:pPr>
              <w:spacing w:after="0" w:line="252" w:lineRule="auto"/>
            </w:pPr>
            <w:r>
              <w:rPr>
                <w:rFonts w:ascii="Calibri" w:hAnsi="Calibri"/>
                <w:color w:val="334155"/>
                <w:sz w:val="17"/>
              </w:rPr>
              <w:t>Availability, accept job, journey, service completion.</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7"/>
              </w:rPr>
              <w:t>Platform Super Admin</w:t>
            </w:r>
          </w:p>
        </w:tc>
        <w:tc>
          <w:tcPr>
            <w:tcW w:type="dxa" w:w="3000"/>
            <w:tcMar>
              <w:top w:w="80" w:type="dxa"/>
              <w:start w:w="120" w:type="dxa"/>
              <w:bottom w:w="80" w:type="dxa"/>
              <w:end w:w="120" w:type="dxa"/>
            </w:tcMar>
            <w:vAlign w:val="center"/>
          </w:tcPr>
          <w:p>
            <w:pPr>
              <w:spacing w:after="0" w:line="252" w:lineRule="auto"/>
            </w:pPr>
            <w:r>
              <w:rPr>
                <w:rFonts w:ascii="Calibri" w:hAnsi="Calibri"/>
                <w:color w:val="334155"/>
                <w:sz w:val="17"/>
              </w:rPr>
              <w:t>Seluruh tenant; akses break-glass tercatat.</w:t>
            </w:r>
          </w:p>
        </w:tc>
        <w:tc>
          <w:tcPr>
            <w:tcW w:type="dxa" w:w="4460"/>
            <w:tcMar>
              <w:top w:w="80" w:type="dxa"/>
              <w:start w:w="120" w:type="dxa"/>
              <w:bottom w:w="80" w:type="dxa"/>
              <w:end w:w="120" w:type="dxa"/>
            </w:tcMar>
            <w:vAlign w:val="center"/>
          </w:tcPr>
          <w:p>
            <w:pPr>
              <w:spacing w:after="0" w:line="252" w:lineRule="auto"/>
            </w:pPr>
            <w:r>
              <w:rPr>
                <w:rFonts w:ascii="Calibri" w:hAnsi="Calibri"/>
                <w:color w:val="334155"/>
                <w:sz w:val="17"/>
              </w:rPr>
              <w:t>Konfigurasi, akses admin, kebijakan, incident handling.</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7"/>
              </w:rPr>
              <w:t>Verifier / Moderator</w:t>
            </w:r>
          </w:p>
        </w:tc>
        <w:tc>
          <w:tcPr>
            <w:tcW w:type="dxa" w:w="3000"/>
            <w:tcMar>
              <w:top w:w="80" w:type="dxa"/>
              <w:start w:w="120" w:type="dxa"/>
              <w:bottom w:w="80" w:type="dxa"/>
              <w:end w:w="120" w:type="dxa"/>
            </w:tcMar>
            <w:vAlign w:val="center"/>
          </w:tcPr>
          <w:p>
            <w:pPr>
              <w:spacing w:after="0" w:line="252" w:lineRule="auto"/>
            </w:pPr>
            <w:r>
              <w:rPr>
                <w:rFonts w:ascii="Calibri" w:hAnsi="Calibri"/>
                <w:color w:val="334155"/>
                <w:sz w:val="17"/>
              </w:rPr>
              <w:t>Queue verifikasi atau konten.</w:t>
            </w:r>
          </w:p>
        </w:tc>
        <w:tc>
          <w:tcPr>
            <w:tcW w:type="dxa" w:w="4460"/>
            <w:tcMar>
              <w:top w:w="80" w:type="dxa"/>
              <w:start w:w="120" w:type="dxa"/>
              <w:bottom w:w="80" w:type="dxa"/>
              <w:end w:w="120" w:type="dxa"/>
            </w:tcMar>
            <w:vAlign w:val="center"/>
          </w:tcPr>
          <w:p>
            <w:pPr>
              <w:spacing w:after="0" w:line="252" w:lineRule="auto"/>
            </w:pPr>
            <w:r>
              <w:rPr>
                <w:rFonts w:ascii="Calibri" w:hAnsi="Calibri"/>
                <w:color w:val="334155"/>
                <w:sz w:val="17"/>
              </w:rPr>
              <w:t>KYB/KYC, credential, product/service moderation.</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7"/>
              </w:rPr>
              <w:t>Support / Finance Ops</w:t>
            </w:r>
          </w:p>
        </w:tc>
        <w:tc>
          <w:tcPr>
            <w:tcW w:type="dxa" w:w="3000"/>
            <w:tcMar>
              <w:top w:w="80" w:type="dxa"/>
              <w:start w:w="120" w:type="dxa"/>
              <w:bottom w:w="80" w:type="dxa"/>
              <w:end w:w="120" w:type="dxa"/>
            </w:tcMar>
            <w:vAlign w:val="center"/>
          </w:tcPr>
          <w:p>
            <w:pPr>
              <w:spacing w:after="0" w:line="252" w:lineRule="auto"/>
            </w:pPr>
            <w:r>
              <w:rPr>
                <w:rFonts w:ascii="Calibri" w:hAnsi="Calibri"/>
                <w:color w:val="334155"/>
                <w:sz w:val="17"/>
              </w:rPr>
              <w:t>Kasus minimum sesuai job function.</w:t>
            </w:r>
          </w:p>
        </w:tc>
        <w:tc>
          <w:tcPr>
            <w:tcW w:type="dxa" w:w="4460"/>
            <w:tcMar>
              <w:top w:w="80" w:type="dxa"/>
              <w:start w:w="120" w:type="dxa"/>
              <w:bottom w:w="80" w:type="dxa"/>
              <w:end w:w="120" w:type="dxa"/>
            </w:tcMar>
            <w:vAlign w:val="center"/>
          </w:tcPr>
          <w:p>
            <w:pPr>
              <w:spacing w:after="0" w:line="252" w:lineRule="auto"/>
            </w:pPr>
            <w:r>
              <w:rPr>
                <w:rFonts w:ascii="Calibri" w:hAnsi="Calibri"/>
                <w:color w:val="334155"/>
                <w:sz w:val="17"/>
              </w:rPr>
              <w:t>Dispute, refund, payout, customer support.</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EEF2FF"/>
          <w:left w:val="single" w:sz="8" w:space="0" w:color="EEF2FF"/>
          <w:bottom w:val="single" w:sz="8" w:space="0" w:color="EEF2FF"/>
          <w:right w:val="single" w:sz="8" w:space="0" w:color="EEF2FF"/>
          <w:insideH w:val="single" w:sz="8" w:space="0" w:color="EEF2FF"/>
          <w:insideV w:val="single" w:sz="8" w:space="0" w:color="EEF2FF"/>
        </w:tblBorders>
      </w:tblPr>
      <w:tblGrid>
        <w:gridCol w:w="9360"/>
      </w:tblGrid>
      <w:tr>
        <w:tc>
          <w:tcPr>
            <w:tcW w:type="dxa" w:w="9360"/>
            <w:tcMar>
              <w:top w:w="80" w:type="dxa"/>
              <w:start w:w="120" w:type="dxa"/>
              <w:bottom w:w="80" w:type="dxa"/>
              <w:end w:w="120" w:type="dxa"/>
            </w:tcMar>
            <w:vAlign w:val="center"/>
            <w:shd w:fill="EEF2FF"/>
          </w:tcPr>
          <w:p>
            <w:pPr>
              <w:spacing w:after="0" w:line="264" w:lineRule="auto"/>
            </w:pPr>
            <w:r>
              <w:rPr>
                <w:rFonts w:ascii="Calibri" w:hAnsi="Calibri"/>
                <w:b/>
                <w:color w:val="3730A3"/>
                <w:sz w:val="22"/>
              </w:rPr>
              <w:t xml:space="preserve">Prinsip tenancy. </w:t>
            </w:r>
            <w:r>
              <w:rPr>
                <w:rFonts w:ascii="Calibri" w:hAnsi="Calibri"/>
                <w:color w:val="172033"/>
                <w:sz w:val="22"/>
              </w:rPr>
              <w:t>partner_id menjadi batas organisasi pada PostgreSQL, Redis, object storage path, dan payload Qdrant. Role menentukan apa yang boleh dilakukan; tenant dan ownership menentukan data mana yang boleh disentuh.</w:t>
            </w:r>
          </w:p>
        </w:tc>
      </w:tr>
    </w:tbl>
    <w:p>
      <w:pPr>
        <w:spacing w:after="40"/>
      </w:pPr>
    </w:p>
    <w:p>
      <w:pPr>
        <w:pStyle w:val="Heading2"/>
        <w:keepNext/>
      </w:pPr>
      <w:r>
        <w:rPr>
          <w:rFonts w:ascii="Calibri" w:hAnsi="Calibri"/>
          <w:b/>
          <w:color w:val="4F46E5"/>
          <w:sz w:val="26"/>
        </w:rPr>
        <w:t>4. Domain map dan permukaan aplikasi</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800"/>
        <w:gridCol w:w="1800"/>
        <w:gridCol w:w="3760"/>
        <w:gridCol w:w="2000"/>
      </w:tblGrid>
      <w:tr>
        <w:trPr>
          <w:tblHeader w:val="true"/>
          <w:cantSplit/>
        </w:trPr>
        <w:tc>
          <w:tcPr>
            <w:tcW w:type="dxa" w:w="18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8"/>
              </w:rPr>
              <w:t>Permukaan</w:t>
            </w:r>
          </w:p>
        </w:tc>
        <w:tc>
          <w:tcPr>
            <w:tcW w:type="dxa" w:w="18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8"/>
              </w:rPr>
              <w:t>Pengguna</w:t>
            </w:r>
          </w:p>
        </w:tc>
        <w:tc>
          <w:tcPr>
            <w:tcW w:type="dxa" w:w="37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8"/>
              </w:rPr>
              <w:t>Domain utama</w:t>
            </w:r>
          </w:p>
        </w:tc>
        <w:tc>
          <w:tcPr>
            <w:tcW w:type="dxa" w:w="20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8"/>
              </w:rPr>
              <w:t>Deployment</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8"/>
              </w:rPr>
              <w:t>Yoru Storefront</w:t>
            </w:r>
          </w:p>
        </w:tc>
        <w:tc>
          <w:tcPr>
            <w:tcW w:type="dxa" w:w="1800"/>
            <w:tcMar>
              <w:top w:w="80" w:type="dxa"/>
              <w:start w:w="120" w:type="dxa"/>
              <w:bottom w:w="80" w:type="dxa"/>
              <w:end w:w="120" w:type="dxa"/>
            </w:tcMar>
            <w:vAlign w:val="center"/>
          </w:tcPr>
          <w:p>
            <w:pPr>
              <w:spacing w:after="0" w:line="252" w:lineRule="auto"/>
            </w:pPr>
            <w:r>
              <w:rPr>
                <w:rFonts w:ascii="Calibri" w:hAnsi="Calibri"/>
                <w:color w:val="334155"/>
                <w:sz w:val="18"/>
              </w:rPr>
              <w:t>Customer / guest</w:t>
            </w:r>
          </w:p>
        </w:tc>
        <w:tc>
          <w:tcPr>
            <w:tcW w:type="dxa" w:w="3760"/>
            <w:tcMar>
              <w:top w:w="80" w:type="dxa"/>
              <w:start w:w="120" w:type="dxa"/>
              <w:bottom w:w="80" w:type="dxa"/>
              <w:end w:w="120" w:type="dxa"/>
            </w:tcMar>
            <w:vAlign w:val="center"/>
          </w:tcPr>
          <w:p>
            <w:pPr>
              <w:spacing w:after="0" w:line="252" w:lineRule="auto"/>
            </w:pPr>
            <w:r>
              <w:rPr>
                <w:rFonts w:ascii="Calibri" w:hAnsi="Calibri"/>
                <w:color w:val="334155"/>
                <w:sz w:val="18"/>
              </w:rPr>
              <w:t>Discovery, catalog, AI assistant, cart, checkout, booking, tracking, account.</w:t>
            </w:r>
          </w:p>
        </w:tc>
        <w:tc>
          <w:tcPr>
            <w:tcW w:type="dxa" w:w="2000"/>
            <w:tcMar>
              <w:top w:w="80" w:type="dxa"/>
              <w:start w:w="120" w:type="dxa"/>
              <w:bottom w:w="80" w:type="dxa"/>
              <w:end w:w="120" w:type="dxa"/>
            </w:tcMar>
            <w:vAlign w:val="center"/>
          </w:tcPr>
          <w:p>
            <w:pPr>
              <w:spacing w:after="0" w:line="252" w:lineRule="auto"/>
            </w:pPr>
            <w:r>
              <w:rPr>
                <w:rFonts w:ascii="Calibri" w:hAnsi="Calibri"/>
                <w:color w:val="334155"/>
                <w:sz w:val="18"/>
              </w:rPr>
              <w:t>Aplikasi Next.js terpisah; mobile-first, SEO, PWA opsional.</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8"/>
              </w:rPr>
              <w:t>Yoru Console</w:t>
            </w:r>
          </w:p>
        </w:tc>
        <w:tc>
          <w:tcPr>
            <w:tcW w:type="dxa" w:w="1800"/>
            <w:tcMar>
              <w:top w:w="80" w:type="dxa"/>
              <w:start w:w="120" w:type="dxa"/>
              <w:bottom w:w="80" w:type="dxa"/>
              <w:end w:w="120" w:type="dxa"/>
            </w:tcMar>
            <w:vAlign w:val="center"/>
          </w:tcPr>
          <w:p>
            <w:pPr>
              <w:spacing w:after="0" w:line="252" w:lineRule="auto"/>
            </w:pPr>
            <w:r>
              <w:rPr>
                <w:rFonts w:ascii="Calibri" w:hAnsi="Calibri"/>
                <w:color w:val="334155"/>
                <w:sz w:val="18"/>
              </w:rPr>
              <w:t>Admin, partner, professional</w:t>
            </w:r>
          </w:p>
        </w:tc>
        <w:tc>
          <w:tcPr>
            <w:tcW w:type="dxa" w:w="3760"/>
            <w:tcMar>
              <w:top w:w="80" w:type="dxa"/>
              <w:start w:w="120" w:type="dxa"/>
              <w:bottom w:w="80" w:type="dxa"/>
              <w:end w:w="120" w:type="dxa"/>
            </w:tcMar>
            <w:vAlign w:val="center"/>
          </w:tcPr>
          <w:p>
            <w:pPr>
              <w:spacing w:after="0" w:line="252" w:lineRule="auto"/>
            </w:pPr>
            <w:r>
              <w:rPr>
                <w:rFonts w:ascii="Calibri" w:hAnsi="Calibri"/>
                <w:color w:val="334155"/>
                <w:sz w:val="18"/>
              </w:rPr>
              <w:t>Onboarding, verification, catalog, operations, finance, analytics, access control.</w:t>
            </w:r>
          </w:p>
        </w:tc>
        <w:tc>
          <w:tcPr>
            <w:tcW w:type="dxa" w:w="2000"/>
            <w:tcMar>
              <w:top w:w="80" w:type="dxa"/>
              <w:start w:w="120" w:type="dxa"/>
              <w:bottom w:w="80" w:type="dxa"/>
              <w:end w:w="120" w:type="dxa"/>
            </w:tcMar>
            <w:vAlign w:val="center"/>
          </w:tcPr>
          <w:p>
            <w:pPr>
              <w:spacing w:after="0" w:line="252" w:lineRule="auto"/>
            </w:pPr>
            <w:r>
              <w:rPr>
                <w:rFonts w:ascii="Calibri" w:hAnsi="Calibri"/>
                <w:color w:val="334155"/>
                <w:sz w:val="18"/>
              </w:rPr>
              <w:t>Aplikasi Next.js terpisah; route berdasarkan role.</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8"/>
              </w:rPr>
              <w:t>Yoru API</w:t>
            </w:r>
          </w:p>
        </w:tc>
        <w:tc>
          <w:tcPr>
            <w:tcW w:type="dxa" w:w="1800"/>
            <w:tcMar>
              <w:top w:w="80" w:type="dxa"/>
              <w:start w:w="120" w:type="dxa"/>
              <w:bottom w:w="80" w:type="dxa"/>
              <w:end w:w="120" w:type="dxa"/>
            </w:tcMar>
            <w:vAlign w:val="center"/>
          </w:tcPr>
          <w:p>
            <w:pPr>
              <w:spacing w:after="0" w:line="252" w:lineRule="auto"/>
            </w:pPr>
            <w:r>
              <w:rPr>
                <w:rFonts w:ascii="Calibri" w:hAnsi="Calibri"/>
                <w:color w:val="334155"/>
                <w:sz w:val="18"/>
              </w:rPr>
              <w:t>Kedua frontend + integrasi</w:t>
            </w:r>
          </w:p>
        </w:tc>
        <w:tc>
          <w:tcPr>
            <w:tcW w:type="dxa" w:w="3760"/>
            <w:tcMar>
              <w:top w:w="80" w:type="dxa"/>
              <w:start w:w="120" w:type="dxa"/>
              <w:bottom w:w="80" w:type="dxa"/>
              <w:end w:w="120" w:type="dxa"/>
            </w:tcMar>
            <w:vAlign w:val="center"/>
          </w:tcPr>
          <w:p>
            <w:pPr>
              <w:spacing w:after="0" w:line="252" w:lineRule="auto"/>
            </w:pPr>
            <w:r>
              <w:rPr>
                <w:rFonts w:ascii="Calibri" w:hAnsi="Calibri"/>
                <w:color w:val="334155"/>
                <w:sz w:val="18"/>
              </w:rPr>
              <w:t>Business rules dan source of truth.</w:t>
            </w:r>
          </w:p>
        </w:tc>
        <w:tc>
          <w:tcPr>
            <w:tcW w:type="dxa" w:w="2000"/>
            <w:tcMar>
              <w:top w:w="80" w:type="dxa"/>
              <w:start w:w="120" w:type="dxa"/>
              <w:bottom w:w="80" w:type="dxa"/>
              <w:end w:w="120" w:type="dxa"/>
            </w:tcMar>
            <w:vAlign w:val="center"/>
          </w:tcPr>
          <w:p>
            <w:pPr>
              <w:spacing w:after="0" w:line="252" w:lineRule="auto"/>
            </w:pPr>
            <w:r>
              <w:rPr>
                <w:rFonts w:ascii="Calibri" w:hAnsi="Calibri"/>
                <w:color w:val="334155"/>
                <w:sz w:val="18"/>
              </w:rPr>
              <w:t>Satu FastAPI modular monolith pada fase awal.</w:t>
            </w:r>
          </w:p>
        </w:tc>
      </w:tr>
    </w:tbl>
    <w:p>
      <w:pPr>
        <w:spacing w:after="40"/>
      </w:pPr>
    </w:p>
    <w:p>
      <w:pPr>
        <w:pStyle w:val="Heading3"/>
        <w:keepNext/>
      </w:pPr>
      <w:r>
        <w:rPr>
          <w:rFonts w:ascii="Calibri" w:hAnsi="Calibri"/>
          <w:b/>
          <w:color w:val="172033"/>
          <w:sz w:val="24"/>
        </w:rPr>
        <w:t>4.1 Struktur monorepo yang direkomendasikan</w:t>
      </w:r>
    </w:p>
    <w:p>
      <w:pPr>
        <w:numPr>
          <w:ilvl w:val="0"/>
          <w:numId w:val="10"/>
        </w:numPr>
        <w:spacing w:after="160" w:line="280" w:lineRule="auto"/>
        <w:keepLines/>
      </w:pPr>
      <w:r>
        <w:rPr>
          <w:rFonts w:ascii="Calibri" w:hAnsi="Calibri"/>
          <w:color w:val="334155"/>
          <w:sz w:val="22"/>
        </w:rPr>
        <w:t>apps/storefront — ecommerce customer.</w:t>
      </w:r>
    </w:p>
    <w:p>
      <w:pPr>
        <w:numPr>
          <w:ilvl w:val="0"/>
          <w:numId w:val="10"/>
        </w:numPr>
        <w:spacing w:after="160" w:line="280" w:lineRule="auto"/>
        <w:keepLines/>
      </w:pPr>
      <w:r>
        <w:rPr>
          <w:rFonts w:ascii="Calibri" w:hAnsi="Calibri"/>
          <w:color w:val="334155"/>
          <w:sz w:val="22"/>
        </w:rPr>
        <w:t>apps/console — admin, partner, dan professional dashboard.</w:t>
      </w:r>
    </w:p>
    <w:p>
      <w:pPr>
        <w:numPr>
          <w:ilvl w:val="0"/>
          <w:numId w:val="10"/>
        </w:numPr>
        <w:spacing w:after="160" w:line="280" w:lineRule="auto"/>
        <w:keepLines/>
      </w:pPr>
      <w:r>
        <w:rPr>
          <w:rFonts w:ascii="Calibri" w:hAnsi="Calibri"/>
          <w:color w:val="334155"/>
          <w:sz w:val="22"/>
        </w:rPr>
        <w:t>packages/ui — design system dan komponen presentasional.</w:t>
      </w:r>
    </w:p>
    <w:p>
      <w:pPr>
        <w:numPr>
          <w:ilvl w:val="0"/>
          <w:numId w:val="10"/>
        </w:numPr>
        <w:spacing w:after="160" w:line="280" w:lineRule="auto"/>
        <w:keepLines/>
      </w:pPr>
      <w:r>
        <w:rPr>
          <w:rFonts w:ascii="Calibri" w:hAnsi="Calibri"/>
          <w:color w:val="334155"/>
          <w:sz w:val="22"/>
        </w:rPr>
        <w:t>packages/api-client — typed client, schema, error mapping, dan auth helpers.</w:t>
      </w:r>
    </w:p>
    <w:p>
      <w:pPr>
        <w:numPr>
          <w:ilvl w:val="0"/>
          <w:numId w:val="10"/>
        </w:numPr>
        <w:spacing w:after="160" w:line="280" w:lineRule="auto"/>
        <w:keepLines/>
      </w:pPr>
      <w:r>
        <w:rPr>
          <w:rFonts w:ascii="Calibri" w:hAnsi="Calibri"/>
          <w:color w:val="334155"/>
          <w:sz w:val="22"/>
        </w:rPr>
        <w:t>packages/config — lint, TypeScript, Tailwind, environment validation.</w:t>
      </w:r>
    </w:p>
    <w:p>
      <w:pPr>
        <w:numPr>
          <w:ilvl w:val="0"/>
          <w:numId w:val="10"/>
        </w:numPr>
        <w:spacing w:after="160" w:line="280" w:lineRule="auto"/>
        <w:keepLines/>
      </w:pPr>
      <w:r>
        <w:rPr>
          <w:rFonts w:ascii="Calibri" w:hAnsi="Calibri"/>
          <w:color w:val="334155"/>
          <w:sz w:val="22"/>
        </w:rPr>
        <w:t>services/api — FastAPI modular monolith.</w:t>
      </w:r>
    </w:p>
    <w:p>
      <w:pPr>
        <w:numPr>
          <w:ilvl w:val="0"/>
          <w:numId w:val="10"/>
        </w:numPr>
        <w:spacing w:after="160" w:line="280" w:lineRule="auto"/>
        <w:keepLines/>
      </w:pPr>
      <w:r>
        <w:rPr>
          <w:rFonts w:ascii="Calibri" w:hAnsi="Calibri"/>
          <w:color w:val="334155"/>
          <w:sz w:val="22"/>
        </w:rPr>
        <w:t>services/worker — background jobs untuk image processing, notification, embedding, analytics, payout, dan reconciliation.</w:t>
      </w:r>
    </w:p>
    <w:p>
      <w:pPr>
        <w:numPr>
          <w:ilvl w:val="0"/>
          <w:numId w:val="10"/>
        </w:numPr>
        <w:spacing w:after="160" w:line="280" w:lineRule="auto"/>
        <w:keepLines/>
      </w:pPr>
      <w:r>
        <w:rPr>
          <w:rFonts w:ascii="Calibri" w:hAnsi="Calibri"/>
          <w:color w:val="334155"/>
          <w:sz w:val="22"/>
        </w:rPr>
        <w:t>infra — Docker, IaC, migrations, observability, dan deployment manifests.</w:t>
      </w:r>
    </w:p>
    <w:p>
      <w:r>
        <w:br w:type="page"/>
      </w:r>
    </w:p>
    <w:p>
      <w:pPr>
        <w:pStyle w:val="Heading1"/>
        <w:keepNext/>
      </w:pPr>
      <w:r>
        <w:rPr>
          <w:rFonts w:ascii="Calibri" w:hAnsi="Calibri"/>
          <w:b/>
          <w:color w:val="3730A3"/>
          <w:sz w:val="32"/>
        </w:rPr>
        <w:t>B. Product Requirements Document</w:t>
      </w:r>
    </w:p>
    <w:p>
      <w:pPr>
        <w:pStyle w:val="Heading2"/>
        <w:keepNext/>
      </w:pPr>
      <w:r>
        <w:rPr>
          <w:rFonts w:ascii="Calibri" w:hAnsi="Calibri"/>
          <w:b/>
          <w:color w:val="4F46E5"/>
          <w:sz w:val="26"/>
        </w:rPr>
        <w:t>5. Tujuan, non-goals, dan metrik</w:t>
      </w:r>
    </w:p>
    <w:p>
      <w:pPr>
        <w:pStyle w:val="Heading3"/>
        <w:keepNext/>
      </w:pPr>
      <w:r>
        <w:rPr>
          <w:rFonts w:ascii="Calibri" w:hAnsi="Calibri"/>
          <w:b/>
          <w:color w:val="172033"/>
          <w:sz w:val="24"/>
        </w:rPr>
        <w:t>5.1 Tujuan produk</w:t>
      </w:r>
    </w:p>
    <w:p>
      <w:pPr>
        <w:numPr>
          <w:ilvl w:val="0"/>
          <w:numId w:val="10"/>
        </w:numPr>
        <w:spacing w:after="160" w:line="280" w:lineRule="auto"/>
        <w:keepLines/>
      </w:pPr>
      <w:r>
        <w:rPr>
          <w:rFonts w:ascii="Calibri" w:hAnsi="Calibri"/>
          <w:color w:val="334155"/>
          <w:sz w:val="22"/>
        </w:rPr>
        <w:t>Customer dapat menemukan, membeli, dan memantau produk hingga selesai.</w:t>
      </w:r>
    </w:p>
    <w:p>
      <w:pPr>
        <w:numPr>
          <w:ilvl w:val="0"/>
          <w:numId w:val="10"/>
        </w:numPr>
        <w:spacing w:after="160" w:line="280" w:lineRule="auto"/>
        <w:keepLines/>
      </w:pPr>
      <w:r>
        <w:rPr>
          <w:rFonts w:ascii="Calibri" w:hAnsi="Calibri"/>
          <w:color w:val="334155"/>
          <w:sz w:val="22"/>
        </w:rPr>
        <w:t>Customer dapat memilih slot, memesan profesional home service, dan memantau status perjalanan.</w:t>
      </w:r>
    </w:p>
    <w:p>
      <w:pPr>
        <w:numPr>
          <w:ilvl w:val="0"/>
          <w:numId w:val="10"/>
        </w:numPr>
        <w:spacing w:after="160" w:line="280" w:lineRule="auto"/>
        <w:keepLines/>
      </w:pPr>
      <w:r>
        <w:rPr>
          <w:rFonts w:ascii="Calibri" w:hAnsi="Calibri"/>
          <w:color w:val="334155"/>
          <w:sz w:val="22"/>
        </w:rPr>
        <w:t>Partner terverifikasi dapat mengelola produk, layanan, profesional, order, booking, dan settlement.</w:t>
      </w:r>
    </w:p>
    <w:p>
      <w:pPr>
        <w:numPr>
          <w:ilvl w:val="0"/>
          <w:numId w:val="10"/>
        </w:numPr>
        <w:spacing w:after="160" w:line="280" w:lineRule="auto"/>
        <w:keepLines/>
      </w:pPr>
      <w:r>
        <w:rPr>
          <w:rFonts w:ascii="Calibri" w:hAnsi="Calibri"/>
          <w:color w:val="334155"/>
          <w:sz w:val="22"/>
        </w:rPr>
        <w:t>Admin dapat memverifikasi, memberi akses, memblokir, mengaudit, dan menangani risiko marketplace.</w:t>
      </w:r>
    </w:p>
    <w:p>
      <w:pPr>
        <w:numPr>
          <w:ilvl w:val="0"/>
          <w:numId w:val="10"/>
        </w:numPr>
        <w:spacing w:after="160" w:line="280" w:lineRule="auto"/>
        <w:keepLines/>
      </w:pPr>
      <w:r>
        <w:rPr>
          <w:rFonts w:ascii="Calibri" w:hAnsi="Calibri"/>
          <w:color w:val="334155"/>
          <w:sz w:val="22"/>
        </w:rPr>
        <w:t>AI customer menghasilkan rekomendasi relevan dengan alasan dan batas keselamatan.</w:t>
      </w:r>
    </w:p>
    <w:p>
      <w:pPr>
        <w:numPr>
          <w:ilvl w:val="0"/>
          <w:numId w:val="10"/>
        </w:numPr>
        <w:spacing w:after="160" w:line="280" w:lineRule="auto"/>
        <w:keepLines/>
      </w:pPr>
      <w:r>
        <w:rPr>
          <w:rFonts w:ascii="Calibri" w:hAnsi="Calibri"/>
          <w:color w:val="334155"/>
          <w:sz w:val="22"/>
        </w:rPr>
        <w:t>AI partner menghasilkan ringkasan performa yang dapat ditelusuri ke metrik sumber.</w:t>
      </w:r>
    </w:p>
    <w:p>
      <w:pPr>
        <w:pStyle w:val="Heading3"/>
        <w:keepNext/>
      </w:pPr>
      <w:r>
        <w:rPr>
          <w:rFonts w:ascii="Calibri" w:hAnsi="Calibri"/>
          <w:b/>
          <w:color w:val="172033"/>
          <w:sz w:val="24"/>
        </w:rPr>
        <w:t>5.2 Non-goals MVP</w:t>
      </w:r>
    </w:p>
    <w:p>
      <w:pPr>
        <w:numPr>
          <w:ilvl w:val="0"/>
          <w:numId w:val="10"/>
        </w:numPr>
        <w:spacing w:after="160" w:line="280" w:lineRule="auto"/>
        <w:keepLines/>
      </w:pPr>
      <w:r>
        <w:rPr>
          <w:rFonts w:ascii="Calibri" w:hAnsi="Calibri"/>
          <w:color w:val="334155"/>
          <w:sz w:val="22"/>
        </w:rPr>
        <w:t>Diagnosis penyakit kulit, resep obat, atau keputusan klinis otomatis.</w:t>
      </w:r>
    </w:p>
    <w:p>
      <w:pPr>
        <w:numPr>
          <w:ilvl w:val="0"/>
          <w:numId w:val="10"/>
        </w:numPr>
        <w:spacing w:after="160" w:line="280" w:lineRule="auto"/>
        <w:keepLines/>
      </w:pPr>
      <w:r>
        <w:rPr>
          <w:rFonts w:ascii="Calibri" w:hAnsi="Calibri"/>
          <w:color w:val="334155"/>
          <w:sz w:val="22"/>
        </w:rPr>
        <w:t>Layanan dental invasif tanpa validasi legal, credential, SOP klinis, dan asuransi.</w:t>
      </w:r>
    </w:p>
    <w:p>
      <w:pPr>
        <w:numPr>
          <w:ilvl w:val="0"/>
          <w:numId w:val="10"/>
        </w:numPr>
        <w:spacing w:after="160" w:line="280" w:lineRule="auto"/>
        <w:keepLines/>
      </w:pPr>
      <w:r>
        <w:rPr>
          <w:rFonts w:ascii="Calibri" w:hAnsi="Calibri"/>
          <w:color w:val="334155"/>
          <w:sz w:val="22"/>
        </w:rPr>
        <w:t>Dompet digital/escrow buatan sendiri; gunakan payment gateway berizin.</w:t>
      </w:r>
    </w:p>
    <w:p>
      <w:pPr>
        <w:numPr>
          <w:ilvl w:val="0"/>
          <w:numId w:val="10"/>
        </w:numPr>
        <w:spacing w:after="160" w:line="280" w:lineRule="auto"/>
        <w:keepLines/>
      </w:pPr>
      <w:r>
        <w:rPr>
          <w:rFonts w:ascii="Calibri" w:hAnsi="Calibri"/>
          <w:color w:val="334155"/>
          <w:sz w:val="22"/>
        </w:rPr>
        <w:t>Microservices penuh, multi-region active-active, atau machine learning ranking buatan sendiri.</w:t>
      </w:r>
    </w:p>
    <w:p>
      <w:pPr>
        <w:numPr>
          <w:ilvl w:val="0"/>
          <w:numId w:val="10"/>
        </w:numPr>
        <w:spacing w:after="160" w:line="280" w:lineRule="auto"/>
        <w:keepLines/>
      </w:pPr>
      <w:r>
        <w:rPr>
          <w:rFonts w:ascii="Calibri" w:hAnsi="Calibri"/>
          <w:color w:val="334155"/>
          <w:sz w:val="22"/>
        </w:rPr>
        <w:t>Dynamic pricing otomatis yang mengubah harga tanpa persetujuan partner.</w:t>
      </w:r>
    </w:p>
    <w:p>
      <w:pPr>
        <w:pStyle w:val="Heading3"/>
        <w:keepNext/>
      </w:pPr>
      <w:r>
        <w:rPr>
          <w:rFonts w:ascii="Calibri" w:hAnsi="Calibri"/>
          <w:b/>
          <w:color w:val="172033"/>
          <w:sz w:val="24"/>
        </w:rPr>
        <w:t>5.3 North-star dan KPI</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500"/>
        <w:gridCol w:w="2500"/>
        <w:gridCol w:w="5360"/>
      </w:tblGrid>
      <w:tr>
        <w:trPr>
          <w:tblHeader w:val="true"/>
          <w:cantSplit/>
        </w:trPr>
        <w:tc>
          <w:tcPr>
            <w:tcW w:type="dxa" w:w="15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Kategori</w:t>
            </w:r>
          </w:p>
        </w:tc>
        <w:tc>
          <w:tcPr>
            <w:tcW w:type="dxa" w:w="25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Metrik</w:t>
            </w:r>
          </w:p>
        </w:tc>
        <w:tc>
          <w:tcPr>
            <w:tcW w:type="dxa" w:w="53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Definisi awal</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334155"/>
                <w:sz w:val="17"/>
              </w:rPr>
              <w:t>Growth</w:t>
            </w:r>
          </w:p>
        </w:tc>
        <w:tc>
          <w:tcPr>
            <w:tcW w:type="dxa" w:w="2500"/>
            <w:tcMar>
              <w:top w:w="80" w:type="dxa"/>
              <w:start w:w="120" w:type="dxa"/>
              <w:bottom w:w="80" w:type="dxa"/>
              <w:end w:w="120" w:type="dxa"/>
            </w:tcMar>
            <w:vAlign w:val="center"/>
          </w:tcPr>
          <w:p>
            <w:pPr>
              <w:spacing w:after="0" w:line="252" w:lineRule="auto"/>
            </w:pPr>
            <w:r>
              <w:rPr>
                <w:rFonts w:ascii="Calibri" w:hAnsi="Calibri"/>
                <w:color w:val="334155"/>
                <w:sz w:val="17"/>
              </w:rPr>
              <w:t>GMV / NMV</w:t>
            </w:r>
          </w:p>
        </w:tc>
        <w:tc>
          <w:tcPr>
            <w:tcW w:type="dxa" w:w="5360"/>
            <w:tcMar>
              <w:top w:w="80" w:type="dxa"/>
              <w:start w:w="120" w:type="dxa"/>
              <w:bottom w:w="80" w:type="dxa"/>
              <w:end w:w="120" w:type="dxa"/>
            </w:tcMar>
            <w:vAlign w:val="center"/>
          </w:tcPr>
          <w:p>
            <w:pPr>
              <w:spacing w:after="0" w:line="252" w:lineRule="auto"/>
            </w:pPr>
            <w:r>
              <w:rPr>
                <w:rFonts w:ascii="Calibri" w:hAnsi="Calibri"/>
                <w:color w:val="334155"/>
                <w:sz w:val="17"/>
              </w:rPr>
              <w:t>Nilai transaksi bruto / setelah refund dan pembatalan.</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334155"/>
                <w:sz w:val="17"/>
              </w:rPr>
              <w:t>Customer</w:t>
            </w:r>
          </w:p>
        </w:tc>
        <w:tc>
          <w:tcPr>
            <w:tcW w:type="dxa" w:w="2500"/>
            <w:tcMar>
              <w:top w:w="80" w:type="dxa"/>
              <w:start w:w="120" w:type="dxa"/>
              <w:bottom w:w="80" w:type="dxa"/>
              <w:end w:w="120" w:type="dxa"/>
            </w:tcMar>
            <w:vAlign w:val="center"/>
          </w:tcPr>
          <w:p>
            <w:pPr>
              <w:spacing w:after="0" w:line="252" w:lineRule="auto"/>
            </w:pPr>
            <w:r>
              <w:rPr>
                <w:rFonts w:ascii="Calibri" w:hAnsi="Calibri"/>
                <w:color w:val="334155"/>
                <w:sz w:val="17"/>
              </w:rPr>
              <w:t>Conversion &amp; repeat rate</w:t>
            </w:r>
          </w:p>
        </w:tc>
        <w:tc>
          <w:tcPr>
            <w:tcW w:type="dxa" w:w="5360"/>
            <w:tcMar>
              <w:top w:w="80" w:type="dxa"/>
              <w:start w:w="120" w:type="dxa"/>
              <w:bottom w:w="80" w:type="dxa"/>
              <w:end w:w="120" w:type="dxa"/>
            </w:tcMar>
            <w:vAlign w:val="center"/>
          </w:tcPr>
          <w:p>
            <w:pPr>
              <w:spacing w:after="0" w:line="252" w:lineRule="auto"/>
            </w:pPr>
            <w:r>
              <w:rPr>
                <w:rFonts w:ascii="Calibri" w:hAnsi="Calibri"/>
                <w:color w:val="334155"/>
                <w:sz w:val="17"/>
              </w:rPr>
              <w:t>Visit→paid; customer yang kembali dalam 30/60/90 hari.</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334155"/>
                <w:sz w:val="17"/>
              </w:rPr>
              <w:t>Service</w:t>
            </w:r>
          </w:p>
        </w:tc>
        <w:tc>
          <w:tcPr>
            <w:tcW w:type="dxa" w:w="2500"/>
            <w:tcMar>
              <w:top w:w="80" w:type="dxa"/>
              <w:start w:w="120" w:type="dxa"/>
              <w:bottom w:w="80" w:type="dxa"/>
              <w:end w:w="120" w:type="dxa"/>
            </w:tcMar>
            <w:vAlign w:val="center"/>
          </w:tcPr>
          <w:p>
            <w:pPr>
              <w:spacing w:after="0" w:line="252" w:lineRule="auto"/>
            </w:pPr>
            <w:r>
              <w:rPr>
                <w:rFonts w:ascii="Calibri" w:hAnsi="Calibri"/>
                <w:color w:val="334155"/>
                <w:sz w:val="17"/>
              </w:rPr>
              <w:t>Booking completion</w:t>
            </w:r>
          </w:p>
        </w:tc>
        <w:tc>
          <w:tcPr>
            <w:tcW w:type="dxa" w:w="5360"/>
            <w:tcMar>
              <w:top w:w="80" w:type="dxa"/>
              <w:start w:w="120" w:type="dxa"/>
              <w:bottom w:w="80" w:type="dxa"/>
              <w:end w:w="120" w:type="dxa"/>
            </w:tcMar>
            <w:vAlign w:val="center"/>
          </w:tcPr>
          <w:p>
            <w:pPr>
              <w:spacing w:after="0" w:line="252" w:lineRule="auto"/>
            </w:pPr>
            <w:r>
              <w:rPr>
                <w:rFonts w:ascii="Calibri" w:hAnsi="Calibri"/>
                <w:color w:val="334155"/>
                <w:sz w:val="17"/>
              </w:rPr>
              <w:t>Booking selesai / booking confirmed.</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334155"/>
                <w:sz w:val="17"/>
              </w:rPr>
              <w:t>Partner</w:t>
            </w:r>
          </w:p>
        </w:tc>
        <w:tc>
          <w:tcPr>
            <w:tcW w:type="dxa" w:w="2500"/>
            <w:tcMar>
              <w:top w:w="80" w:type="dxa"/>
              <w:start w:w="120" w:type="dxa"/>
              <w:bottom w:w="80" w:type="dxa"/>
              <w:end w:w="120" w:type="dxa"/>
            </w:tcMar>
            <w:vAlign w:val="center"/>
          </w:tcPr>
          <w:p>
            <w:pPr>
              <w:spacing w:after="0" w:line="252" w:lineRule="auto"/>
            </w:pPr>
            <w:r>
              <w:rPr>
                <w:rFonts w:ascii="Calibri" w:hAnsi="Calibri"/>
                <w:color w:val="334155"/>
                <w:sz w:val="17"/>
              </w:rPr>
              <w:t>Activation time</w:t>
            </w:r>
          </w:p>
        </w:tc>
        <w:tc>
          <w:tcPr>
            <w:tcW w:type="dxa" w:w="5360"/>
            <w:tcMar>
              <w:top w:w="80" w:type="dxa"/>
              <w:start w:w="120" w:type="dxa"/>
              <w:bottom w:w="80" w:type="dxa"/>
              <w:end w:w="120" w:type="dxa"/>
            </w:tcMar>
            <w:vAlign w:val="center"/>
          </w:tcPr>
          <w:p>
            <w:pPr>
              <w:spacing w:after="0" w:line="252" w:lineRule="auto"/>
            </w:pPr>
            <w:r>
              <w:rPr>
                <w:rFonts w:ascii="Calibri" w:hAnsi="Calibri"/>
                <w:color w:val="334155"/>
                <w:sz w:val="17"/>
              </w:rPr>
              <w:t>Waktu verified→produk/service pertama live→transaksi pertama.</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334155"/>
                <w:sz w:val="17"/>
              </w:rPr>
              <w:t>AI</w:t>
            </w:r>
          </w:p>
        </w:tc>
        <w:tc>
          <w:tcPr>
            <w:tcW w:type="dxa" w:w="2500"/>
            <w:tcMar>
              <w:top w:w="80" w:type="dxa"/>
              <w:start w:w="120" w:type="dxa"/>
              <w:bottom w:w="80" w:type="dxa"/>
              <w:end w:w="120" w:type="dxa"/>
            </w:tcMar>
            <w:vAlign w:val="center"/>
          </w:tcPr>
          <w:p>
            <w:pPr>
              <w:spacing w:after="0" w:line="252" w:lineRule="auto"/>
            </w:pPr>
            <w:r>
              <w:rPr>
                <w:rFonts w:ascii="Calibri" w:hAnsi="Calibri"/>
                <w:color w:val="334155"/>
                <w:sz w:val="17"/>
              </w:rPr>
              <w:t>Assisted conversion</w:t>
            </w:r>
          </w:p>
        </w:tc>
        <w:tc>
          <w:tcPr>
            <w:tcW w:type="dxa" w:w="5360"/>
            <w:tcMar>
              <w:top w:w="80" w:type="dxa"/>
              <w:start w:w="120" w:type="dxa"/>
              <w:bottom w:w="80" w:type="dxa"/>
              <w:end w:w="120" w:type="dxa"/>
            </w:tcMar>
            <w:vAlign w:val="center"/>
          </w:tcPr>
          <w:p>
            <w:pPr>
              <w:spacing w:after="0" w:line="252" w:lineRule="auto"/>
            </w:pPr>
            <w:r>
              <w:rPr>
                <w:rFonts w:ascii="Calibri" w:hAnsi="Calibri"/>
                <w:color w:val="334155"/>
                <w:sz w:val="17"/>
              </w:rPr>
              <w:t>Pembelian/booking dalam attribution window setelah rekomendasi.</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334155"/>
                <w:sz w:val="17"/>
              </w:rPr>
              <w:t>AI Quality</w:t>
            </w:r>
          </w:p>
        </w:tc>
        <w:tc>
          <w:tcPr>
            <w:tcW w:type="dxa" w:w="2500"/>
            <w:tcMar>
              <w:top w:w="80" w:type="dxa"/>
              <w:start w:w="120" w:type="dxa"/>
              <w:bottom w:w="80" w:type="dxa"/>
              <w:end w:w="120" w:type="dxa"/>
            </w:tcMar>
            <w:vAlign w:val="center"/>
          </w:tcPr>
          <w:p>
            <w:pPr>
              <w:spacing w:after="0" w:line="252" w:lineRule="auto"/>
            </w:pPr>
            <w:r>
              <w:rPr>
                <w:rFonts w:ascii="Calibri" w:hAnsi="Calibri"/>
                <w:color w:val="334155"/>
                <w:sz w:val="17"/>
              </w:rPr>
              <w:t>Helpful / unsafe rate</w:t>
            </w:r>
          </w:p>
        </w:tc>
        <w:tc>
          <w:tcPr>
            <w:tcW w:type="dxa" w:w="5360"/>
            <w:tcMar>
              <w:top w:w="80" w:type="dxa"/>
              <w:start w:w="120" w:type="dxa"/>
              <w:bottom w:w="80" w:type="dxa"/>
              <w:end w:w="120" w:type="dxa"/>
            </w:tcMar>
            <w:vAlign w:val="center"/>
          </w:tcPr>
          <w:p>
            <w:pPr>
              <w:spacing w:after="0" w:line="252" w:lineRule="auto"/>
            </w:pPr>
            <w:r>
              <w:rPr>
                <w:rFonts w:ascii="Calibri" w:hAnsi="Calibri"/>
                <w:color w:val="334155"/>
                <w:sz w:val="17"/>
              </w:rPr>
              <w:t>Rating berguna, factuality, constraint fit, dan safety violation.</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334155"/>
                <w:sz w:val="17"/>
              </w:rPr>
              <w:t>Operations</w:t>
            </w:r>
          </w:p>
        </w:tc>
        <w:tc>
          <w:tcPr>
            <w:tcW w:type="dxa" w:w="2500"/>
            <w:tcMar>
              <w:top w:w="80" w:type="dxa"/>
              <w:start w:w="120" w:type="dxa"/>
              <w:bottom w:w="80" w:type="dxa"/>
              <w:end w:w="120" w:type="dxa"/>
            </w:tcMar>
            <w:vAlign w:val="center"/>
          </w:tcPr>
          <w:p>
            <w:pPr>
              <w:spacing w:after="0" w:line="252" w:lineRule="auto"/>
            </w:pPr>
            <w:r>
              <w:rPr>
                <w:rFonts w:ascii="Calibri" w:hAnsi="Calibri"/>
                <w:color w:val="334155"/>
                <w:sz w:val="17"/>
              </w:rPr>
              <w:t>Cancel, dispute, refund rate</w:t>
            </w:r>
          </w:p>
        </w:tc>
        <w:tc>
          <w:tcPr>
            <w:tcW w:type="dxa" w:w="5360"/>
            <w:tcMar>
              <w:top w:w="80" w:type="dxa"/>
              <w:start w:w="120" w:type="dxa"/>
              <w:bottom w:w="80" w:type="dxa"/>
              <w:end w:w="120" w:type="dxa"/>
            </w:tcMar>
            <w:vAlign w:val="center"/>
          </w:tcPr>
          <w:p>
            <w:pPr>
              <w:spacing w:after="0" w:line="252" w:lineRule="auto"/>
            </w:pPr>
            <w:r>
              <w:rPr>
                <w:rFonts w:ascii="Calibri" w:hAnsi="Calibri"/>
                <w:color w:val="334155"/>
                <w:sz w:val="17"/>
              </w:rPr>
              <w:t>Dibagi berdasarkan pihak penyebab dan kategori.</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334155"/>
                <w:sz w:val="17"/>
              </w:rPr>
              <w:t>Platform</w:t>
            </w:r>
          </w:p>
        </w:tc>
        <w:tc>
          <w:tcPr>
            <w:tcW w:type="dxa" w:w="2500"/>
            <w:tcMar>
              <w:top w:w="80" w:type="dxa"/>
              <w:start w:w="120" w:type="dxa"/>
              <w:bottom w:w="80" w:type="dxa"/>
              <w:end w:w="120" w:type="dxa"/>
            </w:tcMar>
            <w:vAlign w:val="center"/>
          </w:tcPr>
          <w:p>
            <w:pPr>
              <w:spacing w:after="0" w:line="252" w:lineRule="auto"/>
            </w:pPr>
            <w:r>
              <w:rPr>
                <w:rFonts w:ascii="Calibri" w:hAnsi="Calibri"/>
                <w:color w:val="334155"/>
                <w:sz w:val="17"/>
              </w:rPr>
              <w:t>Realized take rate</w:t>
            </w:r>
          </w:p>
        </w:tc>
        <w:tc>
          <w:tcPr>
            <w:tcW w:type="dxa" w:w="5360"/>
            <w:tcMar>
              <w:top w:w="80" w:type="dxa"/>
              <w:start w:w="120" w:type="dxa"/>
              <w:bottom w:w="80" w:type="dxa"/>
              <w:end w:w="120" w:type="dxa"/>
            </w:tcMar>
            <w:vAlign w:val="center"/>
          </w:tcPr>
          <w:p>
            <w:pPr>
              <w:spacing w:after="0" w:line="252" w:lineRule="auto"/>
            </w:pPr>
            <w:r>
              <w:rPr>
                <w:rFonts w:ascii="Calibri" w:hAnsi="Calibri"/>
                <w:color w:val="334155"/>
                <w:sz w:val="17"/>
              </w:rPr>
              <w:t>Pendapatan komisi aktual / eligible subtotal.</w:t>
            </w:r>
          </w:p>
        </w:tc>
      </w:tr>
    </w:tbl>
    <w:p>
      <w:pPr>
        <w:spacing w:after="40"/>
      </w:pPr>
    </w:p>
    <w:p>
      <w:pPr>
        <w:pStyle w:val="Heading2"/>
        <w:keepNext/>
      </w:pPr>
      <w:r>
        <w:rPr>
          <w:rFonts w:ascii="Calibri" w:hAnsi="Calibri"/>
          <w:b/>
          <w:color w:val="4F46E5"/>
          <w:sz w:val="26"/>
        </w:rPr>
        <w:t>6. Scope prioritas (MoSCoW)</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700"/>
        <w:gridCol w:w="7660"/>
      </w:tblGrid>
      <w:tr>
        <w:trPr>
          <w:tblHeader w:val="true"/>
          <w:cantSplit/>
        </w:trPr>
        <w:tc>
          <w:tcPr>
            <w:tcW w:type="dxa" w:w="17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8"/>
              </w:rPr>
              <w:t>Prioritas</w:t>
            </w:r>
          </w:p>
        </w:tc>
        <w:tc>
          <w:tcPr>
            <w:tcW w:type="dxa" w:w="76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8"/>
              </w:rPr>
              <w:t>Cakupan</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color w:val="334155"/>
                <w:sz w:val="18"/>
              </w:rPr>
              <w:t>Must — MVP</w:t>
            </w:r>
          </w:p>
        </w:tc>
        <w:tc>
          <w:tcPr>
            <w:tcW w:type="dxa" w:w="7660"/>
            <w:tcMar>
              <w:top w:w="80" w:type="dxa"/>
              <w:start w:w="120" w:type="dxa"/>
              <w:bottom w:w="80" w:type="dxa"/>
              <w:end w:w="120" w:type="dxa"/>
            </w:tcMar>
            <w:vAlign w:val="center"/>
          </w:tcPr>
          <w:p>
            <w:pPr>
              <w:spacing w:after="0" w:line="252" w:lineRule="auto"/>
            </w:pPr>
            <w:r>
              <w:rPr>
                <w:rFonts w:ascii="Calibri" w:hAnsi="Calibri"/>
                <w:color w:val="334155"/>
                <w:sz w:val="18"/>
              </w:rPr>
              <w:t>Auth, RBAC/ABAC, partner onboarding dan verifikasi, product/service catalog, inventory, professional &amp; availability, cart, checkout, payment webhook, order/booking lifecycle, basic tracking status, commission ledger, payout export/integration, admin monitoring, audit log, notifications, text-based AI recommendation, partner revenue summary.</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color w:val="334155"/>
                <w:sz w:val="18"/>
              </w:rPr>
              <w:t>Should</w:t>
            </w:r>
          </w:p>
        </w:tc>
        <w:tc>
          <w:tcPr>
            <w:tcW w:type="dxa" w:w="7660"/>
            <w:tcMar>
              <w:top w:w="80" w:type="dxa"/>
              <w:start w:w="120" w:type="dxa"/>
              <w:bottom w:w="80" w:type="dxa"/>
              <w:end w:w="120" w:type="dxa"/>
            </w:tcMar>
            <w:vAlign w:val="center"/>
          </w:tcPr>
          <w:p>
            <w:pPr>
              <w:spacing w:after="0" w:line="252" w:lineRule="auto"/>
            </w:pPr>
            <w:r>
              <w:rPr>
                <w:rFonts w:ascii="Calibri" w:hAnsi="Calibri"/>
                <w:color w:val="334155"/>
                <w:sz w:val="18"/>
              </w:rPr>
              <w:t>Foto-based recommendation dengan consent, live professional location, courier integration, promotions, reviews, dispute workflow, saved preferences, report scheduling, service area map.</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color w:val="334155"/>
                <w:sz w:val="18"/>
              </w:rPr>
              <w:t>Could</w:t>
            </w:r>
          </w:p>
        </w:tc>
        <w:tc>
          <w:tcPr>
            <w:tcW w:type="dxa" w:w="7660"/>
            <w:tcMar>
              <w:top w:w="80" w:type="dxa"/>
              <w:start w:w="120" w:type="dxa"/>
              <w:bottom w:w="80" w:type="dxa"/>
              <w:end w:w="120" w:type="dxa"/>
            </w:tcMar>
            <w:vAlign w:val="center"/>
          </w:tcPr>
          <w:p>
            <w:pPr>
              <w:spacing w:after="0" w:line="252" w:lineRule="auto"/>
            </w:pPr>
            <w:r>
              <w:rPr>
                <w:rFonts w:ascii="Calibri" w:hAnsi="Calibri"/>
                <w:color w:val="334155"/>
                <w:sz w:val="18"/>
              </w:rPr>
              <w:t>Loyalty, subscription/replenishment, bundles, chat, referral, ads, advanced forecasting, multilingual assistant.</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color w:val="334155"/>
                <w:sz w:val="18"/>
              </w:rPr>
              <w:t>Won’t — tahap awal</w:t>
            </w:r>
          </w:p>
        </w:tc>
        <w:tc>
          <w:tcPr>
            <w:tcW w:type="dxa" w:w="7660"/>
            <w:tcMar>
              <w:top w:w="80" w:type="dxa"/>
              <w:start w:w="120" w:type="dxa"/>
              <w:bottom w:w="80" w:type="dxa"/>
              <w:end w:w="120" w:type="dxa"/>
            </w:tcMar>
            <w:vAlign w:val="center"/>
          </w:tcPr>
          <w:p>
            <w:pPr>
              <w:spacing w:after="0" w:line="252" w:lineRule="auto"/>
            </w:pPr>
            <w:r>
              <w:rPr>
                <w:rFonts w:ascii="Calibri" w:hAnsi="Calibri"/>
                <w:color w:val="334155"/>
                <w:sz w:val="18"/>
              </w:rPr>
              <w:t>Medical diagnosis, invasive dental marketplace tanpa compliance review, proprietary wallet, autonomous AI write actions, microservices per domain.</w:t>
            </w:r>
          </w:p>
        </w:tc>
      </w:tr>
    </w:tbl>
    <w:p>
      <w:pPr>
        <w:spacing w:after="40"/>
      </w:pPr>
    </w:p>
    <w:p>
      <w:pPr>
        <w:pStyle w:val="Heading2"/>
        <w:keepNext/>
      </w:pPr>
      <w:r>
        <w:rPr>
          <w:rFonts w:ascii="Calibri" w:hAnsi="Calibri"/>
          <w:b/>
          <w:color w:val="4F46E5"/>
          <w:sz w:val="26"/>
        </w:rPr>
        <w:t>7. Functional requirements</w:t>
      </w:r>
    </w:p>
    <w:p>
      <w:pPr>
        <w:pStyle w:val="Heading3"/>
        <w:keepNext/>
      </w:pPr>
      <w:r>
        <w:rPr>
          <w:rFonts w:ascii="Calibri" w:hAnsi="Calibri"/>
          <w:b/>
          <w:color w:val="172033"/>
          <w:sz w:val="24"/>
        </w:rPr>
        <w:t>7.1 Identity, authentication, dan access control</w:t>
      </w:r>
    </w:p>
    <w:p>
      <w:pPr>
        <w:numPr>
          <w:ilvl w:val="0"/>
          <w:numId w:val="10"/>
        </w:numPr>
        <w:spacing w:after="160" w:line="280" w:lineRule="auto"/>
        <w:keepLines/>
      </w:pPr>
      <w:r>
        <w:rPr>
          <w:rFonts w:ascii="Calibri" w:hAnsi="Calibri"/>
          <w:color w:val="334155"/>
          <w:sz w:val="22"/>
        </w:rPr>
        <w:t>Registrasi customer menggunakan email/nomor telepon dengan verifikasi.</w:t>
      </w:r>
    </w:p>
    <w:p>
      <w:pPr>
        <w:numPr>
          <w:ilvl w:val="0"/>
          <w:numId w:val="10"/>
        </w:numPr>
        <w:spacing w:after="160" w:line="280" w:lineRule="auto"/>
        <w:keepLines/>
      </w:pPr>
      <w:r>
        <w:rPr>
          <w:rFonts w:ascii="Calibri" w:hAnsi="Calibri"/>
          <w:color w:val="334155"/>
          <w:sz w:val="22"/>
        </w:rPr>
        <w:t>Onboarding partner membuat organization, owner, dan application verification; akses operasional aktif setelah approved.</w:t>
      </w:r>
    </w:p>
    <w:p>
      <w:pPr>
        <w:numPr>
          <w:ilvl w:val="0"/>
          <w:numId w:val="10"/>
        </w:numPr>
        <w:spacing w:after="160" w:line="280" w:lineRule="auto"/>
        <w:keepLines/>
      </w:pPr>
      <w:r>
        <w:rPr>
          <w:rFonts w:ascii="Calibri" w:hAnsi="Calibri"/>
          <w:color w:val="334155"/>
          <w:sz w:val="22"/>
        </w:rPr>
        <w:t>Admin platform tidak diregistrasikan secara publik; dibuat melalui controlled bootstrap atau identity provider.</w:t>
      </w:r>
    </w:p>
    <w:p>
      <w:pPr>
        <w:numPr>
          <w:ilvl w:val="0"/>
          <w:numId w:val="10"/>
        </w:numPr>
        <w:spacing w:after="160" w:line="280" w:lineRule="auto"/>
        <w:keepLines/>
      </w:pPr>
      <w:r>
        <w:rPr>
          <w:rFonts w:ascii="Calibri" w:hAnsi="Calibri"/>
          <w:color w:val="334155"/>
          <w:sz w:val="22"/>
        </w:rPr>
        <w:t>Session web memakai HttpOnly + Secure + SameSite cookies, refresh-token rotation, CSRF protection, dan logout/revocation.</w:t>
      </w:r>
    </w:p>
    <w:p>
      <w:pPr>
        <w:numPr>
          <w:ilvl w:val="0"/>
          <w:numId w:val="10"/>
        </w:numPr>
        <w:spacing w:after="160" w:line="280" w:lineRule="auto"/>
        <w:keepLines/>
      </w:pPr>
      <w:r>
        <w:rPr>
          <w:rFonts w:ascii="Calibri" w:hAnsi="Calibri"/>
          <w:color w:val="334155"/>
          <w:sz w:val="22"/>
        </w:rPr>
        <w:t>MFA wajib untuk platform admin dan partner owner/finance; step-up authentication untuk payout, perubahan rekening, refund besar, dan break-glass.</w:t>
      </w:r>
    </w:p>
    <w:p>
      <w:pPr>
        <w:numPr>
          <w:ilvl w:val="0"/>
          <w:numId w:val="10"/>
        </w:numPr>
        <w:spacing w:after="160" w:line="280" w:lineRule="auto"/>
        <w:keepLines/>
      </w:pPr>
      <w:r>
        <w:rPr>
          <w:rFonts w:ascii="Calibri" w:hAnsi="Calibri"/>
          <w:color w:val="334155"/>
          <w:sz w:val="22"/>
        </w:rPr>
        <w:t>RBAC mengatur role; ABAC mengikat tenant, ownership, branch, status objek, dan nilai transaksi.</w:t>
      </w:r>
    </w:p>
    <w:p>
      <w:pPr>
        <w:numPr>
          <w:ilvl w:val="0"/>
          <w:numId w:val="10"/>
        </w:numPr>
        <w:spacing w:after="160" w:line="280" w:lineRule="auto"/>
        <w:keepLines/>
      </w:pPr>
      <w:r>
        <w:rPr>
          <w:rFonts w:ascii="Calibri" w:hAnsi="Calibri"/>
          <w:color w:val="334155"/>
          <w:sz w:val="22"/>
        </w:rPr>
        <w:t>Setiap perubahan akses, blokir, verifikasi, rekening payout, refund, dan impersonation dicatat pada audit log append-only.</w:t>
      </w:r>
    </w:p>
    <w:p>
      <w:pPr>
        <w:pStyle w:val="Heading3"/>
        <w:keepNext/>
      </w:pPr>
      <w:r>
        <w:rPr>
          <w:rFonts w:ascii="Calibri" w:hAnsi="Calibri"/>
          <w:b/>
          <w:color w:val="172033"/>
          <w:sz w:val="24"/>
        </w:rPr>
        <w:t>7.2 Partner onboarding dan verification</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000"/>
        <w:gridCol w:w="5000"/>
        <w:gridCol w:w="3360"/>
      </w:tblGrid>
      <w:tr>
        <w:trPr>
          <w:tblHeader w:val="true"/>
          <w:cantSplit/>
        </w:trPr>
        <w:tc>
          <w:tcPr>
            <w:tcW w:type="dxa" w:w="10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ID</w:t>
            </w:r>
          </w:p>
        </w:tc>
        <w:tc>
          <w:tcPr>
            <w:tcW w:type="dxa" w:w="50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Requirement</w:t>
            </w:r>
          </w:p>
        </w:tc>
        <w:tc>
          <w:tcPr>
            <w:tcW w:type="dxa" w:w="33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Acceptance ringkas</w:t>
            </w:r>
          </w:p>
        </w:tc>
      </w:tr>
      <w:tr>
        <w:trPr>
          <w:cantSplit/>
        </w:trPr>
        <w:tc>
          <w:tcPr>
            <w:tcW w:type="dxa" w:w="1000"/>
            <w:tcMar>
              <w:top w:w="80" w:type="dxa"/>
              <w:start w:w="120" w:type="dxa"/>
              <w:bottom w:w="80" w:type="dxa"/>
              <w:end w:w="120" w:type="dxa"/>
            </w:tcMar>
            <w:vAlign w:val="center"/>
          </w:tcPr>
          <w:p>
            <w:pPr>
              <w:spacing w:after="0" w:line="252" w:lineRule="auto"/>
            </w:pPr>
            <w:r>
              <w:rPr>
                <w:rFonts w:ascii="Calibri" w:hAnsi="Calibri"/>
                <w:color w:val="334155"/>
                <w:sz w:val="17"/>
              </w:rPr>
              <w:t>PRT-01</w:t>
            </w:r>
          </w:p>
        </w:tc>
        <w:tc>
          <w:tcPr>
            <w:tcW w:type="dxa" w:w="5000"/>
            <w:tcMar>
              <w:top w:w="80" w:type="dxa"/>
              <w:start w:w="120" w:type="dxa"/>
              <w:bottom w:w="80" w:type="dxa"/>
              <w:end w:w="120" w:type="dxa"/>
            </w:tcMar>
            <w:vAlign w:val="center"/>
          </w:tcPr>
          <w:p>
            <w:pPr>
              <w:spacing w:after="0" w:line="252" w:lineRule="auto"/>
            </w:pPr>
            <w:r>
              <w:rPr>
                <w:rFonts w:ascii="Calibri" w:hAnsi="Calibri"/>
                <w:color w:val="334155"/>
                <w:sz w:val="17"/>
              </w:rPr>
              <w:t>Partner mengisi profil bisnis/profesional, alamat, kategori, rekening payout, dokumen, dan beneficial owner.</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Draft dapat disimpan; field wajib tervalidasi; dokumen private.</w:t>
            </w:r>
          </w:p>
        </w:tc>
      </w:tr>
      <w:tr>
        <w:trPr>
          <w:cantSplit/>
        </w:trPr>
        <w:tc>
          <w:tcPr>
            <w:tcW w:type="dxa" w:w="1000"/>
            <w:tcMar>
              <w:top w:w="80" w:type="dxa"/>
              <w:start w:w="120" w:type="dxa"/>
              <w:bottom w:w="80" w:type="dxa"/>
              <w:end w:w="120" w:type="dxa"/>
            </w:tcMar>
            <w:vAlign w:val="center"/>
          </w:tcPr>
          <w:p>
            <w:pPr>
              <w:spacing w:after="0" w:line="252" w:lineRule="auto"/>
            </w:pPr>
            <w:r>
              <w:rPr>
                <w:rFonts w:ascii="Calibri" w:hAnsi="Calibri"/>
                <w:color w:val="334155"/>
                <w:sz w:val="17"/>
              </w:rPr>
              <w:t>PRT-02</w:t>
            </w:r>
          </w:p>
        </w:tc>
        <w:tc>
          <w:tcPr>
            <w:tcW w:type="dxa" w:w="5000"/>
            <w:tcMar>
              <w:top w:w="80" w:type="dxa"/>
              <w:start w:w="120" w:type="dxa"/>
              <w:bottom w:w="80" w:type="dxa"/>
              <w:end w:w="120" w:type="dxa"/>
            </w:tcMar>
            <w:vAlign w:val="center"/>
          </w:tcPr>
          <w:p>
            <w:pPr>
              <w:spacing w:after="0" w:line="252" w:lineRule="auto"/>
            </w:pPr>
            <w:r>
              <w:rPr>
                <w:rFonts w:ascii="Calibri" w:hAnsi="Calibri"/>
                <w:color w:val="334155"/>
                <w:sz w:val="17"/>
              </w:rPr>
              <w:t>Verifier melihat queue, evidence, risk flag, dan history keputusan.</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Approve/reject/request revision wajib memiliki reason code.</w:t>
            </w:r>
          </w:p>
        </w:tc>
      </w:tr>
      <w:tr>
        <w:trPr>
          <w:cantSplit/>
        </w:trPr>
        <w:tc>
          <w:tcPr>
            <w:tcW w:type="dxa" w:w="1000"/>
            <w:tcMar>
              <w:top w:w="80" w:type="dxa"/>
              <w:start w:w="120" w:type="dxa"/>
              <w:bottom w:w="80" w:type="dxa"/>
              <w:end w:w="120" w:type="dxa"/>
            </w:tcMar>
            <w:vAlign w:val="center"/>
          </w:tcPr>
          <w:p>
            <w:pPr>
              <w:spacing w:after="0" w:line="252" w:lineRule="auto"/>
            </w:pPr>
            <w:r>
              <w:rPr>
                <w:rFonts w:ascii="Calibri" w:hAnsi="Calibri"/>
                <w:color w:val="334155"/>
                <w:sz w:val="17"/>
              </w:rPr>
              <w:t>PRT-03</w:t>
            </w:r>
          </w:p>
        </w:tc>
        <w:tc>
          <w:tcPr>
            <w:tcW w:type="dxa" w:w="5000"/>
            <w:tcMar>
              <w:top w:w="80" w:type="dxa"/>
              <w:start w:w="120" w:type="dxa"/>
              <w:bottom w:w="80" w:type="dxa"/>
              <w:end w:w="120" w:type="dxa"/>
            </w:tcMar>
            <w:vAlign w:val="center"/>
          </w:tcPr>
          <w:p>
            <w:pPr>
              <w:spacing w:after="0" w:line="252" w:lineRule="auto"/>
            </w:pPr>
            <w:r>
              <w:rPr>
                <w:rFonts w:ascii="Calibri" w:hAnsi="Calibri"/>
                <w:color w:val="334155"/>
                <w:sz w:val="17"/>
              </w:rPr>
              <w:t>Admin dapat suspend/block partner atau kemampuan tertentu.</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Block memutus sesi terkait, menghentikan listing baru, dan tidak menghapus ledger.</w:t>
            </w:r>
          </w:p>
        </w:tc>
      </w:tr>
      <w:tr>
        <w:trPr>
          <w:cantSplit/>
        </w:trPr>
        <w:tc>
          <w:tcPr>
            <w:tcW w:type="dxa" w:w="1000"/>
            <w:tcMar>
              <w:top w:w="80" w:type="dxa"/>
              <w:start w:w="120" w:type="dxa"/>
              <w:bottom w:w="80" w:type="dxa"/>
              <w:end w:w="120" w:type="dxa"/>
            </w:tcMar>
            <w:vAlign w:val="center"/>
          </w:tcPr>
          <w:p>
            <w:pPr>
              <w:spacing w:after="0" w:line="252" w:lineRule="auto"/>
            </w:pPr>
            <w:r>
              <w:rPr>
                <w:rFonts w:ascii="Calibri" w:hAnsi="Calibri"/>
                <w:color w:val="334155"/>
                <w:sz w:val="17"/>
              </w:rPr>
              <w:t>PRT-04</w:t>
            </w:r>
          </w:p>
        </w:tc>
        <w:tc>
          <w:tcPr>
            <w:tcW w:type="dxa" w:w="5000"/>
            <w:tcMar>
              <w:top w:w="80" w:type="dxa"/>
              <w:start w:w="120" w:type="dxa"/>
              <w:bottom w:w="80" w:type="dxa"/>
              <w:end w:w="120" w:type="dxa"/>
            </w:tcMar>
            <w:vAlign w:val="center"/>
          </w:tcPr>
          <w:p>
            <w:pPr>
              <w:spacing w:after="0" w:line="252" w:lineRule="auto"/>
            </w:pPr>
            <w:r>
              <w:rPr>
                <w:rFonts w:ascii="Calibri" w:hAnsi="Calibri"/>
                <w:color w:val="334155"/>
                <w:sz w:val="17"/>
              </w:rPr>
              <w:t>Partner mendaftarkan staff/professional dan credential per kategori.</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Professional tidak dapat menerima job sebelum credential required approved.</w:t>
            </w:r>
          </w:p>
        </w:tc>
      </w:tr>
      <w:tr>
        <w:trPr>
          <w:cantSplit/>
        </w:trPr>
        <w:tc>
          <w:tcPr>
            <w:tcW w:type="dxa" w:w="1000"/>
            <w:tcMar>
              <w:top w:w="80" w:type="dxa"/>
              <w:start w:w="120" w:type="dxa"/>
              <w:bottom w:w="80" w:type="dxa"/>
              <w:end w:w="120" w:type="dxa"/>
            </w:tcMar>
            <w:vAlign w:val="center"/>
          </w:tcPr>
          <w:p>
            <w:pPr>
              <w:spacing w:after="0" w:line="252" w:lineRule="auto"/>
            </w:pPr>
            <w:r>
              <w:rPr>
                <w:rFonts w:ascii="Calibri" w:hAnsi="Calibri"/>
                <w:color w:val="334155"/>
                <w:sz w:val="17"/>
              </w:rPr>
              <w:t>PRT-05</w:t>
            </w:r>
          </w:p>
        </w:tc>
        <w:tc>
          <w:tcPr>
            <w:tcW w:type="dxa" w:w="5000"/>
            <w:tcMar>
              <w:top w:w="80" w:type="dxa"/>
              <w:start w:w="120" w:type="dxa"/>
              <w:bottom w:w="80" w:type="dxa"/>
              <w:end w:w="120" w:type="dxa"/>
            </w:tcMar>
            <w:vAlign w:val="center"/>
          </w:tcPr>
          <w:p>
            <w:pPr>
              <w:spacing w:after="0" w:line="252" w:lineRule="auto"/>
            </w:pPr>
            <w:r>
              <w:rPr>
                <w:rFonts w:ascii="Calibri" w:hAnsi="Calibri"/>
                <w:color w:val="334155"/>
                <w:sz w:val="17"/>
              </w:rPr>
              <w:t>Credential memiliki issuer, nomor, masa berlaku, dokumen, status, dan reminder.</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Expired credential otomatis menonaktifkan kategori yang mensyaratkannya.</w:t>
            </w:r>
          </w:p>
        </w:tc>
      </w:tr>
    </w:tbl>
    <w:p>
      <w:pPr>
        <w:spacing w:after="40"/>
      </w:pPr>
    </w:p>
    <w:p>
      <w:pPr>
        <w:pStyle w:val="Heading3"/>
        <w:keepNext/>
      </w:pPr>
      <w:r>
        <w:rPr>
          <w:rFonts w:ascii="Calibri" w:hAnsi="Calibri"/>
          <w:b/>
          <w:color w:val="172033"/>
          <w:sz w:val="24"/>
        </w:rPr>
        <w:t>7.3 Catalog, inventory, dan merchandising</w:t>
      </w:r>
    </w:p>
    <w:p>
      <w:pPr>
        <w:numPr>
          <w:ilvl w:val="0"/>
          <w:numId w:val="10"/>
        </w:numPr>
        <w:spacing w:after="160" w:line="280" w:lineRule="auto"/>
        <w:keepLines/>
      </w:pPr>
      <w:r>
        <w:rPr>
          <w:rFonts w:ascii="Calibri" w:hAnsi="Calibri"/>
          <w:color w:val="334155"/>
          <w:sz w:val="22"/>
        </w:rPr>
        <w:t>Partner membuat product, variant/SKU, harga, stok, foto, ingredient/material, usage, warning, brand, category, shipping data, dan status publikasi.</w:t>
      </w:r>
    </w:p>
    <w:p>
      <w:pPr>
        <w:numPr>
          <w:ilvl w:val="0"/>
          <w:numId w:val="10"/>
        </w:numPr>
        <w:spacing w:after="160" w:line="280" w:lineRule="auto"/>
        <w:keepLines/>
      </w:pPr>
      <w:r>
        <w:rPr>
          <w:rFonts w:ascii="Calibri" w:hAnsi="Calibri"/>
          <w:color w:val="334155"/>
          <w:sz w:val="22"/>
        </w:rPr>
        <w:t>Partner membuat service dengan kategori, durasi, harga, travel fee, area, requirements, contraindications, buffer time, dan cancellation policy.</w:t>
      </w:r>
    </w:p>
    <w:p>
      <w:pPr>
        <w:numPr>
          <w:ilvl w:val="0"/>
          <w:numId w:val="10"/>
        </w:numPr>
        <w:spacing w:after="160" w:line="280" w:lineRule="auto"/>
        <w:keepLines/>
      </w:pPr>
      <w:r>
        <w:rPr>
          <w:rFonts w:ascii="Calibri" w:hAnsi="Calibri"/>
          <w:color w:val="334155"/>
          <w:sz w:val="22"/>
        </w:rPr>
        <w:t>Moderation rules dapat menahan item berisiko, klaim medis, barang terlarang, atau konten duplikat.</w:t>
      </w:r>
    </w:p>
    <w:p>
      <w:pPr>
        <w:numPr>
          <w:ilvl w:val="0"/>
          <w:numId w:val="10"/>
        </w:numPr>
        <w:spacing w:after="160" w:line="280" w:lineRule="auto"/>
        <w:keepLines/>
      </w:pPr>
      <w:r>
        <w:rPr>
          <w:rFonts w:ascii="Calibri" w:hAnsi="Calibri"/>
          <w:color w:val="334155"/>
          <w:sz w:val="22"/>
        </w:rPr>
        <w:t>Inventory memakai stock ledger/reservation; checkout tidak mengurangi stok final sebelum payment confirmed.</w:t>
      </w:r>
    </w:p>
    <w:p>
      <w:pPr>
        <w:numPr>
          <w:ilvl w:val="0"/>
          <w:numId w:val="10"/>
        </w:numPr>
        <w:spacing w:after="160" w:line="280" w:lineRule="auto"/>
        <w:keepLines/>
      </w:pPr>
      <w:r>
        <w:rPr>
          <w:rFonts w:ascii="Calibri" w:hAnsi="Calibri"/>
          <w:color w:val="334155"/>
          <w:sz w:val="22"/>
        </w:rPr>
        <w:t>Search mendukung keyword, semantic retrieval, kategori, brand, harga, lokasi, rating, availability, dan safety constraints.</w:t>
      </w:r>
    </w:p>
    <w:p>
      <w:pPr>
        <w:numPr>
          <w:ilvl w:val="0"/>
          <w:numId w:val="10"/>
        </w:numPr>
        <w:spacing w:after="160" w:line="280" w:lineRule="auto"/>
        <w:keepLines/>
      </w:pPr>
      <w:r>
        <w:rPr>
          <w:rFonts w:ascii="Calibri" w:hAnsi="Calibri"/>
          <w:color w:val="334155"/>
          <w:sz w:val="22"/>
        </w:rPr>
        <w:t>Harga dan promosi disnapshot ke order item agar riwayat tidak berubah ketika katalog diedit.</w:t>
      </w:r>
    </w:p>
    <w:p>
      <w:pPr>
        <w:pStyle w:val="Heading3"/>
        <w:keepNext/>
      </w:pPr>
      <w:r>
        <w:rPr>
          <w:rFonts w:ascii="Calibri" w:hAnsi="Calibri"/>
          <w:b/>
          <w:color w:val="172033"/>
          <w:sz w:val="24"/>
        </w:rPr>
        <w:t>7.4 Professional, availability, dan home service</w:t>
      </w:r>
    </w:p>
    <w:p>
      <w:pPr>
        <w:numPr>
          <w:ilvl w:val="0"/>
          <w:numId w:val="10"/>
        </w:numPr>
        <w:spacing w:after="160" w:line="280" w:lineRule="auto"/>
        <w:keepLines/>
      </w:pPr>
      <w:r>
        <w:rPr>
          <w:rFonts w:ascii="Calibri" w:hAnsi="Calibri"/>
          <w:color w:val="334155"/>
          <w:sz w:val="22"/>
        </w:rPr>
        <w:t>Professional memiliki profil publik, skill, credential status, rating, portfolio, languages, gender preference opsional, service area, dan home base private.</w:t>
      </w:r>
    </w:p>
    <w:p>
      <w:pPr>
        <w:numPr>
          <w:ilvl w:val="0"/>
          <w:numId w:val="10"/>
        </w:numPr>
        <w:spacing w:after="160" w:line="280" w:lineRule="auto"/>
        <w:keepLines/>
      </w:pPr>
      <w:r>
        <w:rPr>
          <w:rFonts w:ascii="Calibri" w:hAnsi="Calibri"/>
          <w:color w:val="334155"/>
          <w:sz w:val="22"/>
        </w:rPr>
        <w:t>Availability terdiri dari recurring schedule, exception, leave, dan existing booking; sistem mencegah overlap.</w:t>
      </w:r>
    </w:p>
    <w:p>
      <w:pPr>
        <w:numPr>
          <w:ilvl w:val="0"/>
          <w:numId w:val="10"/>
        </w:numPr>
        <w:spacing w:after="160" w:line="280" w:lineRule="auto"/>
        <w:keepLines/>
      </w:pPr>
      <w:r>
        <w:rPr>
          <w:rFonts w:ascii="Calibri" w:hAnsi="Calibri"/>
          <w:color w:val="334155"/>
          <w:sz w:val="22"/>
        </w:rPr>
        <w:t>Customer memilih alamat, service, professional/auto-assign, tanggal, slot, add-on, notes, dan safety requirements.</w:t>
      </w:r>
    </w:p>
    <w:p>
      <w:pPr>
        <w:numPr>
          <w:ilvl w:val="0"/>
          <w:numId w:val="10"/>
        </w:numPr>
        <w:spacing w:after="160" w:line="280" w:lineRule="auto"/>
        <w:keepLines/>
      </w:pPr>
      <w:r>
        <w:rPr>
          <w:rFonts w:ascii="Calibri" w:hAnsi="Calibri"/>
          <w:color w:val="334155"/>
          <w:sz w:val="22"/>
        </w:rPr>
        <w:t>Slot di-hold dengan TTL saat checkout; hold dilepas otomatis jika payment tidak selesai.</w:t>
      </w:r>
    </w:p>
    <w:p>
      <w:pPr>
        <w:numPr>
          <w:ilvl w:val="0"/>
          <w:numId w:val="10"/>
        </w:numPr>
        <w:spacing w:after="160" w:line="280" w:lineRule="auto"/>
        <w:keepLines/>
      </w:pPr>
      <w:r>
        <w:rPr>
          <w:rFonts w:ascii="Calibri" w:hAnsi="Calibri"/>
          <w:color w:val="334155"/>
          <w:sz w:val="22"/>
        </w:rPr>
        <w:t>Professional menerima atau menolak job sesuai SLA; auto-reassignment dapat diaktifkan per kategori.</w:t>
      </w:r>
    </w:p>
    <w:p>
      <w:pPr>
        <w:numPr>
          <w:ilvl w:val="0"/>
          <w:numId w:val="10"/>
        </w:numPr>
        <w:spacing w:after="160" w:line="280" w:lineRule="auto"/>
        <w:keepLines/>
      </w:pPr>
      <w:r>
        <w:rPr>
          <w:rFonts w:ascii="Calibri" w:hAnsi="Calibri"/>
          <w:color w:val="334155"/>
          <w:sz w:val="22"/>
        </w:rPr>
        <w:t>Journey tracking hanya aktif untuk booking valid dan window tertentu, menggunakan consent dan role-limited access.</w:t>
      </w:r>
    </w:p>
    <w:p>
      <w:pPr>
        <w:numPr>
          <w:ilvl w:val="0"/>
          <w:numId w:val="10"/>
        </w:numPr>
        <w:spacing w:after="160" w:line="280" w:lineRule="auto"/>
        <w:keepLines/>
      </w:pPr>
      <w:r>
        <w:rPr>
          <w:rFonts w:ascii="Calibri" w:hAnsi="Calibri"/>
          <w:color w:val="334155"/>
          <w:sz w:val="22"/>
        </w:rPr>
        <w:t>Start/complete service memerlukan evidence sesuai risk level, misalnya OTP customer atau geofence soft check.</w:t>
      </w:r>
    </w:p>
    <w:p>
      <w:pPr>
        <w:pStyle w:val="Heading3"/>
        <w:keepNext/>
      </w:pPr>
      <w:r>
        <w:rPr>
          <w:rFonts w:ascii="Calibri" w:hAnsi="Calibri"/>
          <w:b/>
          <w:color w:val="172033"/>
          <w:sz w:val="24"/>
        </w:rPr>
        <w:t>7.5 Cart, checkout, payment, order, dan fulfillment</w:t>
      </w:r>
    </w:p>
    <w:p>
      <w:pPr>
        <w:spacing w:after="120" w:line="264" w:lineRule="auto"/>
      </w:pPr>
      <w:r>
        <w:rPr>
          <w:rFonts w:ascii="Calibri" w:hAnsi="Calibri"/>
          <w:i w:val="0"/>
          <w:color w:val="334155"/>
          <w:sz w:val="22"/>
        </w:rPr>
        <w:t>Karena satu cart dapat berisi beberapa partner, produk fisik, dan booking layanan, checkout harus menghasilkan parent checkout dengan child orders/fulfillment groups. Product fulfillment dan service appointment tidak dipaksa memakai state machine yang sama.</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000"/>
        <w:gridCol w:w="5000"/>
        <w:gridCol w:w="3360"/>
      </w:tblGrid>
      <w:tr>
        <w:trPr>
          <w:tblHeader w:val="true"/>
          <w:cantSplit/>
        </w:trPr>
        <w:tc>
          <w:tcPr>
            <w:tcW w:type="dxa" w:w="10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ID</w:t>
            </w:r>
          </w:p>
        </w:tc>
        <w:tc>
          <w:tcPr>
            <w:tcW w:type="dxa" w:w="50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Requirement</w:t>
            </w:r>
          </w:p>
        </w:tc>
        <w:tc>
          <w:tcPr>
            <w:tcW w:type="dxa" w:w="33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Acceptance ringkas</w:t>
            </w:r>
          </w:p>
        </w:tc>
      </w:tr>
      <w:tr>
        <w:trPr>
          <w:cantSplit/>
        </w:trPr>
        <w:tc>
          <w:tcPr>
            <w:tcW w:type="dxa" w:w="1000"/>
            <w:tcMar>
              <w:top w:w="80" w:type="dxa"/>
              <w:start w:w="120" w:type="dxa"/>
              <w:bottom w:w="80" w:type="dxa"/>
              <w:end w:w="120" w:type="dxa"/>
            </w:tcMar>
            <w:vAlign w:val="center"/>
          </w:tcPr>
          <w:p>
            <w:pPr>
              <w:spacing w:after="0" w:line="252" w:lineRule="auto"/>
            </w:pPr>
            <w:r>
              <w:rPr>
                <w:rFonts w:ascii="Calibri" w:hAnsi="Calibri"/>
                <w:color w:val="334155"/>
                <w:sz w:val="17"/>
              </w:rPr>
              <w:t>CHK-01</w:t>
            </w:r>
          </w:p>
        </w:tc>
        <w:tc>
          <w:tcPr>
            <w:tcW w:type="dxa" w:w="5000"/>
            <w:tcMar>
              <w:top w:w="80" w:type="dxa"/>
              <w:start w:w="120" w:type="dxa"/>
              <w:bottom w:w="80" w:type="dxa"/>
              <w:end w:w="120" w:type="dxa"/>
            </w:tcMar>
            <w:vAlign w:val="center"/>
          </w:tcPr>
          <w:p>
            <w:pPr>
              <w:spacing w:after="0" w:line="252" w:lineRule="auto"/>
            </w:pPr>
            <w:r>
              <w:rPr>
                <w:rFonts w:ascii="Calibri" w:hAnsi="Calibri"/>
                <w:color w:val="334155"/>
                <w:sz w:val="17"/>
              </w:rPr>
              <w:t>Cart mendukung item dari beberapa partner dan jenis fulfillment.</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UI menampilkan grouping, ongkir/travel, waktu, kebijakan, dan total.</w:t>
            </w:r>
          </w:p>
        </w:tc>
      </w:tr>
      <w:tr>
        <w:trPr>
          <w:cantSplit/>
        </w:trPr>
        <w:tc>
          <w:tcPr>
            <w:tcW w:type="dxa" w:w="1000"/>
            <w:tcMar>
              <w:top w:w="80" w:type="dxa"/>
              <w:start w:w="120" w:type="dxa"/>
              <w:bottom w:w="80" w:type="dxa"/>
              <w:end w:w="120" w:type="dxa"/>
            </w:tcMar>
            <w:vAlign w:val="center"/>
          </w:tcPr>
          <w:p>
            <w:pPr>
              <w:spacing w:after="0" w:line="252" w:lineRule="auto"/>
            </w:pPr>
            <w:r>
              <w:rPr>
                <w:rFonts w:ascii="Calibri" w:hAnsi="Calibri"/>
                <w:color w:val="334155"/>
                <w:sz w:val="17"/>
              </w:rPr>
              <w:t>CHK-02</w:t>
            </w:r>
          </w:p>
        </w:tc>
        <w:tc>
          <w:tcPr>
            <w:tcW w:type="dxa" w:w="5000"/>
            <w:tcMar>
              <w:top w:w="80" w:type="dxa"/>
              <w:start w:w="120" w:type="dxa"/>
              <w:bottom w:w="80" w:type="dxa"/>
              <w:end w:w="120" w:type="dxa"/>
            </w:tcMar>
            <w:vAlign w:val="center"/>
          </w:tcPr>
          <w:p>
            <w:pPr>
              <w:spacing w:after="0" w:line="252" w:lineRule="auto"/>
            </w:pPr>
            <w:r>
              <w:rPr>
                <w:rFonts w:ascii="Calibri" w:hAnsi="Calibri"/>
                <w:color w:val="334155"/>
                <w:sz w:val="17"/>
              </w:rPr>
              <w:t>Quote divalidasi ulang sebelum payment intent.</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Harga, promo, stock, slot, area, dan fee tidak stale.</w:t>
            </w:r>
          </w:p>
        </w:tc>
      </w:tr>
      <w:tr>
        <w:trPr>
          <w:cantSplit/>
        </w:trPr>
        <w:tc>
          <w:tcPr>
            <w:tcW w:type="dxa" w:w="1000"/>
            <w:tcMar>
              <w:top w:w="80" w:type="dxa"/>
              <w:start w:w="120" w:type="dxa"/>
              <w:bottom w:w="80" w:type="dxa"/>
              <w:end w:w="120" w:type="dxa"/>
            </w:tcMar>
            <w:vAlign w:val="center"/>
          </w:tcPr>
          <w:p>
            <w:pPr>
              <w:spacing w:after="0" w:line="252" w:lineRule="auto"/>
            </w:pPr>
            <w:r>
              <w:rPr>
                <w:rFonts w:ascii="Calibri" w:hAnsi="Calibri"/>
                <w:color w:val="334155"/>
                <w:sz w:val="17"/>
              </w:rPr>
              <w:t>CHK-03</w:t>
            </w:r>
          </w:p>
        </w:tc>
        <w:tc>
          <w:tcPr>
            <w:tcW w:type="dxa" w:w="5000"/>
            <w:tcMar>
              <w:top w:w="80" w:type="dxa"/>
              <w:start w:w="120" w:type="dxa"/>
              <w:bottom w:w="80" w:type="dxa"/>
              <w:end w:w="120" w:type="dxa"/>
            </w:tcMar>
            <w:vAlign w:val="center"/>
          </w:tcPr>
          <w:p>
            <w:pPr>
              <w:spacing w:after="0" w:line="252" w:lineRule="auto"/>
            </w:pPr>
            <w:r>
              <w:rPr>
                <w:rFonts w:ascii="Calibri" w:hAnsi="Calibri"/>
                <w:color w:val="334155"/>
                <w:sz w:val="17"/>
              </w:rPr>
              <w:t>Checkout bersifat idempotent.</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Retry dengan idempotency key tidak membuat order/payment ganda.</w:t>
            </w:r>
          </w:p>
        </w:tc>
      </w:tr>
      <w:tr>
        <w:trPr>
          <w:cantSplit/>
        </w:trPr>
        <w:tc>
          <w:tcPr>
            <w:tcW w:type="dxa" w:w="1000"/>
            <w:tcMar>
              <w:top w:w="80" w:type="dxa"/>
              <w:start w:w="120" w:type="dxa"/>
              <w:bottom w:w="80" w:type="dxa"/>
              <w:end w:w="120" w:type="dxa"/>
            </w:tcMar>
            <w:vAlign w:val="center"/>
          </w:tcPr>
          <w:p>
            <w:pPr>
              <w:spacing w:after="0" w:line="252" w:lineRule="auto"/>
            </w:pPr>
            <w:r>
              <w:rPr>
                <w:rFonts w:ascii="Calibri" w:hAnsi="Calibri"/>
                <w:color w:val="334155"/>
                <w:sz w:val="17"/>
              </w:rPr>
              <w:t>PAY-01</w:t>
            </w:r>
          </w:p>
        </w:tc>
        <w:tc>
          <w:tcPr>
            <w:tcW w:type="dxa" w:w="5000"/>
            <w:tcMar>
              <w:top w:w="80" w:type="dxa"/>
              <w:start w:w="120" w:type="dxa"/>
              <w:bottom w:w="80" w:type="dxa"/>
              <w:end w:w="120" w:type="dxa"/>
            </w:tcMar>
            <w:vAlign w:val="center"/>
          </w:tcPr>
          <w:p>
            <w:pPr>
              <w:spacing w:after="0" w:line="252" w:lineRule="auto"/>
            </w:pPr>
            <w:r>
              <w:rPr>
                <w:rFonts w:ascii="Calibri" w:hAnsi="Calibri"/>
                <w:color w:val="334155"/>
                <w:sz w:val="17"/>
              </w:rPr>
              <w:t>Payment status ditentukan oleh signed webhook.</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Client redirect bukan sumber final; duplicate/out-of-order webhook aman.</w:t>
            </w:r>
          </w:p>
        </w:tc>
      </w:tr>
      <w:tr>
        <w:trPr>
          <w:cantSplit/>
        </w:trPr>
        <w:tc>
          <w:tcPr>
            <w:tcW w:type="dxa" w:w="1000"/>
            <w:tcMar>
              <w:top w:w="80" w:type="dxa"/>
              <w:start w:w="120" w:type="dxa"/>
              <w:bottom w:w="80" w:type="dxa"/>
              <w:end w:w="120" w:type="dxa"/>
            </w:tcMar>
            <w:vAlign w:val="center"/>
          </w:tcPr>
          <w:p>
            <w:pPr>
              <w:spacing w:after="0" w:line="252" w:lineRule="auto"/>
            </w:pPr>
            <w:r>
              <w:rPr>
                <w:rFonts w:ascii="Calibri" w:hAnsi="Calibri"/>
                <w:color w:val="334155"/>
                <w:sz w:val="17"/>
              </w:rPr>
              <w:t>ORD-01</w:t>
            </w:r>
          </w:p>
        </w:tc>
        <w:tc>
          <w:tcPr>
            <w:tcW w:type="dxa" w:w="5000"/>
            <w:tcMar>
              <w:top w:w="80" w:type="dxa"/>
              <w:start w:w="120" w:type="dxa"/>
              <w:bottom w:w="80" w:type="dxa"/>
              <w:end w:w="120" w:type="dxa"/>
            </w:tcMar>
            <w:vAlign w:val="center"/>
          </w:tcPr>
          <w:p>
            <w:pPr>
              <w:spacing w:after="0" w:line="252" w:lineRule="auto"/>
            </w:pPr>
            <w:r>
              <w:rPr>
                <w:rFonts w:ascii="Calibri" w:hAnsi="Calibri"/>
                <w:color w:val="334155"/>
                <w:sz w:val="17"/>
              </w:rPr>
              <w:t>Order memiliki timeline dan customer-facing status.</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Internal reason disaring; history immutable.</w:t>
            </w:r>
          </w:p>
        </w:tc>
      </w:tr>
      <w:tr>
        <w:trPr>
          <w:cantSplit/>
        </w:trPr>
        <w:tc>
          <w:tcPr>
            <w:tcW w:type="dxa" w:w="1000"/>
            <w:tcMar>
              <w:top w:w="80" w:type="dxa"/>
              <w:start w:w="120" w:type="dxa"/>
              <w:bottom w:w="80" w:type="dxa"/>
              <w:end w:w="120" w:type="dxa"/>
            </w:tcMar>
            <w:vAlign w:val="center"/>
          </w:tcPr>
          <w:p>
            <w:pPr>
              <w:spacing w:after="0" w:line="252" w:lineRule="auto"/>
            </w:pPr>
            <w:r>
              <w:rPr>
                <w:rFonts w:ascii="Calibri" w:hAnsi="Calibri"/>
                <w:color w:val="334155"/>
                <w:sz w:val="17"/>
              </w:rPr>
              <w:t>FUL-01</w:t>
            </w:r>
          </w:p>
        </w:tc>
        <w:tc>
          <w:tcPr>
            <w:tcW w:type="dxa" w:w="5000"/>
            <w:tcMar>
              <w:top w:w="80" w:type="dxa"/>
              <w:start w:w="120" w:type="dxa"/>
              <w:bottom w:w="80" w:type="dxa"/>
              <w:end w:w="120" w:type="dxa"/>
            </w:tcMar>
            <w:vAlign w:val="center"/>
          </w:tcPr>
          <w:p>
            <w:pPr>
              <w:spacing w:after="0" w:line="252" w:lineRule="auto"/>
            </w:pPr>
            <w:r>
              <w:rPr>
                <w:rFonts w:ascii="Calibri" w:hAnsi="Calibri"/>
                <w:color w:val="334155"/>
                <w:sz w:val="17"/>
              </w:rPr>
              <w:t>Produk dapat menggunakan internal/manual/courier adapter.</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Nomor resi dan event tracking disimpan secara normalized.</w:t>
            </w:r>
          </w:p>
        </w:tc>
      </w:tr>
      <w:tr>
        <w:trPr>
          <w:cantSplit/>
        </w:trPr>
        <w:tc>
          <w:tcPr>
            <w:tcW w:type="dxa" w:w="1000"/>
            <w:tcMar>
              <w:top w:w="80" w:type="dxa"/>
              <w:start w:w="120" w:type="dxa"/>
              <w:bottom w:w="80" w:type="dxa"/>
              <w:end w:w="120" w:type="dxa"/>
            </w:tcMar>
            <w:vAlign w:val="center"/>
          </w:tcPr>
          <w:p>
            <w:pPr>
              <w:spacing w:after="0" w:line="252" w:lineRule="auto"/>
            </w:pPr>
            <w:r>
              <w:rPr>
                <w:rFonts w:ascii="Calibri" w:hAnsi="Calibri"/>
                <w:color w:val="334155"/>
                <w:sz w:val="17"/>
              </w:rPr>
              <w:t>REF-01</w:t>
            </w:r>
          </w:p>
        </w:tc>
        <w:tc>
          <w:tcPr>
            <w:tcW w:type="dxa" w:w="5000"/>
            <w:tcMar>
              <w:top w:w="80" w:type="dxa"/>
              <w:start w:w="120" w:type="dxa"/>
              <w:bottom w:w="80" w:type="dxa"/>
              <w:end w:w="120" w:type="dxa"/>
            </w:tcMar>
            <w:vAlign w:val="center"/>
          </w:tcPr>
          <w:p>
            <w:pPr>
              <w:spacing w:after="0" w:line="252" w:lineRule="auto"/>
            </w:pPr>
            <w:r>
              <w:rPr>
                <w:rFonts w:ascii="Calibri" w:hAnsi="Calibri"/>
                <w:color w:val="334155"/>
                <w:sz w:val="17"/>
              </w:rPr>
              <w:t>Refund parsial/penuh menghasilkan reversal ledger.</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Komisi dan payout direkonsiliasi tanpa edit riwayat.</w:t>
            </w:r>
          </w:p>
        </w:tc>
      </w:tr>
    </w:tbl>
    <w:p>
      <w:pPr>
        <w:spacing w:after="40"/>
      </w:pPr>
    </w:p>
    <w:p>
      <w:pPr>
        <w:pStyle w:val="Heading3"/>
        <w:keepNext/>
      </w:pPr>
      <w:r>
        <w:rPr>
          <w:rFonts w:ascii="Calibri" w:hAnsi="Calibri"/>
          <w:b/>
          <w:color w:val="172033"/>
          <w:sz w:val="24"/>
        </w:rPr>
        <w:t>7.6 Tracking</w:t>
      </w:r>
    </w:p>
    <w:p>
      <w:pPr>
        <w:numPr>
          <w:ilvl w:val="0"/>
          <w:numId w:val="10"/>
        </w:numPr>
        <w:spacing w:after="160" w:line="280" w:lineRule="auto"/>
        <w:keepLines/>
      </w:pPr>
      <w:r>
        <w:rPr>
          <w:rFonts w:ascii="Calibri" w:hAnsi="Calibri"/>
          <w:color w:val="334155"/>
          <w:sz w:val="22"/>
        </w:rPr>
        <w:t>Produk: tampilkan status normalized dari courier (preparing, picked_up, in_transit, delivered, exception) beserta raw provider reference untuk audit.</w:t>
      </w:r>
    </w:p>
    <w:p>
      <w:pPr>
        <w:numPr>
          <w:ilvl w:val="0"/>
          <w:numId w:val="10"/>
        </w:numPr>
        <w:spacing w:after="160" w:line="280" w:lineRule="auto"/>
        <w:keepLines/>
      </w:pPr>
      <w:r>
        <w:rPr>
          <w:rFonts w:ascii="Calibri" w:hAnsi="Calibri"/>
          <w:color w:val="334155"/>
          <w:sz w:val="22"/>
        </w:rPr>
        <w:t>Home service: status professional (assigned, accepted, preparing, en_route, arrived, in_service, completed).</w:t>
      </w:r>
    </w:p>
    <w:p>
      <w:pPr>
        <w:numPr>
          <w:ilvl w:val="0"/>
          <w:numId w:val="10"/>
        </w:numPr>
        <w:spacing w:after="160" w:line="280" w:lineRule="auto"/>
        <w:keepLines/>
      </w:pPr>
      <w:r>
        <w:rPr>
          <w:rFonts w:ascii="Calibri" w:hAnsi="Calibri"/>
          <w:color w:val="334155"/>
          <w:sz w:val="22"/>
        </w:rPr>
        <w:t>Live GPS hanya dikirim ketika en_route sampai arrived/completed, dengan access token booking-scoped dan expiry singkat.</w:t>
      </w:r>
    </w:p>
    <w:p>
      <w:pPr>
        <w:numPr>
          <w:ilvl w:val="0"/>
          <w:numId w:val="10"/>
        </w:numPr>
        <w:spacing w:after="160" w:line="280" w:lineRule="auto"/>
        <w:keepLines/>
      </w:pPr>
      <w:r>
        <w:rPr>
          <w:rFonts w:ascii="Calibri" w:hAnsi="Calibri"/>
          <w:color w:val="334155"/>
          <w:sz w:val="22"/>
        </w:rPr>
        <w:t>Customer hanya melihat professional yang ditugaskan; partner hanya melihat professional miliknya; support menggunakan akses kasus yang diaudit.</w:t>
      </w:r>
    </w:p>
    <w:p>
      <w:pPr>
        <w:numPr>
          <w:ilvl w:val="0"/>
          <w:numId w:val="10"/>
        </w:numPr>
        <w:spacing w:after="160" w:line="280" w:lineRule="auto"/>
        <w:keepLines/>
      </w:pPr>
      <w:r>
        <w:rPr>
          <w:rFonts w:ascii="Calibri" w:hAnsi="Calibri"/>
          <w:color w:val="334155"/>
          <w:sz w:val="22"/>
        </w:rPr>
        <w:t>Raw location tidak masuk Qdrant atau analytics generatif. Retensi awal yang disarankan 30 hari, kemudian dihapus atau diagregasi—tetap menunggu kebijakan legal dan fraud.</w:t>
      </w:r>
    </w:p>
    <w:p>
      <w:pPr>
        <w:pStyle w:val="Heading3"/>
        <w:keepNext/>
      </w:pPr>
      <w:r>
        <w:rPr>
          <w:rFonts w:ascii="Calibri" w:hAnsi="Calibri"/>
          <w:b/>
          <w:color w:val="172033"/>
          <w:sz w:val="24"/>
        </w:rPr>
        <w:t>7.7 Commission, ledger, settlement, dan payout</w:t>
      </w:r>
    </w:p>
    <w:p>
      <w:pPr>
        <w:numPr>
          <w:ilvl w:val="0"/>
          <w:numId w:val="10"/>
        </w:numPr>
        <w:spacing w:after="160" w:line="280" w:lineRule="auto"/>
        <w:keepLines/>
      </w:pPr>
      <w:r>
        <w:rPr>
          <w:rFonts w:ascii="Calibri" w:hAnsi="Calibri"/>
          <w:color w:val="334155"/>
          <w:sz w:val="22"/>
        </w:rPr>
        <w:t>Setiap transaksi finansial menghasilkan entries debit/credit dengan reference, currency, amount integer minor unit, actor, tenant, dan timestamp.</w:t>
      </w:r>
    </w:p>
    <w:p>
      <w:pPr>
        <w:numPr>
          <w:ilvl w:val="0"/>
          <w:numId w:val="10"/>
        </w:numPr>
        <w:spacing w:after="160" w:line="280" w:lineRule="auto"/>
        <w:keepLines/>
      </w:pPr>
      <w:r>
        <w:rPr>
          <w:rFonts w:ascii="Calibri" w:hAnsi="Calibri"/>
          <w:color w:val="334155"/>
          <w:sz w:val="22"/>
        </w:rPr>
        <w:t>Platform commission dihitung per order item/service line, bukan hanya total checkout.</w:t>
      </w:r>
    </w:p>
    <w:p>
      <w:pPr>
        <w:numPr>
          <w:ilvl w:val="0"/>
          <w:numId w:val="10"/>
        </w:numPr>
        <w:spacing w:after="160" w:line="280" w:lineRule="auto"/>
        <w:keepLines/>
      </w:pPr>
      <w:r>
        <w:rPr>
          <w:rFonts w:ascii="Calibri" w:hAnsi="Calibri"/>
          <w:color w:val="334155"/>
          <w:sz w:val="22"/>
        </w:rPr>
        <w:t>Settlement hanya eligible setelah fulfillment selesai, payment captured, dan hold period terpenuhi.</w:t>
      </w:r>
    </w:p>
    <w:p>
      <w:pPr>
        <w:numPr>
          <w:ilvl w:val="0"/>
          <w:numId w:val="10"/>
        </w:numPr>
        <w:spacing w:after="160" w:line="280" w:lineRule="auto"/>
        <w:keepLines/>
      </w:pPr>
      <w:r>
        <w:rPr>
          <w:rFonts w:ascii="Calibri" w:hAnsi="Calibri"/>
          <w:color w:val="334155"/>
          <w:sz w:val="22"/>
        </w:rPr>
        <w:t>Payout batch menyimpan provider reference, beneficiary snapshot, fee, status, dan reconciliation result.</w:t>
      </w:r>
    </w:p>
    <w:p>
      <w:pPr>
        <w:numPr>
          <w:ilvl w:val="0"/>
          <w:numId w:val="10"/>
        </w:numPr>
        <w:spacing w:after="160" w:line="280" w:lineRule="auto"/>
        <w:keepLines/>
      </w:pPr>
      <w:r>
        <w:rPr>
          <w:rFonts w:ascii="Calibri" w:hAnsi="Calibri"/>
          <w:color w:val="334155"/>
          <w:sz w:val="22"/>
        </w:rPr>
        <w:t>Perubahan rekening payout memerlukan MFA/step-up, cooling-off period, notifikasi, dan review risiko.</w:t>
      </w:r>
    </w:p>
    <w:p>
      <w:pPr>
        <w:numPr>
          <w:ilvl w:val="0"/>
          <w:numId w:val="10"/>
        </w:numPr>
        <w:spacing w:after="160" w:line="280" w:lineRule="auto"/>
        <w:keepLines/>
      </w:pPr>
      <w:r>
        <w:rPr>
          <w:rFonts w:ascii="Calibri" w:hAnsi="Calibri"/>
          <w:color w:val="334155"/>
          <w:sz w:val="22"/>
        </w:rPr>
        <w:t>Dashboard partner menampilkan gross sales, discounts, refunds, commission, gateway fee, adjustments, pending balance, dan paid balance secara terpisah.</w:t>
      </w:r>
    </w:p>
    <w:p>
      <w:pPr>
        <w:pStyle w:val="Heading3"/>
        <w:keepNext/>
      </w:pPr>
      <w:r>
        <w:rPr>
          <w:rFonts w:ascii="Calibri" w:hAnsi="Calibri"/>
          <w:b/>
          <w:color w:val="172033"/>
          <w:sz w:val="24"/>
        </w:rPr>
        <w:t>7.8 Admin platform</w:t>
      </w:r>
    </w:p>
    <w:p>
      <w:pPr>
        <w:numPr>
          <w:ilvl w:val="0"/>
          <w:numId w:val="10"/>
        </w:numPr>
        <w:spacing w:after="160" w:line="280" w:lineRule="auto"/>
        <w:keepLines/>
      </w:pPr>
      <w:r>
        <w:rPr>
          <w:rFonts w:ascii="Calibri" w:hAnsi="Calibri"/>
          <w:color w:val="334155"/>
          <w:sz w:val="22"/>
        </w:rPr>
        <w:t>Global dashboard: GMV, order/booking, partner activation, payment failure, payout, dispute, moderation, dan security alerts.</w:t>
      </w:r>
    </w:p>
    <w:p>
      <w:pPr>
        <w:numPr>
          <w:ilvl w:val="0"/>
          <w:numId w:val="10"/>
        </w:numPr>
        <w:spacing w:after="160" w:line="280" w:lineRule="auto"/>
        <w:keepLines/>
      </w:pPr>
      <w:r>
        <w:rPr>
          <w:rFonts w:ascii="Calibri" w:hAnsi="Calibri"/>
          <w:color w:val="334155"/>
          <w:sz w:val="22"/>
        </w:rPr>
        <w:t>Partner management: approve/reject/suspend/block, credential review, category capability, risk label, dan internal notes.</w:t>
      </w:r>
    </w:p>
    <w:p>
      <w:pPr>
        <w:numPr>
          <w:ilvl w:val="0"/>
          <w:numId w:val="10"/>
        </w:numPr>
        <w:spacing w:after="160" w:line="280" w:lineRule="auto"/>
        <w:keepLines/>
      </w:pPr>
      <w:r>
        <w:rPr>
          <w:rFonts w:ascii="Calibri" w:hAnsi="Calibri"/>
          <w:color w:val="334155"/>
          <w:sz w:val="22"/>
        </w:rPr>
        <w:t>Transaction operations: search lintas order/payment/refund/payout dengan reasoned privileged actions.</w:t>
      </w:r>
    </w:p>
    <w:p>
      <w:pPr>
        <w:numPr>
          <w:ilvl w:val="0"/>
          <w:numId w:val="10"/>
        </w:numPr>
        <w:spacing w:after="160" w:line="280" w:lineRule="auto"/>
        <w:keepLines/>
      </w:pPr>
      <w:r>
        <w:rPr>
          <w:rFonts w:ascii="Calibri" w:hAnsi="Calibri"/>
          <w:color w:val="334155"/>
          <w:sz w:val="22"/>
        </w:rPr>
        <w:t>Content moderation: product, service, review, claim medis, image, dan prohibited-item policy.</w:t>
      </w:r>
    </w:p>
    <w:p>
      <w:pPr>
        <w:numPr>
          <w:ilvl w:val="0"/>
          <w:numId w:val="10"/>
        </w:numPr>
        <w:spacing w:after="160" w:line="280" w:lineRule="auto"/>
        <w:keepLines/>
      </w:pPr>
      <w:r>
        <w:rPr>
          <w:rFonts w:ascii="Calibri" w:hAnsi="Calibri"/>
          <w:color w:val="334155"/>
          <w:sz w:val="22"/>
        </w:rPr>
        <w:t>Access administration: role template, permission grant, session revoke, MFA reset dengan dual control untuk tindakan sensitif.</w:t>
      </w:r>
    </w:p>
    <w:p>
      <w:pPr>
        <w:numPr>
          <w:ilvl w:val="0"/>
          <w:numId w:val="10"/>
        </w:numPr>
        <w:spacing w:after="160" w:line="280" w:lineRule="auto"/>
        <w:keepLines/>
      </w:pPr>
      <w:r>
        <w:rPr>
          <w:rFonts w:ascii="Calibri" w:hAnsi="Calibri"/>
          <w:color w:val="334155"/>
          <w:sz w:val="22"/>
        </w:rPr>
        <w:t>Audit explorer: siapa melakukan apa, kapan, dari mana, pada resource mana, sebelum/sesudah, correlation ID.</w:t>
      </w:r>
    </w:p>
    <w:p>
      <w:pPr>
        <w:numPr>
          <w:ilvl w:val="0"/>
          <w:numId w:val="10"/>
        </w:numPr>
        <w:spacing w:after="160" w:line="280" w:lineRule="auto"/>
        <w:keepLines/>
      </w:pPr>
      <w:r>
        <w:rPr>
          <w:rFonts w:ascii="Calibri" w:hAnsi="Calibri"/>
          <w:color w:val="334155"/>
          <w:sz w:val="22"/>
        </w:rPr>
        <w:t>Config/feature flags: commission, cancellation, AI rollout, category eligibility, provider routing, dan maintenance mode.</w:t>
      </w:r>
    </w:p>
    <w:p>
      <w:pPr>
        <w:pStyle w:val="Heading3"/>
        <w:keepNext/>
      </w:pPr>
      <w:r>
        <w:rPr>
          <w:rFonts w:ascii="Calibri" w:hAnsi="Calibri"/>
          <w:b/>
          <w:color w:val="172033"/>
          <w:sz w:val="24"/>
        </w:rPr>
        <w:t>7.9 Notification, review, dispute, dan support</w:t>
      </w:r>
    </w:p>
    <w:p>
      <w:pPr>
        <w:numPr>
          <w:ilvl w:val="0"/>
          <w:numId w:val="10"/>
        </w:numPr>
        <w:spacing w:after="160" w:line="280" w:lineRule="auto"/>
        <w:keepLines/>
      </w:pPr>
      <w:r>
        <w:rPr>
          <w:rFonts w:ascii="Calibri" w:hAnsi="Calibri"/>
          <w:color w:val="334155"/>
          <w:sz w:val="22"/>
        </w:rPr>
        <w:t>Notification center dan channel email/push/WhatsApp/SMS sesuai consent dan criticality.</w:t>
      </w:r>
    </w:p>
    <w:p>
      <w:pPr>
        <w:numPr>
          <w:ilvl w:val="0"/>
          <w:numId w:val="10"/>
        </w:numPr>
        <w:spacing w:after="160" w:line="280" w:lineRule="auto"/>
        <w:keepLines/>
      </w:pPr>
      <w:r>
        <w:rPr>
          <w:rFonts w:ascii="Calibri" w:hAnsi="Calibri"/>
          <w:color w:val="334155"/>
          <w:sz w:val="22"/>
        </w:rPr>
        <w:t>Template notification berversi, localized, dan tidak membocorkan data sensitif pada lock-screen.</w:t>
      </w:r>
    </w:p>
    <w:p>
      <w:pPr>
        <w:numPr>
          <w:ilvl w:val="0"/>
          <w:numId w:val="10"/>
        </w:numPr>
        <w:spacing w:after="160" w:line="280" w:lineRule="auto"/>
        <w:keepLines/>
      </w:pPr>
      <w:r>
        <w:rPr>
          <w:rFonts w:ascii="Calibri" w:hAnsi="Calibri"/>
          <w:color w:val="334155"/>
          <w:sz w:val="22"/>
        </w:rPr>
        <w:t>Review hanya setelah fulfilled; rating dipisah untuk product, partner, professional, dan service.</w:t>
      </w:r>
    </w:p>
    <w:p>
      <w:pPr>
        <w:numPr>
          <w:ilvl w:val="0"/>
          <w:numId w:val="10"/>
        </w:numPr>
        <w:spacing w:after="160" w:line="280" w:lineRule="auto"/>
        <w:keepLines/>
      </w:pPr>
      <w:r>
        <w:rPr>
          <w:rFonts w:ascii="Calibri" w:hAnsi="Calibri"/>
          <w:color w:val="334155"/>
          <w:sz w:val="22"/>
        </w:rPr>
        <w:t>Dispute memiliki category, evidence, SLA, assignee, decision, refund linkage, dan audit trail.</w:t>
      </w:r>
    </w:p>
    <w:p>
      <w:pPr>
        <w:numPr>
          <w:ilvl w:val="0"/>
          <w:numId w:val="10"/>
        </w:numPr>
        <w:spacing w:after="160" w:line="280" w:lineRule="auto"/>
        <w:keepLines/>
      </w:pPr>
      <w:r>
        <w:rPr>
          <w:rFonts w:ascii="Calibri" w:hAnsi="Calibri"/>
          <w:color w:val="334155"/>
          <w:sz w:val="22"/>
        </w:rPr>
        <w:t>Support access menggunakan least privilege; data sensitif dimasking dan unmask action diaudit.</w:t>
      </w:r>
    </w:p>
    <w:p>
      <w:pPr>
        <w:pStyle w:val="Heading2"/>
        <w:keepNext/>
      </w:pPr>
      <w:r>
        <w:rPr>
          <w:rFonts w:ascii="Calibri" w:hAnsi="Calibri"/>
          <w:b/>
          <w:color w:val="4F46E5"/>
          <w:sz w:val="26"/>
        </w:rPr>
        <w:t>8. AI requirements</w:t>
      </w:r>
    </w:p>
    <w:p>
      <w:pPr>
        <w:pStyle w:val="Heading3"/>
        <w:keepNext/>
      </w:pPr>
      <w:r>
        <w:rPr>
          <w:rFonts w:ascii="Calibri" w:hAnsi="Calibri"/>
          <w:b/>
          <w:color w:val="172033"/>
          <w:sz w:val="24"/>
        </w:rPr>
        <w:t>8.1 Customer AI assistant</w:t>
      </w:r>
    </w:p>
    <w:p>
      <w:pPr>
        <w:spacing w:after="100"/>
        <w:jc w:val="center"/>
        <w:keepNext/>
      </w:pPr>
      <w:r>
        <w:drawing>
          <wp:inline xmlns:a="http://schemas.openxmlformats.org/drawingml/2006/main" xmlns:pic="http://schemas.openxmlformats.org/drawingml/2006/picture">
            <wp:extent cx="5715000" cy="2063750"/>
            <wp:docPr id="1" name="Picture 1" descr="Gambar 1. Pipeline rekomendasi yang memisahkan safety, retrieval, ranking, dan penjelasan." title="Gambar 1. Pipeline rekomendasi yang memisahkan safety, retrieval, ranking, dan penjelasan."/>
            <wp:cNvGraphicFramePr>
              <a:graphicFrameLocks noChangeAspect="1"/>
            </wp:cNvGraphicFramePr>
            <a:graphic>
              <a:graphicData uri="http://schemas.openxmlformats.org/drawingml/2006/picture">
                <pic:pic>
                  <pic:nvPicPr>
                    <pic:cNvPr id="0" name="yoru_ai_pipeline.png"/>
                    <pic:cNvPicPr/>
                  </pic:nvPicPr>
                  <pic:blipFill>
                    <a:blip r:embed="rId11"/>
                    <a:stretch>
                      <a:fillRect/>
                    </a:stretch>
                  </pic:blipFill>
                  <pic:spPr>
                    <a:xfrm>
                      <a:off x="0" y="0"/>
                      <a:ext cx="5715000" cy="2063750"/>
                    </a:xfrm>
                    <a:prstGeom prst="rect"/>
                  </pic:spPr>
                </pic:pic>
              </a:graphicData>
            </a:graphic>
          </wp:inline>
        </w:drawing>
      </w:r>
    </w:p>
    <w:p>
      <w:pPr>
        <w:spacing w:after="160"/>
        <w:jc w:val="center"/>
      </w:pPr>
      <w:r>
        <w:rPr>
          <w:rFonts w:ascii="Calibri" w:hAnsi="Calibri"/>
          <w:i/>
          <w:color w:val="64748B"/>
          <w:sz w:val="18"/>
        </w:rPr>
        <w:t>Gambar 1. Pipeline rekomendasi yang memisahkan safety, retrieval, ranking, dan penjelasan.</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000"/>
        <w:gridCol w:w="5000"/>
        <w:gridCol w:w="3360"/>
      </w:tblGrid>
      <w:tr>
        <w:trPr>
          <w:tblHeader w:val="true"/>
          <w:cantSplit/>
        </w:trPr>
        <w:tc>
          <w:tcPr>
            <w:tcW w:type="dxa" w:w="10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ID</w:t>
            </w:r>
          </w:p>
        </w:tc>
        <w:tc>
          <w:tcPr>
            <w:tcW w:type="dxa" w:w="50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Requirement</w:t>
            </w:r>
          </w:p>
        </w:tc>
        <w:tc>
          <w:tcPr>
            <w:tcW w:type="dxa" w:w="33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Acceptance ringkas</w:t>
            </w:r>
          </w:p>
        </w:tc>
      </w:tr>
      <w:tr>
        <w:trPr>
          <w:cantSplit/>
        </w:trPr>
        <w:tc>
          <w:tcPr>
            <w:tcW w:type="dxa" w:w="1000"/>
            <w:tcMar>
              <w:top w:w="80" w:type="dxa"/>
              <w:start w:w="120" w:type="dxa"/>
              <w:bottom w:w="80" w:type="dxa"/>
              <w:end w:w="120" w:type="dxa"/>
            </w:tcMar>
            <w:vAlign w:val="center"/>
          </w:tcPr>
          <w:p>
            <w:pPr>
              <w:spacing w:after="0" w:line="252" w:lineRule="auto"/>
            </w:pPr>
            <w:r>
              <w:rPr>
                <w:rFonts w:ascii="Calibri" w:hAnsi="Calibri"/>
                <w:color w:val="334155"/>
                <w:sz w:val="17"/>
              </w:rPr>
              <w:t>AI-C01</w:t>
            </w:r>
          </w:p>
        </w:tc>
        <w:tc>
          <w:tcPr>
            <w:tcW w:type="dxa" w:w="5000"/>
            <w:tcMar>
              <w:top w:w="80" w:type="dxa"/>
              <w:start w:w="120" w:type="dxa"/>
              <w:bottom w:w="80" w:type="dxa"/>
              <w:end w:w="120" w:type="dxa"/>
            </w:tcMar>
            <w:vAlign w:val="center"/>
          </w:tcPr>
          <w:p>
            <w:pPr>
              <w:spacing w:after="0" w:line="252" w:lineRule="auto"/>
            </w:pPr>
            <w:r>
              <w:rPr>
                <w:rFonts w:ascii="Calibri" w:hAnsi="Calibri"/>
                <w:color w:val="334155"/>
                <w:sz w:val="17"/>
              </w:rPr>
              <w:t>Assistant menerima teks, budget, preferensi, dan foto opsional.</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Consent foto eksplisit; input tervalidasi; user dapat lanjut tanpa foto.</w:t>
            </w:r>
          </w:p>
        </w:tc>
      </w:tr>
      <w:tr>
        <w:trPr>
          <w:cantSplit/>
        </w:trPr>
        <w:tc>
          <w:tcPr>
            <w:tcW w:type="dxa" w:w="1000"/>
            <w:tcMar>
              <w:top w:w="80" w:type="dxa"/>
              <w:start w:w="120" w:type="dxa"/>
              <w:bottom w:w="80" w:type="dxa"/>
              <w:end w:w="120" w:type="dxa"/>
            </w:tcMar>
            <w:vAlign w:val="center"/>
          </w:tcPr>
          <w:p>
            <w:pPr>
              <w:spacing w:after="0" w:line="252" w:lineRule="auto"/>
            </w:pPr>
            <w:r>
              <w:rPr>
                <w:rFonts w:ascii="Calibri" w:hAnsi="Calibri"/>
                <w:color w:val="334155"/>
                <w:sz w:val="17"/>
              </w:rPr>
              <w:t>AI-C02</w:t>
            </w:r>
          </w:p>
        </w:tc>
        <w:tc>
          <w:tcPr>
            <w:tcW w:type="dxa" w:w="5000"/>
            <w:tcMar>
              <w:top w:w="80" w:type="dxa"/>
              <w:start w:w="120" w:type="dxa"/>
              <w:bottom w:w="80" w:type="dxa"/>
              <w:end w:w="120" w:type="dxa"/>
            </w:tcMar>
            <w:vAlign w:val="center"/>
          </w:tcPr>
          <w:p>
            <w:pPr>
              <w:spacing w:after="0" w:line="252" w:lineRule="auto"/>
            </w:pPr>
            <w:r>
              <w:rPr>
                <w:rFonts w:ascii="Calibri" w:hAnsi="Calibri"/>
                <w:color w:val="334155"/>
                <w:sz w:val="17"/>
              </w:rPr>
              <w:t>Output berupa 3–5 kandidat produk/service yang benar-benar aktif.</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Setiap rekomendasi lolos stock/area/price/safety filter.</w:t>
            </w:r>
          </w:p>
        </w:tc>
      </w:tr>
      <w:tr>
        <w:trPr>
          <w:cantSplit/>
        </w:trPr>
        <w:tc>
          <w:tcPr>
            <w:tcW w:type="dxa" w:w="1000"/>
            <w:tcMar>
              <w:top w:w="80" w:type="dxa"/>
              <w:start w:w="120" w:type="dxa"/>
              <w:bottom w:w="80" w:type="dxa"/>
              <w:end w:w="120" w:type="dxa"/>
            </w:tcMar>
            <w:vAlign w:val="center"/>
          </w:tcPr>
          <w:p>
            <w:pPr>
              <w:spacing w:after="0" w:line="252" w:lineRule="auto"/>
            </w:pPr>
            <w:r>
              <w:rPr>
                <w:rFonts w:ascii="Calibri" w:hAnsi="Calibri"/>
                <w:color w:val="334155"/>
                <w:sz w:val="17"/>
              </w:rPr>
              <w:t>AI-C03</w:t>
            </w:r>
          </w:p>
        </w:tc>
        <w:tc>
          <w:tcPr>
            <w:tcW w:type="dxa" w:w="5000"/>
            <w:tcMar>
              <w:top w:w="80" w:type="dxa"/>
              <w:start w:w="120" w:type="dxa"/>
              <w:bottom w:w="80" w:type="dxa"/>
              <w:end w:w="120" w:type="dxa"/>
            </w:tcMar>
            <w:vAlign w:val="center"/>
          </w:tcPr>
          <w:p>
            <w:pPr>
              <w:spacing w:after="0" w:line="252" w:lineRule="auto"/>
            </w:pPr>
            <w:r>
              <w:rPr>
                <w:rFonts w:ascii="Calibri" w:hAnsi="Calibri"/>
                <w:color w:val="334155"/>
                <w:sz w:val="17"/>
              </w:rPr>
              <w:t>Alasan menyebut kebutuhan, kecocokan, budget, warning, dan confidence.</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Tidak membuat klaim medis atau atribut katalog yang tidak ada.</w:t>
            </w:r>
          </w:p>
        </w:tc>
      </w:tr>
      <w:tr>
        <w:trPr>
          <w:cantSplit/>
        </w:trPr>
        <w:tc>
          <w:tcPr>
            <w:tcW w:type="dxa" w:w="1000"/>
            <w:tcMar>
              <w:top w:w="80" w:type="dxa"/>
              <w:start w:w="120" w:type="dxa"/>
              <w:bottom w:w="80" w:type="dxa"/>
              <w:end w:w="120" w:type="dxa"/>
            </w:tcMar>
            <w:vAlign w:val="center"/>
          </w:tcPr>
          <w:p>
            <w:pPr>
              <w:spacing w:after="0" w:line="252" w:lineRule="auto"/>
            </w:pPr>
            <w:r>
              <w:rPr>
                <w:rFonts w:ascii="Calibri" w:hAnsi="Calibri"/>
                <w:color w:val="334155"/>
                <w:sz w:val="17"/>
              </w:rPr>
              <w:t>AI-C04</w:t>
            </w:r>
          </w:p>
        </w:tc>
        <w:tc>
          <w:tcPr>
            <w:tcW w:type="dxa" w:w="5000"/>
            <w:tcMar>
              <w:top w:w="80" w:type="dxa"/>
              <w:start w:w="120" w:type="dxa"/>
              <w:bottom w:w="80" w:type="dxa"/>
              <w:end w:w="120" w:type="dxa"/>
            </w:tcMar>
            <w:vAlign w:val="center"/>
          </w:tcPr>
          <w:p>
            <w:pPr>
              <w:spacing w:after="0" w:line="252" w:lineRule="auto"/>
            </w:pPr>
            <w:r>
              <w:rPr>
                <w:rFonts w:ascii="Calibri" w:hAnsi="Calibri"/>
                <w:color w:val="334155"/>
                <w:sz w:val="17"/>
              </w:rPr>
              <w:t>Kasus berisiko diarahkan ke profesional.</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Red flag/low confidence tidak menghasilkan kepastian palsu.</w:t>
            </w:r>
          </w:p>
        </w:tc>
      </w:tr>
      <w:tr>
        <w:trPr>
          <w:cantSplit/>
        </w:trPr>
        <w:tc>
          <w:tcPr>
            <w:tcW w:type="dxa" w:w="1000"/>
            <w:tcMar>
              <w:top w:w="80" w:type="dxa"/>
              <w:start w:w="120" w:type="dxa"/>
              <w:bottom w:w="80" w:type="dxa"/>
              <w:end w:w="120" w:type="dxa"/>
            </w:tcMar>
            <w:vAlign w:val="center"/>
          </w:tcPr>
          <w:p>
            <w:pPr>
              <w:spacing w:after="0" w:line="252" w:lineRule="auto"/>
            </w:pPr>
            <w:r>
              <w:rPr>
                <w:rFonts w:ascii="Calibri" w:hAnsi="Calibri"/>
                <w:color w:val="334155"/>
                <w:sz w:val="17"/>
              </w:rPr>
              <w:t>AI-C05</w:t>
            </w:r>
          </w:p>
        </w:tc>
        <w:tc>
          <w:tcPr>
            <w:tcW w:type="dxa" w:w="5000"/>
            <w:tcMar>
              <w:top w:w="80" w:type="dxa"/>
              <w:start w:w="120" w:type="dxa"/>
              <w:bottom w:w="80" w:type="dxa"/>
              <w:end w:w="120" w:type="dxa"/>
            </w:tcMar>
            <w:vAlign w:val="center"/>
          </w:tcPr>
          <w:p>
            <w:pPr>
              <w:spacing w:after="0" w:line="252" w:lineRule="auto"/>
            </w:pPr>
            <w:r>
              <w:rPr>
                <w:rFonts w:ascii="Calibri" w:hAnsi="Calibri"/>
                <w:color w:val="334155"/>
                <w:sz w:val="17"/>
              </w:rPr>
              <w:t>User dapat mengoreksi, memberi feedback, dan menghapus history/foto.</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Feedback terpisah dari raw sensitive input dan mengikuti retention policy.</w:t>
            </w:r>
          </w:p>
        </w:tc>
      </w:tr>
      <w:tr>
        <w:trPr>
          <w:cantSplit/>
        </w:trPr>
        <w:tc>
          <w:tcPr>
            <w:tcW w:type="dxa" w:w="1000"/>
            <w:tcMar>
              <w:top w:w="80" w:type="dxa"/>
              <w:start w:w="120" w:type="dxa"/>
              <w:bottom w:w="80" w:type="dxa"/>
              <w:end w:w="120" w:type="dxa"/>
            </w:tcMar>
            <w:vAlign w:val="center"/>
          </w:tcPr>
          <w:p>
            <w:pPr>
              <w:spacing w:after="0" w:line="252" w:lineRule="auto"/>
            </w:pPr>
            <w:r>
              <w:rPr>
                <w:rFonts w:ascii="Calibri" w:hAnsi="Calibri"/>
                <w:color w:val="334155"/>
                <w:sz w:val="17"/>
              </w:rPr>
              <w:t>AI-C06</w:t>
            </w:r>
          </w:p>
        </w:tc>
        <w:tc>
          <w:tcPr>
            <w:tcW w:type="dxa" w:w="5000"/>
            <w:tcMar>
              <w:top w:w="80" w:type="dxa"/>
              <w:start w:w="120" w:type="dxa"/>
              <w:bottom w:w="80" w:type="dxa"/>
              <w:end w:w="120" w:type="dxa"/>
            </w:tcMar>
            <w:vAlign w:val="center"/>
          </w:tcPr>
          <w:p>
            <w:pPr>
              <w:spacing w:after="0" w:line="252" w:lineRule="auto"/>
            </w:pPr>
            <w:r>
              <w:rPr>
                <w:rFonts w:ascii="Calibri" w:hAnsi="Calibri"/>
                <w:color w:val="334155"/>
                <w:sz w:val="17"/>
              </w:rPr>
              <w:t>Rekomendasi dapat ditelusuri.</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Simpan model version, prompt version, candidate IDs, filters, confidence, dan safety result.</w:t>
            </w:r>
          </w:p>
        </w:tc>
      </w:tr>
    </w:tbl>
    <w:p>
      <w:pPr>
        <w:spacing w:after="40"/>
      </w:pPr>
    </w:p>
    <w:p>
      <w:pPr>
        <w:pStyle w:val="Heading3"/>
        <w:keepNext/>
      </w:pPr>
      <w:r>
        <w:rPr>
          <w:rFonts w:ascii="Calibri" w:hAnsi="Calibri"/>
          <w:b/>
          <w:color w:val="172033"/>
          <w:sz w:val="24"/>
        </w:rPr>
        <w:t>8.2 Partner AI business copilot</w:t>
      </w:r>
    </w:p>
    <w:p>
      <w:pPr>
        <w:numPr>
          <w:ilvl w:val="0"/>
          <w:numId w:val="10"/>
        </w:numPr>
        <w:spacing w:after="160" w:line="280" w:lineRule="auto"/>
        <w:keepLines/>
      </w:pPr>
      <w:r>
        <w:rPr>
          <w:rFonts w:ascii="Calibri" w:hAnsi="Calibri"/>
          <w:color w:val="334155"/>
          <w:sz w:val="22"/>
        </w:rPr>
        <w:t>Metrik dihitung dari SQL/materialized views: gross sales, net sales, AOV, units, cancellations, refund, repeat rate, booking utilization, top/slow products, stockout, peak hour, conversion, dan trend.</w:t>
      </w:r>
    </w:p>
    <w:p>
      <w:pPr>
        <w:numPr>
          <w:ilvl w:val="0"/>
          <w:numId w:val="10"/>
        </w:numPr>
        <w:spacing w:after="160" w:line="280" w:lineRule="auto"/>
        <w:keepLines/>
      </w:pPr>
      <w:r>
        <w:rPr>
          <w:rFonts w:ascii="Calibri" w:hAnsi="Calibri"/>
          <w:color w:val="334155"/>
          <w:sz w:val="22"/>
        </w:rPr>
        <w:t>AI menerima paket metrik terstruktur dan benchmark yang diizinkan, bukan akses SQL bebas.</w:t>
      </w:r>
    </w:p>
    <w:p>
      <w:pPr>
        <w:numPr>
          <w:ilvl w:val="0"/>
          <w:numId w:val="10"/>
        </w:numPr>
        <w:spacing w:after="160" w:line="280" w:lineRule="auto"/>
        <w:keepLines/>
      </w:pPr>
      <w:r>
        <w:rPr>
          <w:rFonts w:ascii="Calibri" w:hAnsi="Calibri"/>
          <w:color w:val="334155"/>
          <w:sz w:val="22"/>
        </w:rPr>
        <w:t>Output memisahkan facts, interpretation, recommended actions, expected impact, confidence, dan evidence period.</w:t>
      </w:r>
    </w:p>
    <w:p>
      <w:pPr>
        <w:numPr>
          <w:ilvl w:val="0"/>
          <w:numId w:val="10"/>
        </w:numPr>
        <w:spacing w:after="160" w:line="280" w:lineRule="auto"/>
        <w:keepLines/>
      </w:pPr>
      <w:r>
        <w:rPr>
          <w:rFonts w:ascii="Calibri" w:hAnsi="Calibri"/>
          <w:color w:val="334155"/>
          <w:sz w:val="22"/>
        </w:rPr>
        <w:t>Setiap angka pada narasi harus menunjuk field sumber. Jika data kurang, assistant harus menyatakan keterbatasan.</w:t>
      </w:r>
    </w:p>
    <w:p>
      <w:pPr>
        <w:numPr>
          <w:ilvl w:val="0"/>
          <w:numId w:val="10"/>
        </w:numPr>
        <w:spacing w:after="160" w:line="280" w:lineRule="auto"/>
        <w:keepLines/>
      </w:pPr>
      <w:r>
        <w:rPr>
          <w:rFonts w:ascii="Calibri" w:hAnsi="Calibri"/>
          <w:color w:val="334155"/>
          <w:sz w:val="22"/>
        </w:rPr>
        <w:t>AI default read-only. Aksi seperti mengubah harga, promo, stock, atau mengirim campaign membutuhkan preview dan konfirmasi manusia.</w:t>
      </w:r>
    </w:p>
    <w:p>
      <w:pPr>
        <w:numPr>
          <w:ilvl w:val="0"/>
          <w:numId w:val="10"/>
        </w:numPr>
        <w:spacing w:after="160" w:line="280" w:lineRule="auto"/>
        <w:keepLines/>
      </w:pPr>
      <w:r>
        <w:rPr>
          <w:rFonts w:ascii="Calibri" w:hAnsi="Calibri"/>
          <w:color w:val="334155"/>
          <w:sz w:val="22"/>
        </w:rPr>
        <w:t>Tenant isolation wajib pada analytics query, cache key, job payload, Qdrant filter, trace, dan evaluation dataset.</w:t>
      </w:r>
    </w:p>
    <w:p>
      <w:pPr>
        <w:pStyle w:val="Heading3"/>
        <w:keepNext/>
      </w:pPr>
      <w:r>
        <w:rPr>
          <w:rFonts w:ascii="Calibri" w:hAnsi="Calibri"/>
          <w:b/>
          <w:color w:val="172033"/>
          <w:sz w:val="24"/>
        </w:rPr>
        <w:t>8.3 AI safety dan quality gates</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900"/>
        <w:gridCol w:w="4500"/>
        <w:gridCol w:w="2960"/>
      </w:tblGrid>
      <w:tr>
        <w:trPr>
          <w:tblHeader w:val="true"/>
          <w:cantSplit/>
        </w:trPr>
        <w:tc>
          <w:tcPr>
            <w:tcW w:type="dxa" w:w="19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Risiko</w:t>
            </w:r>
          </w:p>
        </w:tc>
        <w:tc>
          <w:tcPr>
            <w:tcW w:type="dxa" w:w="45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Control</w:t>
            </w:r>
          </w:p>
        </w:tc>
        <w:tc>
          <w:tcPr>
            <w:tcW w:type="dxa" w:w="29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Release gate</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7"/>
              </w:rPr>
              <w:t>Medical overclaim</w:t>
            </w:r>
          </w:p>
        </w:tc>
        <w:tc>
          <w:tcPr>
            <w:tcW w:type="dxa" w:w="4500"/>
            <w:tcMar>
              <w:top w:w="80" w:type="dxa"/>
              <w:start w:w="120" w:type="dxa"/>
              <w:bottom w:w="80" w:type="dxa"/>
              <w:end w:w="120" w:type="dxa"/>
            </w:tcMar>
            <w:vAlign w:val="center"/>
          </w:tcPr>
          <w:p>
            <w:pPr>
              <w:spacing w:after="0" w:line="252" w:lineRule="auto"/>
            </w:pPr>
            <w:r>
              <w:rPr>
                <w:rFonts w:ascii="Calibri" w:hAnsi="Calibri"/>
                <w:color w:val="334155"/>
                <w:sz w:val="17"/>
              </w:rPr>
              <w:t>Policy classifier, constrained templates, red-flag rules, disclaimer, escalation.</w:t>
            </w:r>
          </w:p>
        </w:tc>
        <w:tc>
          <w:tcPr>
            <w:tcW w:type="dxa" w:w="2960"/>
            <w:tcMar>
              <w:top w:w="80" w:type="dxa"/>
              <w:start w:w="120" w:type="dxa"/>
              <w:bottom w:w="80" w:type="dxa"/>
              <w:end w:w="120" w:type="dxa"/>
            </w:tcMar>
            <w:vAlign w:val="center"/>
          </w:tcPr>
          <w:p>
            <w:pPr>
              <w:spacing w:after="0" w:line="252" w:lineRule="auto"/>
            </w:pPr>
            <w:r>
              <w:rPr>
                <w:rFonts w:ascii="Calibri" w:hAnsi="Calibri"/>
                <w:color w:val="334155"/>
                <w:sz w:val="17"/>
              </w:rPr>
              <w:t>0 critical diagnosis/prescription claim pada safety suite.</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7"/>
              </w:rPr>
              <w:t>Hallucinated catalog</w:t>
            </w:r>
          </w:p>
        </w:tc>
        <w:tc>
          <w:tcPr>
            <w:tcW w:type="dxa" w:w="4500"/>
            <w:tcMar>
              <w:top w:w="80" w:type="dxa"/>
              <w:start w:w="120" w:type="dxa"/>
              <w:bottom w:w="80" w:type="dxa"/>
              <w:end w:w="120" w:type="dxa"/>
            </w:tcMar>
            <w:vAlign w:val="center"/>
          </w:tcPr>
          <w:p>
            <w:pPr>
              <w:spacing w:after="0" w:line="252" w:lineRule="auto"/>
            </w:pPr>
            <w:r>
              <w:rPr>
                <w:rFonts w:ascii="Calibri" w:hAnsi="Calibri"/>
                <w:color w:val="334155"/>
                <w:sz w:val="17"/>
              </w:rPr>
              <w:t>Retrieve IDs first, SQL validation, structured output schema.</w:t>
            </w:r>
          </w:p>
        </w:tc>
        <w:tc>
          <w:tcPr>
            <w:tcW w:type="dxa" w:w="2960"/>
            <w:tcMar>
              <w:top w:w="80" w:type="dxa"/>
              <w:start w:w="120" w:type="dxa"/>
              <w:bottom w:w="80" w:type="dxa"/>
              <w:end w:w="120" w:type="dxa"/>
            </w:tcMar>
            <w:vAlign w:val="center"/>
          </w:tcPr>
          <w:p>
            <w:pPr>
              <w:spacing w:after="0" w:line="252" w:lineRule="auto"/>
            </w:pPr>
            <w:r>
              <w:rPr>
                <w:rFonts w:ascii="Calibri" w:hAnsi="Calibri"/>
                <w:color w:val="334155"/>
                <w:sz w:val="17"/>
              </w:rPr>
              <w:t>100% recommended IDs aktif dan resolvable.</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7"/>
              </w:rPr>
              <w:t>Prompt injection</w:t>
            </w:r>
          </w:p>
        </w:tc>
        <w:tc>
          <w:tcPr>
            <w:tcW w:type="dxa" w:w="4500"/>
            <w:tcMar>
              <w:top w:w="80" w:type="dxa"/>
              <w:start w:w="120" w:type="dxa"/>
              <w:bottom w:w="80" w:type="dxa"/>
              <w:end w:w="120" w:type="dxa"/>
            </w:tcMar>
            <w:vAlign w:val="center"/>
          </w:tcPr>
          <w:p>
            <w:pPr>
              <w:spacing w:after="0" w:line="252" w:lineRule="auto"/>
            </w:pPr>
            <w:r>
              <w:rPr>
                <w:rFonts w:ascii="Calibri" w:hAnsi="Calibri"/>
                <w:color w:val="334155"/>
                <w:sz w:val="17"/>
              </w:rPr>
              <w:t>Treat catalog/user text as data, tool allowlist, no secret context, output validation.</w:t>
            </w:r>
          </w:p>
        </w:tc>
        <w:tc>
          <w:tcPr>
            <w:tcW w:type="dxa" w:w="2960"/>
            <w:tcMar>
              <w:top w:w="80" w:type="dxa"/>
              <w:start w:w="120" w:type="dxa"/>
              <w:bottom w:w="80" w:type="dxa"/>
              <w:end w:w="120" w:type="dxa"/>
            </w:tcMar>
            <w:vAlign w:val="center"/>
          </w:tcPr>
          <w:p>
            <w:pPr>
              <w:spacing w:after="0" w:line="252" w:lineRule="auto"/>
            </w:pPr>
            <w:r>
              <w:rPr>
                <w:rFonts w:ascii="Calibri" w:hAnsi="Calibri"/>
                <w:color w:val="334155"/>
                <w:sz w:val="17"/>
              </w:rPr>
              <w:t>Injection suite tidak dapat membuka data/tool terlarang.</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7"/>
              </w:rPr>
              <w:t>Cross-tenant leakage</w:t>
            </w:r>
          </w:p>
        </w:tc>
        <w:tc>
          <w:tcPr>
            <w:tcW w:type="dxa" w:w="4500"/>
            <w:tcMar>
              <w:top w:w="80" w:type="dxa"/>
              <w:start w:w="120" w:type="dxa"/>
              <w:bottom w:w="80" w:type="dxa"/>
              <w:end w:w="120" w:type="dxa"/>
            </w:tcMar>
            <w:vAlign w:val="center"/>
          </w:tcPr>
          <w:p>
            <w:pPr>
              <w:spacing w:after="0" w:line="252" w:lineRule="auto"/>
            </w:pPr>
            <w:r>
              <w:rPr>
                <w:rFonts w:ascii="Calibri" w:hAnsi="Calibri"/>
                <w:color w:val="334155"/>
                <w:sz w:val="17"/>
              </w:rPr>
              <w:t>Tenant-scoped retrieval, RLS, Qdrant payload filters, adversarial tests.</w:t>
            </w:r>
          </w:p>
        </w:tc>
        <w:tc>
          <w:tcPr>
            <w:tcW w:type="dxa" w:w="2960"/>
            <w:tcMar>
              <w:top w:w="80" w:type="dxa"/>
              <w:start w:w="120" w:type="dxa"/>
              <w:bottom w:w="80" w:type="dxa"/>
              <w:end w:w="120" w:type="dxa"/>
            </w:tcMar>
            <w:vAlign w:val="center"/>
          </w:tcPr>
          <w:p>
            <w:pPr>
              <w:spacing w:after="0" w:line="252" w:lineRule="auto"/>
            </w:pPr>
            <w:r>
              <w:rPr>
                <w:rFonts w:ascii="Calibri" w:hAnsi="Calibri"/>
                <w:color w:val="334155"/>
                <w:sz w:val="17"/>
              </w:rPr>
              <w:t>0 cross-tenant result pada isolation suite.</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7"/>
              </w:rPr>
              <w:t>Bias / poor fit</w:t>
            </w:r>
          </w:p>
        </w:tc>
        <w:tc>
          <w:tcPr>
            <w:tcW w:type="dxa" w:w="4500"/>
            <w:tcMar>
              <w:top w:w="80" w:type="dxa"/>
              <w:start w:w="120" w:type="dxa"/>
              <w:bottom w:w="80" w:type="dxa"/>
              <w:end w:w="120" w:type="dxa"/>
            </w:tcMar>
            <w:vAlign w:val="center"/>
          </w:tcPr>
          <w:p>
            <w:pPr>
              <w:spacing w:after="0" w:line="252" w:lineRule="auto"/>
            </w:pPr>
            <w:r>
              <w:rPr>
                <w:rFonts w:ascii="Calibri" w:hAnsi="Calibri"/>
                <w:color w:val="334155"/>
                <w:sz w:val="17"/>
              </w:rPr>
              <w:t>Segmented evaluation, opt-out, human review, feedback taxonomy.</w:t>
            </w:r>
          </w:p>
        </w:tc>
        <w:tc>
          <w:tcPr>
            <w:tcW w:type="dxa" w:w="2960"/>
            <w:tcMar>
              <w:top w:w="80" w:type="dxa"/>
              <w:start w:w="120" w:type="dxa"/>
              <w:bottom w:w="80" w:type="dxa"/>
              <w:end w:w="120" w:type="dxa"/>
            </w:tcMar>
            <w:vAlign w:val="center"/>
          </w:tcPr>
          <w:p>
            <w:pPr>
              <w:spacing w:after="0" w:line="252" w:lineRule="auto"/>
            </w:pPr>
            <w:r>
              <w:rPr>
                <w:rFonts w:ascii="Calibri" w:hAnsi="Calibri"/>
                <w:color w:val="334155"/>
                <w:sz w:val="17"/>
              </w:rPr>
              <w:t>Threshold helpful rate ditetapkan sebelum GA.</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7"/>
              </w:rPr>
              <w:t>Sensitive image retention</w:t>
            </w:r>
          </w:p>
        </w:tc>
        <w:tc>
          <w:tcPr>
            <w:tcW w:type="dxa" w:w="4500"/>
            <w:tcMar>
              <w:top w:w="80" w:type="dxa"/>
              <w:start w:w="120" w:type="dxa"/>
              <w:bottom w:w="80" w:type="dxa"/>
              <w:end w:w="120" w:type="dxa"/>
            </w:tcMar>
            <w:vAlign w:val="center"/>
          </w:tcPr>
          <w:p>
            <w:pPr>
              <w:spacing w:after="0" w:line="252" w:lineRule="auto"/>
            </w:pPr>
            <w:r>
              <w:rPr>
                <w:rFonts w:ascii="Calibri" w:hAnsi="Calibri"/>
                <w:color w:val="334155"/>
                <w:sz w:val="17"/>
              </w:rPr>
              <w:t>Consent, metadata stripping, quarantine, TTL deletion, no raw photo in vectors/logs.</w:t>
            </w:r>
          </w:p>
        </w:tc>
        <w:tc>
          <w:tcPr>
            <w:tcW w:type="dxa" w:w="2960"/>
            <w:tcMar>
              <w:top w:w="80" w:type="dxa"/>
              <w:start w:w="120" w:type="dxa"/>
              <w:bottom w:w="80" w:type="dxa"/>
              <w:end w:w="120" w:type="dxa"/>
            </w:tcMar>
            <w:vAlign w:val="center"/>
          </w:tcPr>
          <w:p>
            <w:pPr>
              <w:spacing w:after="0" w:line="252" w:lineRule="auto"/>
            </w:pPr>
            <w:r>
              <w:rPr>
                <w:rFonts w:ascii="Calibri" w:hAnsi="Calibri"/>
                <w:color w:val="334155"/>
                <w:sz w:val="17"/>
              </w:rPr>
              <w:t>Deletion and access-control tests pass.</w:t>
            </w:r>
          </w:p>
        </w:tc>
      </w:tr>
    </w:tbl>
    <w:p>
      <w:pPr>
        <w:spacing w:after="40"/>
      </w:pPr>
    </w:p>
    <w:p>
      <w:pPr>
        <w:pStyle w:val="Heading2"/>
        <w:keepNext/>
      </w:pPr>
      <w:r>
        <w:rPr>
          <w:rFonts w:ascii="Calibri" w:hAnsi="Calibri"/>
          <w:b/>
          <w:color w:val="4F46E5"/>
          <w:sz w:val="26"/>
        </w:rPr>
        <w:t>9. User flows</w:t>
      </w:r>
    </w:p>
    <w:p>
      <w:pPr>
        <w:pStyle w:val="Heading3"/>
        <w:keepNext/>
      </w:pPr>
      <w:r>
        <w:rPr>
          <w:rFonts w:ascii="Calibri" w:hAnsi="Calibri"/>
          <w:b/>
          <w:color w:val="172033"/>
          <w:sz w:val="24"/>
        </w:rPr>
        <w:t>9.1 Partner onboarding</w:t>
      </w:r>
    </w:p>
    <w:p>
      <w:pPr>
        <w:numPr>
          <w:ilvl w:val="0"/>
          <w:numId w:val="12"/>
        </w:numPr>
        <w:spacing w:after="160" w:line="280" w:lineRule="auto"/>
        <w:keepLines/>
      </w:pPr>
      <w:r>
        <w:rPr>
          <w:rFonts w:ascii="Calibri" w:hAnsi="Calibri"/>
          <w:color w:val="334155"/>
          <w:sz w:val="22"/>
        </w:rPr>
        <w:t>Applicant membuat akun dan memilih tipe partner: UMKM/business atau individual professional.</w:t>
      </w:r>
    </w:p>
    <w:p>
      <w:pPr>
        <w:numPr>
          <w:ilvl w:val="0"/>
          <w:numId w:val="12"/>
        </w:numPr>
        <w:spacing w:after="160" w:line="280" w:lineRule="auto"/>
        <w:keepLines/>
      </w:pPr>
      <w:r>
        <w:rPr>
          <w:rFonts w:ascii="Calibri" w:hAnsi="Calibri"/>
          <w:color w:val="334155"/>
          <w:sz w:val="22"/>
        </w:rPr>
        <w:t>Sistem membuat partner application berstatus draft; applicant mengisi profil, kategori, alamat, dokumen, credential, dan payout beneficiary.</w:t>
      </w:r>
    </w:p>
    <w:p>
      <w:pPr>
        <w:numPr>
          <w:ilvl w:val="0"/>
          <w:numId w:val="12"/>
        </w:numPr>
        <w:spacing w:after="160" w:line="280" w:lineRule="auto"/>
        <w:keepLines/>
      </w:pPr>
      <w:r>
        <w:rPr>
          <w:rFonts w:ascii="Calibri" w:hAnsi="Calibri"/>
          <w:color w:val="334155"/>
          <w:sz w:val="22"/>
        </w:rPr>
        <w:t>Automated checks menilai kelengkapan, duplikasi, expiry, format, dan risk signal; dokumen tetap private.</w:t>
      </w:r>
    </w:p>
    <w:p>
      <w:pPr>
        <w:numPr>
          <w:ilvl w:val="0"/>
          <w:numId w:val="12"/>
        </w:numPr>
        <w:spacing w:after="160" w:line="280" w:lineRule="auto"/>
        <w:keepLines/>
      </w:pPr>
      <w:r>
        <w:rPr>
          <w:rFonts w:ascii="Calibri" w:hAnsi="Calibri"/>
          <w:color w:val="334155"/>
          <w:sz w:val="22"/>
        </w:rPr>
        <w:t>Verifier meminta revisi, menolak, atau menyetujui dengan reason code.</w:t>
      </w:r>
    </w:p>
    <w:p>
      <w:pPr>
        <w:numPr>
          <w:ilvl w:val="0"/>
          <w:numId w:val="12"/>
        </w:numPr>
        <w:spacing w:after="160" w:line="280" w:lineRule="auto"/>
        <w:keepLines/>
      </w:pPr>
      <w:r>
        <w:rPr>
          <w:rFonts w:ascii="Calibri" w:hAnsi="Calibri"/>
          <w:color w:val="334155"/>
          <w:sz w:val="22"/>
        </w:rPr>
        <w:t>Approval mengaktifkan capability spesifik; partner belum otomatis boleh menawarkan kategori high-risk.</w:t>
      </w:r>
    </w:p>
    <w:p>
      <w:pPr>
        <w:numPr>
          <w:ilvl w:val="0"/>
          <w:numId w:val="12"/>
        </w:numPr>
        <w:spacing w:after="160" w:line="280" w:lineRule="auto"/>
        <w:keepLines/>
      </w:pPr>
      <w:r>
        <w:rPr>
          <w:rFonts w:ascii="Calibri" w:hAnsi="Calibri"/>
          <w:color w:val="334155"/>
          <w:sz w:val="22"/>
        </w:rPr>
        <w:t>Partner menyelesaikan setup katalog/service, staff, professional, area, dan operational policy.</w:t>
      </w:r>
    </w:p>
    <w:p>
      <w:pPr>
        <w:numPr>
          <w:ilvl w:val="0"/>
          <w:numId w:val="12"/>
        </w:numPr>
        <w:spacing w:after="160" w:line="280" w:lineRule="auto"/>
        <w:keepLines/>
      </w:pPr>
      <w:r>
        <w:rPr>
          <w:rFonts w:ascii="Calibri" w:hAnsi="Calibri"/>
          <w:color w:val="334155"/>
          <w:sz w:val="22"/>
        </w:rPr>
        <w:t>Listing pertama melewati moderation sesuai risk tier lalu dapat published.</w:t>
      </w:r>
    </w:p>
    <w:p>
      <w:pPr>
        <w:pStyle w:val="Heading3"/>
        <w:keepNext/>
      </w:pPr>
      <w:r>
        <w:rPr>
          <w:rFonts w:ascii="Calibri" w:hAnsi="Calibri"/>
          <w:b/>
          <w:color w:val="172033"/>
          <w:sz w:val="24"/>
        </w:rPr>
        <w:t>9.2 Product checkout</w:t>
      </w:r>
    </w:p>
    <w:p>
      <w:pPr>
        <w:numPr>
          <w:ilvl w:val="0"/>
          <w:numId w:val="13"/>
        </w:numPr>
        <w:spacing w:after="160" w:line="280" w:lineRule="auto"/>
        <w:keepLines/>
      </w:pPr>
      <w:r>
        <w:rPr>
          <w:rFonts w:ascii="Calibri" w:hAnsi="Calibri"/>
          <w:color w:val="334155"/>
          <w:sz w:val="22"/>
        </w:rPr>
        <w:t>Customer mencari atau menerima rekomendasi, membuka product detail, memilih variant, dan menambahkan ke cart.</w:t>
      </w:r>
    </w:p>
    <w:p>
      <w:pPr>
        <w:numPr>
          <w:ilvl w:val="0"/>
          <w:numId w:val="13"/>
        </w:numPr>
        <w:spacing w:after="160" w:line="280" w:lineRule="auto"/>
        <w:keepLines/>
      </w:pPr>
      <w:r>
        <w:rPr>
          <w:rFonts w:ascii="Calibri" w:hAnsi="Calibri"/>
          <w:color w:val="334155"/>
          <w:sz w:val="22"/>
        </w:rPr>
        <w:t>Cart mengelompokkan item berdasarkan partner dan fulfillment; backend membuat quote.</w:t>
      </w:r>
    </w:p>
    <w:p>
      <w:pPr>
        <w:numPr>
          <w:ilvl w:val="0"/>
          <w:numId w:val="13"/>
        </w:numPr>
        <w:spacing w:after="160" w:line="280" w:lineRule="auto"/>
        <w:keepLines/>
      </w:pPr>
      <w:r>
        <w:rPr>
          <w:rFonts w:ascii="Calibri" w:hAnsi="Calibri"/>
          <w:color w:val="334155"/>
          <w:sz w:val="22"/>
        </w:rPr>
        <w:t>Checkout memvalidasi alamat, stock reservation, price snapshot, shipping, promo, commission, dan totals.</w:t>
      </w:r>
    </w:p>
    <w:p>
      <w:pPr>
        <w:numPr>
          <w:ilvl w:val="0"/>
          <w:numId w:val="13"/>
        </w:numPr>
        <w:spacing w:after="160" w:line="280" w:lineRule="auto"/>
        <w:keepLines/>
      </w:pPr>
      <w:r>
        <w:rPr>
          <w:rFonts w:ascii="Calibri" w:hAnsi="Calibri"/>
          <w:color w:val="334155"/>
          <w:sz w:val="22"/>
        </w:rPr>
        <w:t>Backend membuat parent checkout, child orders, payment intent, dan idempotency record dalam transaksi yang konsisten.</w:t>
      </w:r>
    </w:p>
    <w:p>
      <w:pPr>
        <w:numPr>
          <w:ilvl w:val="0"/>
          <w:numId w:val="13"/>
        </w:numPr>
        <w:spacing w:after="160" w:line="280" w:lineRule="auto"/>
        <w:keepLines/>
      </w:pPr>
      <w:r>
        <w:rPr>
          <w:rFonts w:ascii="Calibri" w:hAnsi="Calibri"/>
          <w:color w:val="334155"/>
          <w:sz w:val="22"/>
        </w:rPr>
        <w:t>Payment gateway mengirim signed webhook; webhook mengubah payment state dan menerbitkan outbox event.</w:t>
      </w:r>
    </w:p>
    <w:p>
      <w:pPr>
        <w:numPr>
          <w:ilvl w:val="0"/>
          <w:numId w:val="13"/>
        </w:numPr>
        <w:spacing w:after="160" w:line="280" w:lineRule="auto"/>
        <w:keepLines/>
      </w:pPr>
      <w:r>
        <w:rPr>
          <w:rFonts w:ascii="Calibri" w:hAnsi="Calibri"/>
          <w:color w:val="334155"/>
          <w:sz w:val="22"/>
        </w:rPr>
        <w:t>Partner memproses fulfillment; customer menerima tracking normalized sampai delivered.</w:t>
      </w:r>
    </w:p>
    <w:p>
      <w:pPr>
        <w:numPr>
          <w:ilvl w:val="0"/>
          <w:numId w:val="13"/>
        </w:numPr>
        <w:spacing w:after="160" w:line="280" w:lineRule="auto"/>
        <w:keepLines/>
      </w:pPr>
      <w:r>
        <w:rPr>
          <w:rFonts w:ascii="Calibri" w:hAnsi="Calibri"/>
          <w:color w:val="334155"/>
          <w:sz w:val="22"/>
        </w:rPr>
        <w:t>Setelah delivery dan hold period, ledger menjadi payout-eligible.</w:t>
      </w:r>
    </w:p>
    <w:p>
      <w:pPr>
        <w:pStyle w:val="Heading3"/>
        <w:keepNext/>
      </w:pPr>
      <w:r>
        <w:rPr>
          <w:rFonts w:ascii="Calibri" w:hAnsi="Calibri"/>
          <w:b/>
          <w:color w:val="172033"/>
          <w:sz w:val="24"/>
        </w:rPr>
        <w:t>9.3 Home service booking</w:t>
      </w:r>
    </w:p>
    <w:p>
      <w:pPr>
        <w:numPr>
          <w:ilvl w:val="0"/>
          <w:numId w:val="14"/>
        </w:numPr>
        <w:spacing w:after="160" w:line="280" w:lineRule="auto"/>
        <w:keepLines/>
      </w:pPr>
      <w:r>
        <w:rPr>
          <w:rFonts w:ascii="Calibri" w:hAnsi="Calibri"/>
          <w:color w:val="334155"/>
          <w:sz w:val="22"/>
        </w:rPr>
        <w:t>Customer memilih service, alamat, slot, dan professional/auto-assign.</w:t>
      </w:r>
    </w:p>
    <w:p>
      <w:pPr>
        <w:numPr>
          <w:ilvl w:val="0"/>
          <w:numId w:val="14"/>
        </w:numPr>
        <w:spacing w:after="160" w:line="280" w:lineRule="auto"/>
        <w:keepLines/>
      </w:pPr>
      <w:r>
        <w:rPr>
          <w:rFonts w:ascii="Calibri" w:hAnsi="Calibri"/>
          <w:color w:val="334155"/>
          <w:sz w:val="22"/>
        </w:rPr>
        <w:t>Backend memeriksa area, credential, availability, buffer, travel time, dan konflik booking.</w:t>
      </w:r>
    </w:p>
    <w:p>
      <w:pPr>
        <w:numPr>
          <w:ilvl w:val="0"/>
          <w:numId w:val="14"/>
        </w:numPr>
        <w:spacing w:after="160" w:line="280" w:lineRule="auto"/>
        <w:keepLines/>
      </w:pPr>
      <w:r>
        <w:rPr>
          <w:rFonts w:ascii="Calibri" w:hAnsi="Calibri"/>
          <w:color w:val="334155"/>
          <w:sz w:val="22"/>
        </w:rPr>
        <w:t>Slot di-hold; quote memuat service, add-on, travel fee, cancellation, dan estimated duration.</w:t>
      </w:r>
    </w:p>
    <w:p>
      <w:pPr>
        <w:numPr>
          <w:ilvl w:val="0"/>
          <w:numId w:val="14"/>
        </w:numPr>
        <w:spacing w:after="160" w:line="280" w:lineRule="auto"/>
        <w:keepLines/>
      </w:pPr>
      <w:r>
        <w:rPr>
          <w:rFonts w:ascii="Calibri" w:hAnsi="Calibri"/>
          <w:color w:val="334155"/>
          <w:sz w:val="22"/>
        </w:rPr>
        <w:t>Payment confirmed membuat booking confirmed dan assignment.</w:t>
      </w:r>
    </w:p>
    <w:p>
      <w:pPr>
        <w:numPr>
          <w:ilvl w:val="0"/>
          <w:numId w:val="14"/>
        </w:numPr>
        <w:spacing w:after="160" w:line="280" w:lineRule="auto"/>
        <w:keepLines/>
      </w:pPr>
      <w:r>
        <w:rPr>
          <w:rFonts w:ascii="Calibri" w:hAnsi="Calibri"/>
          <w:color w:val="334155"/>
          <w:sz w:val="22"/>
        </w:rPr>
        <w:t>Professional menerima job, lalu mengubah status preparing dan en_route.</w:t>
      </w:r>
    </w:p>
    <w:p>
      <w:pPr>
        <w:numPr>
          <w:ilvl w:val="0"/>
          <w:numId w:val="14"/>
        </w:numPr>
        <w:spacing w:after="160" w:line="280" w:lineRule="auto"/>
        <w:keepLines/>
      </w:pPr>
      <w:r>
        <w:rPr>
          <w:rFonts w:ascii="Calibri" w:hAnsi="Calibri"/>
          <w:color w:val="334155"/>
          <w:sz w:val="22"/>
        </w:rPr>
        <w:t>Location event dikirim dalam window aktif; customer melihat ETA dan status.</w:t>
      </w:r>
    </w:p>
    <w:p>
      <w:pPr>
        <w:numPr>
          <w:ilvl w:val="0"/>
          <w:numId w:val="14"/>
        </w:numPr>
        <w:spacing w:after="160" w:line="280" w:lineRule="auto"/>
        <w:keepLines/>
      </w:pPr>
      <w:r>
        <w:rPr>
          <w:rFonts w:ascii="Calibri" w:hAnsi="Calibri"/>
          <w:color w:val="334155"/>
          <w:sz w:val="22"/>
        </w:rPr>
        <w:t>Arrival diverifikasi; service dimulai dan selesai menggunakan OTP/evidence sesuai risk tier.</w:t>
      </w:r>
    </w:p>
    <w:p>
      <w:pPr>
        <w:numPr>
          <w:ilvl w:val="0"/>
          <w:numId w:val="14"/>
        </w:numPr>
        <w:spacing w:after="160" w:line="280" w:lineRule="auto"/>
        <w:keepLines/>
      </w:pPr>
      <w:r>
        <w:rPr>
          <w:rFonts w:ascii="Calibri" w:hAnsi="Calibri"/>
          <w:color w:val="334155"/>
          <w:sz w:val="22"/>
        </w:rPr>
        <w:t>Booking masuk settlement; customer memberi rating atau dispute.</w:t>
      </w:r>
    </w:p>
    <w:p>
      <w:pPr>
        <w:pStyle w:val="Heading3"/>
        <w:keepNext/>
      </w:pPr>
      <w:r>
        <w:rPr>
          <w:rFonts w:ascii="Calibri" w:hAnsi="Calibri"/>
          <w:b/>
          <w:color w:val="172033"/>
          <w:sz w:val="24"/>
        </w:rPr>
        <w:t>9.4 AI recommendation</w:t>
      </w:r>
    </w:p>
    <w:p>
      <w:pPr>
        <w:numPr>
          <w:ilvl w:val="0"/>
          <w:numId w:val="15"/>
        </w:numPr>
        <w:spacing w:after="160" w:line="280" w:lineRule="auto"/>
        <w:keepLines/>
      </w:pPr>
      <w:r>
        <w:rPr>
          <w:rFonts w:ascii="Calibri" w:hAnsi="Calibri"/>
          <w:color w:val="334155"/>
          <w:sz w:val="22"/>
        </w:rPr>
        <w:t>Customer menyatakan goal, kondisi, preference, budget, dan consent bila menggunakan foto.</w:t>
      </w:r>
    </w:p>
    <w:p>
      <w:pPr>
        <w:numPr>
          <w:ilvl w:val="0"/>
          <w:numId w:val="15"/>
        </w:numPr>
        <w:spacing w:after="160" w:line="280" w:lineRule="auto"/>
        <w:keepLines/>
      </w:pPr>
      <w:r>
        <w:rPr>
          <w:rFonts w:ascii="Calibri" w:hAnsi="Calibri"/>
          <w:color w:val="334155"/>
          <w:sz w:val="22"/>
        </w:rPr>
        <w:t>Safety layer memvalidasi input, mendeteksi red flag, dan menghapus metadata file.</w:t>
      </w:r>
    </w:p>
    <w:p>
      <w:pPr>
        <w:numPr>
          <w:ilvl w:val="0"/>
          <w:numId w:val="15"/>
        </w:numPr>
        <w:spacing w:after="160" w:line="280" w:lineRule="auto"/>
        <w:keepLines/>
      </w:pPr>
      <w:r>
        <w:rPr>
          <w:rFonts w:ascii="Calibri" w:hAnsi="Calibri"/>
          <w:color w:val="334155"/>
          <w:sz w:val="22"/>
        </w:rPr>
        <w:t>Model multimodal mengekstrak atribut terstruktur beserta confidence; tidak menyimpulkan diagnosis.</w:t>
      </w:r>
    </w:p>
    <w:p>
      <w:pPr>
        <w:numPr>
          <w:ilvl w:val="0"/>
          <w:numId w:val="15"/>
        </w:numPr>
        <w:spacing w:after="160" w:line="280" w:lineRule="auto"/>
        <w:keepLines/>
      </w:pPr>
      <w:r>
        <w:rPr>
          <w:rFonts w:ascii="Calibri" w:hAnsi="Calibri"/>
          <w:color w:val="334155"/>
          <w:sz w:val="22"/>
        </w:rPr>
        <w:t>Retriever mengambil kandidat dari Qdrant; backend memvalidasi harga, stock, area, credential, dan policy di PostgreSQL.</w:t>
      </w:r>
    </w:p>
    <w:p>
      <w:pPr>
        <w:numPr>
          <w:ilvl w:val="0"/>
          <w:numId w:val="15"/>
        </w:numPr>
        <w:spacing w:after="160" w:line="280" w:lineRule="auto"/>
        <w:keepLines/>
      </w:pPr>
      <w:r>
        <w:rPr>
          <w:rFonts w:ascii="Calibri" w:hAnsi="Calibri"/>
          <w:color w:val="334155"/>
          <w:sz w:val="22"/>
        </w:rPr>
        <w:t>Ranker menyusun kandidat; LLM menjelaskan alasan dengan structured response.</w:t>
      </w:r>
    </w:p>
    <w:p>
      <w:pPr>
        <w:numPr>
          <w:ilvl w:val="0"/>
          <w:numId w:val="15"/>
        </w:numPr>
        <w:spacing w:after="160" w:line="280" w:lineRule="auto"/>
        <w:keepLines/>
      </w:pPr>
      <w:r>
        <w:rPr>
          <w:rFonts w:ascii="Calibri" w:hAnsi="Calibri"/>
          <w:color w:val="334155"/>
          <w:sz w:val="22"/>
        </w:rPr>
        <w:t>Customer dapat mengubah constraint, memilih item, meminta alternatif, atau meminta bantuan profesional.</w:t>
      </w:r>
    </w:p>
    <w:p>
      <w:pPr>
        <w:numPr>
          <w:ilvl w:val="0"/>
          <w:numId w:val="15"/>
        </w:numPr>
        <w:spacing w:after="160" w:line="280" w:lineRule="auto"/>
        <w:keepLines/>
      </w:pPr>
      <w:r>
        <w:rPr>
          <w:rFonts w:ascii="Calibri" w:hAnsi="Calibri"/>
          <w:color w:val="334155"/>
          <w:sz w:val="22"/>
        </w:rPr>
        <w:t>Feedback dan downstream outcome dicatat untuk evaluasi teragregasi.</w:t>
      </w:r>
    </w:p>
    <w:p>
      <w:pPr>
        <w:pStyle w:val="Heading2"/>
        <w:keepNext/>
      </w:pPr>
      <w:r>
        <w:rPr>
          <w:rFonts w:ascii="Calibri" w:hAnsi="Calibri"/>
          <w:b/>
          <w:color w:val="4F46E5"/>
          <w:sz w:val="26"/>
        </w:rPr>
        <w:t>10. State machines dan aturan bisnis</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900"/>
        <w:gridCol w:w="4500"/>
        <w:gridCol w:w="2960"/>
      </w:tblGrid>
      <w:tr>
        <w:trPr>
          <w:tblHeader w:val="true"/>
          <w:cantSplit/>
        </w:trPr>
        <w:tc>
          <w:tcPr>
            <w:tcW w:type="dxa" w:w="19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6"/>
              </w:rPr>
              <w:t>Entitas</w:t>
            </w:r>
          </w:p>
        </w:tc>
        <w:tc>
          <w:tcPr>
            <w:tcW w:type="dxa" w:w="45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6"/>
              </w:rPr>
              <w:t>State inti</w:t>
            </w:r>
          </w:p>
        </w:tc>
        <w:tc>
          <w:tcPr>
            <w:tcW w:type="dxa" w:w="29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6"/>
              </w:rPr>
              <w:t>Catatan</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Partner</w:t>
            </w:r>
          </w:p>
        </w:tc>
        <w:tc>
          <w:tcPr>
            <w:tcW w:type="dxa" w:w="4500"/>
            <w:tcMar>
              <w:top w:w="80" w:type="dxa"/>
              <w:start w:w="120" w:type="dxa"/>
              <w:bottom w:w="80" w:type="dxa"/>
              <w:end w:w="120" w:type="dxa"/>
            </w:tcMar>
            <w:vAlign w:val="center"/>
          </w:tcPr>
          <w:p>
            <w:pPr>
              <w:spacing w:after="0" w:line="252" w:lineRule="auto"/>
            </w:pPr>
            <w:r>
              <w:rPr>
                <w:rFonts w:ascii="Calibri" w:hAnsi="Calibri"/>
                <w:color w:val="334155"/>
                <w:sz w:val="16"/>
              </w:rPr>
              <w:t>draft → submitted → under_review → revision_required → approved / rejected → suspended → blocked</w:t>
            </w:r>
          </w:p>
        </w:tc>
        <w:tc>
          <w:tcPr>
            <w:tcW w:type="dxa" w:w="2960"/>
            <w:tcMar>
              <w:top w:w="80" w:type="dxa"/>
              <w:start w:w="120" w:type="dxa"/>
              <w:bottom w:w="80" w:type="dxa"/>
              <w:end w:w="120" w:type="dxa"/>
            </w:tcMar>
            <w:vAlign w:val="center"/>
          </w:tcPr>
          <w:p>
            <w:pPr>
              <w:spacing w:after="0" w:line="252" w:lineRule="auto"/>
            </w:pPr>
            <w:r>
              <w:rPr>
                <w:rFonts w:ascii="Calibri" w:hAnsi="Calibri"/>
                <w:color w:val="334155"/>
                <w:sz w:val="16"/>
              </w:rPr>
              <w:t>Suspended/block tidak menghapus ledger/order history.</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Professional credential</w:t>
            </w:r>
          </w:p>
        </w:tc>
        <w:tc>
          <w:tcPr>
            <w:tcW w:type="dxa" w:w="4500"/>
            <w:tcMar>
              <w:top w:w="80" w:type="dxa"/>
              <w:start w:w="120" w:type="dxa"/>
              <w:bottom w:w="80" w:type="dxa"/>
              <w:end w:w="120" w:type="dxa"/>
            </w:tcMar>
            <w:vAlign w:val="center"/>
          </w:tcPr>
          <w:p>
            <w:pPr>
              <w:spacing w:after="0" w:line="252" w:lineRule="auto"/>
            </w:pPr>
            <w:r>
              <w:rPr>
                <w:rFonts w:ascii="Calibri" w:hAnsi="Calibri"/>
                <w:color w:val="334155"/>
                <w:sz w:val="16"/>
              </w:rPr>
              <w:t>draft → pending → verified → expired / revoked / rejected</w:t>
            </w:r>
          </w:p>
        </w:tc>
        <w:tc>
          <w:tcPr>
            <w:tcW w:type="dxa" w:w="2960"/>
            <w:tcMar>
              <w:top w:w="80" w:type="dxa"/>
              <w:start w:w="120" w:type="dxa"/>
              <w:bottom w:w="80" w:type="dxa"/>
              <w:end w:w="120" w:type="dxa"/>
            </w:tcMar>
            <w:vAlign w:val="center"/>
          </w:tcPr>
          <w:p>
            <w:pPr>
              <w:spacing w:after="0" w:line="252" w:lineRule="auto"/>
            </w:pPr>
            <w:r>
              <w:rPr>
                <w:rFonts w:ascii="Calibri" w:hAnsi="Calibri"/>
                <w:color w:val="334155"/>
                <w:sz w:val="16"/>
              </w:rPr>
              <w:t>Capability mengikuti credential required.</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Product listing</w:t>
            </w:r>
          </w:p>
        </w:tc>
        <w:tc>
          <w:tcPr>
            <w:tcW w:type="dxa" w:w="4500"/>
            <w:tcMar>
              <w:top w:w="80" w:type="dxa"/>
              <w:start w:w="120" w:type="dxa"/>
              <w:bottom w:w="80" w:type="dxa"/>
              <w:end w:w="120" w:type="dxa"/>
            </w:tcMar>
            <w:vAlign w:val="center"/>
          </w:tcPr>
          <w:p>
            <w:pPr>
              <w:spacing w:after="0" w:line="252" w:lineRule="auto"/>
            </w:pPr>
            <w:r>
              <w:rPr>
                <w:rFonts w:ascii="Calibri" w:hAnsi="Calibri"/>
                <w:color w:val="334155"/>
                <w:sz w:val="16"/>
              </w:rPr>
              <w:t>draft → pending_review → active → paused → archived / rejected</w:t>
            </w:r>
          </w:p>
        </w:tc>
        <w:tc>
          <w:tcPr>
            <w:tcW w:type="dxa" w:w="2960"/>
            <w:tcMar>
              <w:top w:w="80" w:type="dxa"/>
              <w:start w:w="120" w:type="dxa"/>
              <w:bottom w:w="80" w:type="dxa"/>
              <w:end w:w="120" w:type="dxa"/>
            </w:tcMar>
            <w:vAlign w:val="center"/>
          </w:tcPr>
          <w:p>
            <w:pPr>
              <w:spacing w:after="0" w:line="252" w:lineRule="auto"/>
            </w:pPr>
            <w:r>
              <w:rPr>
                <w:rFonts w:ascii="Calibri" w:hAnsi="Calibri"/>
                <w:color w:val="334155"/>
                <w:sz w:val="16"/>
              </w:rPr>
              <w:t>Stock zero tidak harus mengubah status moderation.</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Payment</w:t>
            </w:r>
          </w:p>
        </w:tc>
        <w:tc>
          <w:tcPr>
            <w:tcW w:type="dxa" w:w="4500"/>
            <w:tcMar>
              <w:top w:w="80" w:type="dxa"/>
              <w:start w:w="120" w:type="dxa"/>
              <w:bottom w:w="80" w:type="dxa"/>
              <w:end w:w="120" w:type="dxa"/>
            </w:tcMar>
            <w:vAlign w:val="center"/>
          </w:tcPr>
          <w:p>
            <w:pPr>
              <w:spacing w:after="0" w:line="252" w:lineRule="auto"/>
            </w:pPr>
            <w:r>
              <w:rPr>
                <w:rFonts w:ascii="Calibri" w:hAnsi="Calibri"/>
                <w:color w:val="334155"/>
                <w:sz w:val="16"/>
              </w:rPr>
              <w:t>created → pending → authorized/captured → failed/expired → partially_refunded/refunded → chargeback</w:t>
            </w:r>
          </w:p>
        </w:tc>
        <w:tc>
          <w:tcPr>
            <w:tcW w:type="dxa" w:w="2960"/>
            <w:tcMar>
              <w:top w:w="80" w:type="dxa"/>
              <w:start w:w="120" w:type="dxa"/>
              <w:bottom w:w="80" w:type="dxa"/>
              <w:end w:w="120" w:type="dxa"/>
            </w:tcMar>
            <w:vAlign w:val="center"/>
          </w:tcPr>
          <w:p>
            <w:pPr>
              <w:spacing w:after="0" w:line="252" w:lineRule="auto"/>
            </w:pPr>
            <w:r>
              <w:rPr>
                <w:rFonts w:ascii="Calibri" w:hAnsi="Calibri"/>
                <w:color w:val="334155"/>
                <w:sz w:val="16"/>
              </w:rPr>
              <w:t>Webhook provider adalah source of truth eksternal.</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Product order</w:t>
            </w:r>
          </w:p>
        </w:tc>
        <w:tc>
          <w:tcPr>
            <w:tcW w:type="dxa" w:w="4500"/>
            <w:tcMar>
              <w:top w:w="80" w:type="dxa"/>
              <w:start w:w="120" w:type="dxa"/>
              <w:bottom w:w="80" w:type="dxa"/>
              <w:end w:w="120" w:type="dxa"/>
            </w:tcMar>
            <w:vAlign w:val="center"/>
          </w:tcPr>
          <w:p>
            <w:pPr>
              <w:spacing w:after="0" w:line="252" w:lineRule="auto"/>
            </w:pPr>
            <w:r>
              <w:rPr>
                <w:rFonts w:ascii="Calibri" w:hAnsi="Calibri"/>
                <w:color w:val="334155"/>
                <w:sz w:val="16"/>
              </w:rPr>
              <w:t>pending_payment → paid → processing → shipped → delivered → completed / cancelled / return_requested / returned</w:t>
            </w:r>
          </w:p>
        </w:tc>
        <w:tc>
          <w:tcPr>
            <w:tcW w:type="dxa" w:w="2960"/>
            <w:tcMar>
              <w:top w:w="80" w:type="dxa"/>
              <w:start w:w="120" w:type="dxa"/>
              <w:bottom w:w="80" w:type="dxa"/>
              <w:end w:w="120" w:type="dxa"/>
            </w:tcMar>
            <w:vAlign w:val="center"/>
          </w:tcPr>
          <w:p>
            <w:pPr>
              <w:spacing w:after="0" w:line="252" w:lineRule="auto"/>
            </w:pPr>
            <w:r>
              <w:rPr>
                <w:rFonts w:ascii="Calibri" w:hAnsi="Calibri"/>
                <w:color w:val="334155"/>
                <w:sz w:val="16"/>
              </w:rPr>
              <w:t>Internal dan customer-facing status dipetakan.</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Booking</w:t>
            </w:r>
          </w:p>
        </w:tc>
        <w:tc>
          <w:tcPr>
            <w:tcW w:type="dxa" w:w="4500"/>
            <w:tcMar>
              <w:top w:w="80" w:type="dxa"/>
              <w:start w:w="120" w:type="dxa"/>
              <w:bottom w:w="80" w:type="dxa"/>
              <w:end w:w="120" w:type="dxa"/>
            </w:tcMar>
            <w:vAlign w:val="center"/>
          </w:tcPr>
          <w:p>
            <w:pPr>
              <w:spacing w:after="0" w:line="252" w:lineRule="auto"/>
            </w:pPr>
            <w:r>
              <w:rPr>
                <w:rFonts w:ascii="Calibri" w:hAnsi="Calibri"/>
                <w:color w:val="334155"/>
                <w:sz w:val="16"/>
              </w:rPr>
              <w:t>slot_held → pending_payment → confirmed → assigned → accepted → en_route → arrived → in_service → completed / cancelled / no_show / disputed</w:t>
            </w:r>
          </w:p>
        </w:tc>
        <w:tc>
          <w:tcPr>
            <w:tcW w:type="dxa" w:w="2960"/>
            <w:tcMar>
              <w:top w:w="80" w:type="dxa"/>
              <w:start w:w="120" w:type="dxa"/>
              <w:bottom w:w="80" w:type="dxa"/>
              <w:end w:w="120" w:type="dxa"/>
            </w:tcMar>
            <w:vAlign w:val="center"/>
          </w:tcPr>
          <w:p>
            <w:pPr>
              <w:spacing w:after="0" w:line="252" w:lineRule="auto"/>
            </w:pPr>
            <w:r>
              <w:rPr>
                <w:rFonts w:ascii="Calibri" w:hAnsi="Calibri"/>
                <w:color w:val="334155"/>
                <w:sz w:val="16"/>
              </w:rPr>
              <w:t>Transition berizin dan memiliki actor.</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Payout</w:t>
            </w:r>
          </w:p>
        </w:tc>
        <w:tc>
          <w:tcPr>
            <w:tcW w:type="dxa" w:w="4500"/>
            <w:tcMar>
              <w:top w:w="80" w:type="dxa"/>
              <w:start w:w="120" w:type="dxa"/>
              <w:bottom w:w="80" w:type="dxa"/>
              <w:end w:w="120" w:type="dxa"/>
            </w:tcMar>
            <w:vAlign w:val="center"/>
          </w:tcPr>
          <w:p>
            <w:pPr>
              <w:spacing w:after="0" w:line="252" w:lineRule="auto"/>
            </w:pPr>
            <w:r>
              <w:rPr>
                <w:rFonts w:ascii="Calibri" w:hAnsi="Calibri"/>
                <w:color w:val="334155"/>
                <w:sz w:val="16"/>
              </w:rPr>
              <w:t>pending → eligible → scheduled → processing → paid / failed / reversed</w:t>
            </w:r>
          </w:p>
        </w:tc>
        <w:tc>
          <w:tcPr>
            <w:tcW w:type="dxa" w:w="2960"/>
            <w:tcMar>
              <w:top w:w="80" w:type="dxa"/>
              <w:start w:w="120" w:type="dxa"/>
              <w:bottom w:w="80" w:type="dxa"/>
              <w:end w:w="120" w:type="dxa"/>
            </w:tcMar>
            <w:vAlign w:val="center"/>
          </w:tcPr>
          <w:p>
            <w:pPr>
              <w:spacing w:after="0" w:line="252" w:lineRule="auto"/>
            </w:pPr>
            <w:r>
              <w:rPr>
                <w:rFonts w:ascii="Calibri" w:hAnsi="Calibri"/>
                <w:color w:val="334155"/>
                <w:sz w:val="16"/>
              </w:rPr>
              <w:t>Tidak disamakan dengan payment customer.</w:t>
            </w:r>
          </w:p>
        </w:tc>
      </w:tr>
    </w:tbl>
    <w:p>
      <w:pPr>
        <w:spacing w:after="40"/>
      </w:pPr>
    </w:p>
    <w:p>
      <w:pPr>
        <w:pStyle w:val="Heading3"/>
        <w:keepNext/>
      </w:pPr>
      <w:r>
        <w:rPr>
          <w:rFonts w:ascii="Calibri" w:hAnsi="Calibri"/>
          <w:b/>
          <w:color w:val="172033"/>
          <w:sz w:val="24"/>
        </w:rPr>
        <w:t>10.1 Aturan kritis</w:t>
      </w:r>
    </w:p>
    <w:p>
      <w:pPr>
        <w:numPr>
          <w:ilvl w:val="0"/>
          <w:numId w:val="10"/>
        </w:numPr>
        <w:spacing w:after="160" w:line="280" w:lineRule="auto"/>
        <w:keepLines/>
      </w:pPr>
      <w:r>
        <w:rPr>
          <w:rFonts w:ascii="Calibri" w:hAnsi="Calibri"/>
          <w:color w:val="334155"/>
          <w:sz w:val="22"/>
        </w:rPr>
        <w:t>Status transition dilakukan server-side melalui command, bukan update field generik.</w:t>
      </w:r>
    </w:p>
    <w:p>
      <w:pPr>
        <w:numPr>
          <w:ilvl w:val="0"/>
          <w:numId w:val="10"/>
        </w:numPr>
        <w:spacing w:after="160" w:line="280" w:lineRule="auto"/>
        <w:keepLines/>
      </w:pPr>
      <w:r>
        <w:rPr>
          <w:rFonts w:ascii="Calibri" w:hAnsi="Calibri"/>
          <w:color w:val="334155"/>
          <w:sz w:val="22"/>
        </w:rPr>
        <w:t>Semua monetary amount disimpan sebagai integer minor units + currency; tidak menggunakan float.</w:t>
      </w:r>
    </w:p>
    <w:p>
      <w:pPr>
        <w:numPr>
          <w:ilvl w:val="0"/>
          <w:numId w:val="10"/>
        </w:numPr>
        <w:spacing w:after="160" w:line="280" w:lineRule="auto"/>
        <w:keepLines/>
      </w:pPr>
      <w:r>
        <w:rPr>
          <w:rFonts w:ascii="Calibri" w:hAnsi="Calibri"/>
          <w:color w:val="334155"/>
          <w:sz w:val="22"/>
        </w:rPr>
        <w:t>Soft delete hanya untuk katalog/profil yang sesuai; ledger, payment, audit, dan evidence tidak dihapus secara fisik tanpa retention process.</w:t>
      </w:r>
    </w:p>
    <w:p>
      <w:pPr>
        <w:numPr>
          <w:ilvl w:val="0"/>
          <w:numId w:val="10"/>
        </w:numPr>
        <w:spacing w:after="160" w:line="280" w:lineRule="auto"/>
        <w:keepLines/>
      </w:pPr>
      <w:r>
        <w:rPr>
          <w:rFonts w:ascii="Calibri" w:hAnsi="Calibri"/>
          <w:color w:val="334155"/>
          <w:sz w:val="22"/>
        </w:rPr>
        <w:t>Partner tidak pernah menentukan partner_id dari request body untuk operasi scoped; tenant diturunkan dari session dan membership.</w:t>
      </w:r>
    </w:p>
    <w:p>
      <w:pPr>
        <w:numPr>
          <w:ilvl w:val="0"/>
          <w:numId w:val="10"/>
        </w:numPr>
        <w:spacing w:after="160" w:line="280" w:lineRule="auto"/>
        <w:keepLines/>
      </w:pPr>
      <w:r>
        <w:rPr>
          <w:rFonts w:ascii="Calibri" w:hAnsi="Calibri"/>
          <w:color w:val="334155"/>
          <w:sz w:val="22"/>
        </w:rPr>
        <w:t>Time disimpan UTC; timezone lokal hanya untuk display dan availability calculation.</w:t>
      </w:r>
    </w:p>
    <w:p>
      <w:pPr>
        <w:numPr>
          <w:ilvl w:val="0"/>
          <w:numId w:val="10"/>
        </w:numPr>
        <w:spacing w:after="160" w:line="280" w:lineRule="auto"/>
        <w:keepLines/>
      </w:pPr>
      <w:r>
        <w:rPr>
          <w:rFonts w:ascii="Calibri" w:hAnsi="Calibri"/>
          <w:color w:val="334155"/>
          <w:sz w:val="22"/>
        </w:rPr>
        <w:t>External webhook, checkout, refund, inventory reserve, dan payout menggunakan idempotency key.</w:t>
      </w:r>
    </w:p>
    <w:p>
      <w:pPr>
        <w:numPr>
          <w:ilvl w:val="0"/>
          <w:numId w:val="10"/>
        </w:numPr>
        <w:spacing w:after="160" w:line="280" w:lineRule="auto"/>
        <w:keepLines/>
      </w:pPr>
      <w:r>
        <w:rPr>
          <w:rFonts w:ascii="Calibri" w:hAnsi="Calibri"/>
          <w:color w:val="334155"/>
          <w:sz w:val="22"/>
        </w:rPr>
        <w:t>Kebijakan cancel/no-show diputuskan dari snapshot policy pada booking, bukan policy terbaru.</w:t>
      </w:r>
    </w:p>
    <w:p>
      <w:pPr>
        <w:pStyle w:val="Heading2"/>
        <w:keepNext/>
      </w:pPr>
      <w:r>
        <w:rPr>
          <w:rFonts w:ascii="Calibri" w:hAnsi="Calibri"/>
          <w:b/>
          <w:color w:val="4F46E5"/>
          <w:sz w:val="26"/>
        </w:rPr>
        <w:t>11. Acceptance criteria tingkat produk</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200"/>
        <w:gridCol w:w="7160"/>
      </w:tblGrid>
      <w:tr>
        <w:trPr>
          <w:tblHeader w:val="true"/>
          <w:cantSplit/>
        </w:trPr>
        <w:tc>
          <w:tcPr>
            <w:tcW w:type="dxa" w:w="22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8"/>
              </w:rPr>
              <w:t>Area</w:t>
            </w:r>
          </w:p>
        </w:tc>
        <w:tc>
          <w:tcPr>
            <w:tcW w:type="dxa" w:w="71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8"/>
              </w:rPr>
              <w:t>Release criterion</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334155"/>
                <w:sz w:val="18"/>
              </w:rPr>
              <w:t>Auth &amp; tenancy</w:t>
            </w:r>
          </w:p>
        </w:tc>
        <w:tc>
          <w:tcPr>
            <w:tcW w:type="dxa" w:w="7160"/>
            <w:tcMar>
              <w:top w:w="80" w:type="dxa"/>
              <w:start w:w="120" w:type="dxa"/>
              <w:bottom w:w="80" w:type="dxa"/>
              <w:end w:w="120" w:type="dxa"/>
            </w:tcMar>
            <w:vAlign w:val="center"/>
          </w:tcPr>
          <w:p>
            <w:pPr>
              <w:spacing w:after="0" w:line="252" w:lineRule="auto"/>
            </w:pPr>
            <w:r>
              <w:rPr>
                <w:rFonts w:ascii="Calibri" w:hAnsi="Calibri"/>
                <w:color w:val="334155"/>
                <w:sz w:val="18"/>
              </w:rPr>
              <w:t>Tidak ada endpoint partner yang dapat membaca/menulis tenant lain pada automated isolation suite.</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334155"/>
                <w:sz w:val="18"/>
              </w:rPr>
              <w:t>Checkout</w:t>
            </w:r>
          </w:p>
        </w:tc>
        <w:tc>
          <w:tcPr>
            <w:tcW w:type="dxa" w:w="7160"/>
            <w:tcMar>
              <w:top w:w="80" w:type="dxa"/>
              <w:start w:w="120" w:type="dxa"/>
              <w:bottom w:w="80" w:type="dxa"/>
              <w:end w:w="120" w:type="dxa"/>
            </w:tcMar>
            <w:vAlign w:val="center"/>
          </w:tcPr>
          <w:p>
            <w:pPr>
              <w:spacing w:after="0" w:line="252" w:lineRule="auto"/>
            </w:pPr>
            <w:r>
              <w:rPr>
                <w:rFonts w:ascii="Calibri" w:hAnsi="Calibri"/>
                <w:color w:val="334155"/>
                <w:sz w:val="18"/>
              </w:rPr>
              <w:t>Retry, timeout, duplicate webhook, dan out-of-order webhook tidak menghasilkan double order/charge.</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334155"/>
                <w:sz w:val="18"/>
              </w:rPr>
              <w:t>Inventory/slot</w:t>
            </w:r>
          </w:p>
        </w:tc>
        <w:tc>
          <w:tcPr>
            <w:tcW w:type="dxa" w:w="7160"/>
            <w:tcMar>
              <w:top w:w="80" w:type="dxa"/>
              <w:start w:w="120" w:type="dxa"/>
              <w:bottom w:w="80" w:type="dxa"/>
              <w:end w:w="120" w:type="dxa"/>
            </w:tcMar>
            <w:vAlign w:val="center"/>
          </w:tcPr>
          <w:p>
            <w:pPr>
              <w:spacing w:after="0" w:line="252" w:lineRule="auto"/>
            </w:pPr>
            <w:r>
              <w:rPr>
                <w:rFonts w:ascii="Calibri" w:hAnsi="Calibri"/>
                <w:color w:val="334155"/>
                <w:sz w:val="18"/>
              </w:rPr>
              <w:t>Concurrent purchase/booking tidak menyebabkan oversell atau double-booking.</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334155"/>
                <w:sz w:val="18"/>
              </w:rPr>
              <w:t>Finance</w:t>
            </w:r>
          </w:p>
        </w:tc>
        <w:tc>
          <w:tcPr>
            <w:tcW w:type="dxa" w:w="7160"/>
            <w:tcMar>
              <w:top w:w="80" w:type="dxa"/>
              <w:start w:w="120" w:type="dxa"/>
              <w:bottom w:w="80" w:type="dxa"/>
              <w:end w:w="120" w:type="dxa"/>
            </w:tcMar>
            <w:vAlign w:val="center"/>
          </w:tcPr>
          <w:p>
            <w:pPr>
              <w:spacing w:after="0" w:line="252" w:lineRule="auto"/>
            </w:pPr>
            <w:r>
              <w:rPr>
                <w:rFonts w:ascii="Calibri" w:hAnsi="Calibri"/>
                <w:color w:val="334155"/>
                <w:sz w:val="18"/>
              </w:rPr>
              <w:t>Jumlah ledger seimbang; settlement dapat direkonsiliasi terhadap payment gateway.</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334155"/>
                <w:sz w:val="18"/>
              </w:rPr>
              <w:t>Tracking</w:t>
            </w:r>
          </w:p>
        </w:tc>
        <w:tc>
          <w:tcPr>
            <w:tcW w:type="dxa" w:w="7160"/>
            <w:tcMar>
              <w:top w:w="80" w:type="dxa"/>
              <w:start w:w="120" w:type="dxa"/>
              <w:bottom w:w="80" w:type="dxa"/>
              <w:end w:w="120" w:type="dxa"/>
            </w:tcMar>
            <w:vAlign w:val="center"/>
          </w:tcPr>
          <w:p>
            <w:pPr>
              <w:spacing w:after="0" w:line="252" w:lineRule="auto"/>
            </w:pPr>
            <w:r>
              <w:rPr>
                <w:rFonts w:ascii="Calibri" w:hAnsi="Calibri"/>
                <w:color w:val="334155"/>
                <w:sz w:val="18"/>
              </w:rPr>
              <w:t>Location hanya tersedia pada booking dan waktu yang sah; expired token gagal.</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334155"/>
                <w:sz w:val="18"/>
              </w:rPr>
              <w:t>AI customer</w:t>
            </w:r>
          </w:p>
        </w:tc>
        <w:tc>
          <w:tcPr>
            <w:tcW w:type="dxa" w:w="7160"/>
            <w:tcMar>
              <w:top w:w="80" w:type="dxa"/>
              <w:start w:w="120" w:type="dxa"/>
              <w:bottom w:w="80" w:type="dxa"/>
              <w:end w:w="120" w:type="dxa"/>
            </w:tcMar>
            <w:vAlign w:val="center"/>
          </w:tcPr>
          <w:p>
            <w:pPr>
              <w:spacing w:after="0" w:line="252" w:lineRule="auto"/>
            </w:pPr>
            <w:r>
              <w:rPr>
                <w:rFonts w:ascii="Calibri" w:hAnsi="Calibri"/>
                <w:color w:val="334155"/>
                <w:sz w:val="18"/>
              </w:rPr>
              <w:t>Rekomendasi resolve ke listing aktif; constraint budget/safety terpenuhi; red flags diekskalasi.</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334155"/>
                <w:sz w:val="18"/>
              </w:rPr>
              <w:t>AI partner</w:t>
            </w:r>
          </w:p>
        </w:tc>
        <w:tc>
          <w:tcPr>
            <w:tcW w:type="dxa" w:w="7160"/>
            <w:tcMar>
              <w:top w:w="80" w:type="dxa"/>
              <w:start w:w="120" w:type="dxa"/>
              <w:bottom w:w="80" w:type="dxa"/>
              <w:end w:w="120" w:type="dxa"/>
            </w:tcMar>
            <w:vAlign w:val="center"/>
          </w:tcPr>
          <w:p>
            <w:pPr>
              <w:spacing w:after="0" w:line="252" w:lineRule="auto"/>
            </w:pPr>
            <w:r>
              <w:rPr>
                <w:rFonts w:ascii="Calibri" w:hAnsi="Calibri"/>
                <w:color w:val="334155"/>
                <w:sz w:val="18"/>
              </w:rPr>
              <w:t>Angka pada ringkasan identik dengan analytics source dan berada pada tenant/periode yang diminta.</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334155"/>
                <w:sz w:val="18"/>
              </w:rPr>
              <w:t>Admin</w:t>
            </w:r>
          </w:p>
        </w:tc>
        <w:tc>
          <w:tcPr>
            <w:tcW w:type="dxa" w:w="7160"/>
            <w:tcMar>
              <w:top w:w="80" w:type="dxa"/>
              <w:start w:w="120" w:type="dxa"/>
              <w:bottom w:w="80" w:type="dxa"/>
              <w:end w:w="120" w:type="dxa"/>
            </w:tcMar>
            <w:vAlign w:val="center"/>
          </w:tcPr>
          <w:p>
            <w:pPr>
              <w:spacing w:after="0" w:line="252" w:lineRule="auto"/>
            </w:pPr>
            <w:r>
              <w:rPr>
                <w:rFonts w:ascii="Calibri" w:hAnsi="Calibri"/>
                <w:color w:val="334155"/>
                <w:sz w:val="18"/>
              </w:rPr>
              <w:t>Privileged action memiliki reason, actor, target, before/after, time, IP/device context, correlation ID.</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334155"/>
                <w:sz w:val="18"/>
              </w:rPr>
              <w:t>Privacy</w:t>
            </w:r>
          </w:p>
        </w:tc>
        <w:tc>
          <w:tcPr>
            <w:tcW w:type="dxa" w:w="7160"/>
            <w:tcMar>
              <w:top w:w="80" w:type="dxa"/>
              <w:start w:w="120" w:type="dxa"/>
              <w:bottom w:w="80" w:type="dxa"/>
              <w:end w:w="120" w:type="dxa"/>
            </w:tcMar>
            <w:vAlign w:val="center"/>
          </w:tcPr>
          <w:p>
            <w:pPr>
              <w:spacing w:after="0" w:line="252" w:lineRule="auto"/>
            </w:pPr>
            <w:r>
              <w:rPr>
                <w:rFonts w:ascii="Calibri" w:hAnsi="Calibri"/>
                <w:color w:val="334155"/>
                <w:sz w:val="18"/>
              </w:rPr>
              <w:t>Export/delete/retention workflow untuk data subjek telah diuji; data sensitif tidak muncul di logs.</w:t>
            </w:r>
          </w:p>
        </w:tc>
      </w:tr>
    </w:tbl>
    <w:p>
      <w:pPr>
        <w:spacing w:after="40"/>
      </w:pPr>
    </w:p>
    <w:p>
      <w:r>
        <w:br w:type="page"/>
      </w:r>
    </w:p>
    <w:p>
      <w:pPr>
        <w:pStyle w:val="Heading1"/>
        <w:keepNext/>
      </w:pPr>
      <w:r>
        <w:rPr>
          <w:rFonts w:ascii="Calibri" w:hAnsi="Calibri"/>
          <w:b/>
          <w:color w:val="3730A3"/>
          <w:sz w:val="32"/>
        </w:rPr>
        <w:t>C. System Design</w:t>
      </w:r>
    </w:p>
    <w:p>
      <w:pPr>
        <w:pStyle w:val="Heading2"/>
        <w:keepNext/>
      </w:pPr>
      <w:r>
        <w:rPr>
          <w:rFonts w:ascii="Calibri" w:hAnsi="Calibri"/>
          <w:b/>
          <w:color w:val="4F46E5"/>
          <w:sz w:val="26"/>
        </w:rPr>
        <w:t>12. Arsitektur logis</w:t>
      </w:r>
    </w:p>
    <w:p>
      <w:pPr>
        <w:spacing w:after="100"/>
        <w:jc w:val="center"/>
        <w:keepNext/>
      </w:pPr>
      <w:r>
        <w:drawing>
          <wp:inline xmlns:a="http://schemas.openxmlformats.org/drawingml/2006/main" xmlns:pic="http://schemas.openxmlformats.org/drawingml/2006/picture">
            <wp:extent cx="5715000" cy="3556000"/>
            <wp:docPr id="2" name="Picture 2" descr="Gambar 2. Dua pengalaman Next.js berbagi satu API modular dengan data stores yang memiliki tanggung jawab berbeda." title="Gambar 2. Dua pengalaman Next.js berbagi satu API modular dengan data stores yang memiliki tanggung jawab berbeda."/>
            <wp:cNvGraphicFramePr>
              <a:graphicFrameLocks noChangeAspect="1"/>
            </wp:cNvGraphicFramePr>
            <a:graphic>
              <a:graphicData uri="http://schemas.openxmlformats.org/drawingml/2006/picture">
                <pic:pic>
                  <pic:nvPicPr>
                    <pic:cNvPr id="0" name="yoru_system_architecture.png"/>
                    <pic:cNvPicPr/>
                  </pic:nvPicPr>
                  <pic:blipFill>
                    <a:blip r:embed="rId12"/>
                    <a:stretch>
                      <a:fillRect/>
                    </a:stretch>
                  </pic:blipFill>
                  <pic:spPr>
                    <a:xfrm>
                      <a:off x="0" y="0"/>
                      <a:ext cx="5715000" cy="3556000"/>
                    </a:xfrm>
                    <a:prstGeom prst="rect"/>
                  </pic:spPr>
                </pic:pic>
              </a:graphicData>
            </a:graphic>
          </wp:inline>
        </w:drawing>
      </w:r>
    </w:p>
    <w:p>
      <w:pPr>
        <w:spacing w:after="160"/>
        <w:jc w:val="center"/>
      </w:pPr>
      <w:r>
        <w:rPr>
          <w:rFonts w:ascii="Calibri" w:hAnsi="Calibri"/>
          <w:i/>
          <w:color w:val="64748B"/>
          <w:sz w:val="18"/>
        </w:rPr>
        <w:t>Gambar 2. Dua pengalaman Next.js berbagi satu API modular dengan data stores yang memiliki tanggung jawab berbeda.</w:t>
      </w:r>
    </w:p>
    <w:p>
      <w:pPr>
        <w:spacing w:after="120" w:line="264" w:lineRule="auto"/>
      </w:pPr>
      <w:r>
        <w:rPr>
          <w:rFonts w:ascii="Calibri" w:hAnsi="Calibri"/>
          <w:i w:val="0"/>
          <w:color w:val="334155"/>
          <w:sz w:val="22"/>
        </w:rPr>
        <w:t>Modular monolith adalah pilihan awal yang paling rasional. Domain dipisahkan lewat package/module boundaries, service interfaces, database ownership convention, dan outbox events, tetapi deployment tetap sederhana. Jika suatu domain membutuhkan scale atau reliability berbeda, modul tersebut dapat diekstrak tanpa mengubah kontrak publik secara besar.</w:t>
      </w:r>
    </w:p>
    <w:p>
      <w:pPr>
        <w:pStyle w:val="Heading3"/>
        <w:keepNext/>
      </w:pPr>
      <w:r>
        <w:rPr>
          <w:rFonts w:ascii="Calibri" w:hAnsi="Calibri"/>
          <w:b/>
          <w:color w:val="172033"/>
          <w:sz w:val="24"/>
        </w:rPr>
        <w:t>12.1 Komponen dan tanggung jawab</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800"/>
        <w:gridCol w:w="4200"/>
        <w:gridCol w:w="3360"/>
      </w:tblGrid>
      <w:tr>
        <w:trPr>
          <w:tblHeader w:val="true"/>
          <w:cantSplit/>
        </w:trPr>
        <w:tc>
          <w:tcPr>
            <w:tcW w:type="dxa" w:w="18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Komponen</w:t>
            </w:r>
          </w:p>
        </w:tc>
        <w:tc>
          <w:tcPr>
            <w:tcW w:type="dxa" w:w="42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Tanggung jawab</w:t>
            </w:r>
          </w:p>
        </w:tc>
        <w:tc>
          <w:tcPr>
            <w:tcW w:type="dxa" w:w="33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Tidak boleh menjadi</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7"/>
              </w:rPr>
              <w:t>Storefront</w:t>
            </w:r>
          </w:p>
        </w:tc>
        <w:tc>
          <w:tcPr>
            <w:tcW w:type="dxa" w:w="4200"/>
            <w:tcMar>
              <w:top w:w="80" w:type="dxa"/>
              <w:start w:w="120" w:type="dxa"/>
              <w:bottom w:w="80" w:type="dxa"/>
              <w:end w:w="120" w:type="dxa"/>
            </w:tcMar>
            <w:vAlign w:val="center"/>
          </w:tcPr>
          <w:p>
            <w:pPr>
              <w:spacing w:after="0" w:line="252" w:lineRule="auto"/>
            </w:pPr>
            <w:r>
              <w:rPr>
                <w:rFonts w:ascii="Calibri" w:hAnsi="Calibri"/>
                <w:color w:val="334155"/>
                <w:sz w:val="17"/>
              </w:rPr>
              <w:t>SSR/SEO, discovery, account, cart UX, AI UI, tracking UI.</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Tempat business rule atau penyimpanan token di localStorage.</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7"/>
              </w:rPr>
              <w:t>Console</w:t>
            </w:r>
          </w:p>
        </w:tc>
        <w:tc>
          <w:tcPr>
            <w:tcW w:type="dxa" w:w="4200"/>
            <w:tcMar>
              <w:top w:w="80" w:type="dxa"/>
              <w:start w:w="120" w:type="dxa"/>
              <w:bottom w:w="80" w:type="dxa"/>
              <w:end w:w="120" w:type="dxa"/>
            </w:tcMar>
            <w:vAlign w:val="center"/>
          </w:tcPr>
          <w:p>
            <w:pPr>
              <w:spacing w:after="0" w:line="252" w:lineRule="auto"/>
            </w:pPr>
            <w:r>
              <w:rPr>
                <w:rFonts w:ascii="Calibri" w:hAnsi="Calibri"/>
                <w:color w:val="334155"/>
                <w:sz w:val="17"/>
              </w:rPr>
              <w:t>Role-aware operations untuk admin/partner/professional.</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Sumber authorization; UI hide bukan security.</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7"/>
              </w:rPr>
              <w:t>FastAPI</w:t>
            </w:r>
          </w:p>
        </w:tc>
        <w:tc>
          <w:tcPr>
            <w:tcW w:type="dxa" w:w="4200"/>
            <w:tcMar>
              <w:top w:w="80" w:type="dxa"/>
              <w:start w:w="120" w:type="dxa"/>
              <w:bottom w:w="80" w:type="dxa"/>
              <w:end w:w="120" w:type="dxa"/>
            </w:tcMar>
            <w:vAlign w:val="center"/>
          </w:tcPr>
          <w:p>
            <w:pPr>
              <w:spacing w:after="0" w:line="252" w:lineRule="auto"/>
            </w:pPr>
            <w:r>
              <w:rPr>
                <w:rFonts w:ascii="Calibri" w:hAnsi="Calibri"/>
                <w:color w:val="334155"/>
                <w:sz w:val="17"/>
              </w:rPr>
              <w:t>Business rules, authorization, orchestration, API contracts.</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God module tanpa domain boundaries.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7"/>
              </w:rPr>
              <w:t>PostgreSQL</w:t>
            </w:r>
          </w:p>
        </w:tc>
        <w:tc>
          <w:tcPr>
            <w:tcW w:type="dxa" w:w="4200"/>
            <w:tcMar>
              <w:top w:w="80" w:type="dxa"/>
              <w:start w:w="120" w:type="dxa"/>
              <w:bottom w:w="80" w:type="dxa"/>
              <w:end w:w="120" w:type="dxa"/>
            </w:tcMar>
            <w:vAlign w:val="center"/>
          </w:tcPr>
          <w:p>
            <w:pPr>
              <w:spacing w:after="0" w:line="252" w:lineRule="auto"/>
            </w:pPr>
            <w:r>
              <w:rPr>
                <w:rFonts w:ascii="Calibri" w:hAnsi="Calibri"/>
                <w:color w:val="334155"/>
                <w:sz w:val="17"/>
              </w:rPr>
              <w:t>Source of truth, transaksi, ledger, relational integrity, geo query.</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Penyimpanan blob besar atau cache.</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7"/>
              </w:rPr>
              <w:t>Redis</w:t>
            </w:r>
          </w:p>
        </w:tc>
        <w:tc>
          <w:tcPr>
            <w:tcW w:type="dxa" w:w="4200"/>
            <w:tcMar>
              <w:top w:w="80" w:type="dxa"/>
              <w:start w:w="120" w:type="dxa"/>
              <w:bottom w:w="80" w:type="dxa"/>
              <w:end w:w="120" w:type="dxa"/>
            </w:tcMar>
            <w:vAlign w:val="center"/>
          </w:tcPr>
          <w:p>
            <w:pPr>
              <w:spacing w:after="0" w:line="252" w:lineRule="auto"/>
            </w:pPr>
            <w:r>
              <w:rPr>
                <w:rFonts w:ascii="Calibri" w:hAnsi="Calibri"/>
                <w:color w:val="334155"/>
                <w:sz w:val="17"/>
              </w:rPr>
              <w:t>Cache, locks, rate limit, job broker, ephemeral presence.</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Source of truth order/payment.</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7"/>
              </w:rPr>
              <w:t>Qdrant</w:t>
            </w:r>
          </w:p>
        </w:tc>
        <w:tc>
          <w:tcPr>
            <w:tcW w:type="dxa" w:w="4200"/>
            <w:tcMar>
              <w:top w:w="80" w:type="dxa"/>
              <w:start w:w="120" w:type="dxa"/>
              <w:bottom w:w="80" w:type="dxa"/>
              <w:end w:w="120" w:type="dxa"/>
            </w:tcMar>
            <w:vAlign w:val="center"/>
          </w:tcPr>
          <w:p>
            <w:pPr>
              <w:spacing w:after="0" w:line="252" w:lineRule="auto"/>
            </w:pPr>
            <w:r>
              <w:rPr>
                <w:rFonts w:ascii="Calibri" w:hAnsi="Calibri"/>
                <w:color w:val="334155"/>
                <w:sz w:val="17"/>
              </w:rPr>
              <w:t>Semantic retrieval untuk catalog/knowledge/playbook.</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Pengganti PostgreSQL atau tempat raw customer photos.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7"/>
              </w:rPr>
              <w:t>Object storage</w:t>
            </w:r>
          </w:p>
        </w:tc>
        <w:tc>
          <w:tcPr>
            <w:tcW w:type="dxa" w:w="4200"/>
            <w:tcMar>
              <w:top w:w="80" w:type="dxa"/>
              <w:start w:w="120" w:type="dxa"/>
              <w:bottom w:w="80" w:type="dxa"/>
              <w:end w:w="120" w:type="dxa"/>
            </w:tcMar>
            <w:vAlign w:val="center"/>
          </w:tcPr>
          <w:p>
            <w:pPr>
              <w:spacing w:after="0" w:line="252" w:lineRule="auto"/>
            </w:pPr>
            <w:r>
              <w:rPr>
                <w:rFonts w:ascii="Calibri" w:hAnsi="Calibri"/>
                <w:color w:val="334155"/>
                <w:sz w:val="17"/>
              </w:rPr>
              <w:t>Private docs/photos/evidence melalui signed URL.</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Public bucket untuk credential/customer photo.</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7"/>
              </w:rPr>
              <w:t>Workers</w:t>
            </w:r>
          </w:p>
        </w:tc>
        <w:tc>
          <w:tcPr>
            <w:tcW w:type="dxa" w:w="4200"/>
            <w:tcMar>
              <w:top w:w="80" w:type="dxa"/>
              <w:start w:w="120" w:type="dxa"/>
              <w:bottom w:w="80" w:type="dxa"/>
              <w:end w:w="120" w:type="dxa"/>
            </w:tcMar>
            <w:vAlign w:val="center"/>
          </w:tcPr>
          <w:p>
            <w:pPr>
              <w:spacing w:after="0" w:line="252" w:lineRule="auto"/>
            </w:pPr>
            <w:r>
              <w:rPr>
                <w:rFonts w:ascii="Calibri" w:hAnsi="Calibri"/>
                <w:color w:val="334155"/>
                <w:sz w:val="17"/>
              </w:rPr>
              <w:t>Retryable jobs, embeddings, notifications, reports, reconciliation.</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Jalur tanpa idempotency atau observability.</w:t>
            </w:r>
          </w:p>
        </w:tc>
      </w:tr>
    </w:tbl>
    <w:p>
      <w:pPr>
        <w:spacing w:after="40"/>
      </w:pPr>
    </w:p>
    <w:p>
      <w:pPr>
        <w:pStyle w:val="Heading2"/>
        <w:keepNext/>
      </w:pPr>
      <w:r>
        <w:rPr>
          <w:rFonts w:ascii="Calibri" w:hAnsi="Calibri"/>
          <w:b/>
          <w:color w:val="4F46E5"/>
          <w:sz w:val="26"/>
        </w:rPr>
        <w:t>13. Backend modular design</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900"/>
        <w:gridCol w:w="4400"/>
        <w:gridCol w:w="3060"/>
      </w:tblGrid>
      <w:tr>
        <w:trPr>
          <w:tblHeader w:val="true"/>
          <w:cantSplit/>
        </w:trPr>
        <w:tc>
          <w:tcPr>
            <w:tcW w:type="dxa" w:w="19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6"/>
              </w:rPr>
              <w:t>Module</w:t>
            </w:r>
          </w:p>
        </w:tc>
        <w:tc>
          <w:tcPr>
            <w:tcW w:type="dxa" w:w="44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6"/>
              </w:rPr>
              <w:t>Aggregate / responsibility</w:t>
            </w:r>
          </w:p>
        </w:tc>
        <w:tc>
          <w:tcPr>
            <w:tcW w:type="dxa" w:w="30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6"/>
              </w:rPr>
              <w:t>Events contoh</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identity</w:t>
            </w:r>
          </w:p>
        </w:tc>
        <w:tc>
          <w:tcPr>
            <w:tcW w:type="dxa" w:w="4400"/>
            <w:tcMar>
              <w:top w:w="80" w:type="dxa"/>
              <w:start w:w="120" w:type="dxa"/>
              <w:bottom w:w="80" w:type="dxa"/>
              <w:end w:w="120" w:type="dxa"/>
            </w:tcMar>
            <w:vAlign w:val="center"/>
          </w:tcPr>
          <w:p>
            <w:pPr>
              <w:spacing w:after="0" w:line="252" w:lineRule="auto"/>
            </w:pPr>
            <w:r>
              <w:rPr>
                <w:rFonts w:ascii="Calibri" w:hAnsi="Calibri"/>
                <w:color w:val="334155"/>
                <w:sz w:val="16"/>
              </w:rPr>
              <w:t>users, sessions, MFA, memberships, permissions</w:t>
            </w:r>
          </w:p>
        </w:tc>
        <w:tc>
          <w:tcPr>
            <w:tcW w:type="dxa" w:w="3060"/>
            <w:tcMar>
              <w:top w:w="80" w:type="dxa"/>
              <w:start w:w="120" w:type="dxa"/>
              <w:bottom w:w="80" w:type="dxa"/>
              <w:end w:w="120" w:type="dxa"/>
            </w:tcMar>
            <w:vAlign w:val="center"/>
          </w:tcPr>
          <w:p>
            <w:pPr>
              <w:spacing w:after="0" w:line="252" w:lineRule="auto"/>
            </w:pPr>
            <w:r>
              <w:rPr>
                <w:rFonts w:ascii="Calibri" w:hAnsi="Calibri"/>
                <w:color w:val="334155"/>
                <w:sz w:val="16"/>
              </w:rPr>
              <w:t>user.verified, session.revoked</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partners</w:t>
            </w:r>
          </w:p>
        </w:tc>
        <w:tc>
          <w:tcPr>
            <w:tcW w:type="dxa" w:w="4400"/>
            <w:tcMar>
              <w:top w:w="80" w:type="dxa"/>
              <w:start w:w="120" w:type="dxa"/>
              <w:bottom w:w="80" w:type="dxa"/>
              <w:end w:w="120" w:type="dxa"/>
            </w:tcMar>
            <w:vAlign w:val="center"/>
          </w:tcPr>
          <w:p>
            <w:pPr>
              <w:spacing w:after="0" w:line="252" w:lineRule="auto"/>
            </w:pPr>
            <w:r>
              <w:rPr>
                <w:rFonts w:ascii="Calibri" w:hAnsi="Calibri"/>
                <w:color w:val="334155"/>
                <w:sz w:val="16"/>
              </w:rPr>
              <w:t>applications, partner profile, branches, verification</w:t>
            </w:r>
          </w:p>
        </w:tc>
        <w:tc>
          <w:tcPr>
            <w:tcW w:type="dxa" w:w="3060"/>
            <w:tcMar>
              <w:top w:w="80" w:type="dxa"/>
              <w:start w:w="120" w:type="dxa"/>
              <w:bottom w:w="80" w:type="dxa"/>
              <w:end w:w="120" w:type="dxa"/>
            </w:tcMar>
            <w:vAlign w:val="center"/>
          </w:tcPr>
          <w:p>
            <w:pPr>
              <w:spacing w:after="0" w:line="252" w:lineRule="auto"/>
            </w:pPr>
            <w:r>
              <w:rPr>
                <w:rFonts w:ascii="Calibri" w:hAnsi="Calibri"/>
                <w:color w:val="334155"/>
                <w:sz w:val="16"/>
              </w:rPr>
              <w:t>partner.approved, partner.suspended</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professionals</w:t>
            </w:r>
          </w:p>
        </w:tc>
        <w:tc>
          <w:tcPr>
            <w:tcW w:type="dxa" w:w="4400"/>
            <w:tcMar>
              <w:top w:w="80" w:type="dxa"/>
              <w:start w:w="120" w:type="dxa"/>
              <w:bottom w:w="80" w:type="dxa"/>
              <w:end w:w="120" w:type="dxa"/>
            </w:tcMar>
            <w:vAlign w:val="center"/>
          </w:tcPr>
          <w:p>
            <w:pPr>
              <w:spacing w:after="0" w:line="252" w:lineRule="auto"/>
            </w:pPr>
            <w:r>
              <w:rPr>
                <w:rFonts w:ascii="Calibri" w:hAnsi="Calibri"/>
                <w:color w:val="334155"/>
                <w:sz w:val="16"/>
              </w:rPr>
              <w:t>profiles, credentials, capabilities, availability</w:t>
            </w:r>
          </w:p>
        </w:tc>
        <w:tc>
          <w:tcPr>
            <w:tcW w:type="dxa" w:w="3060"/>
            <w:tcMar>
              <w:top w:w="80" w:type="dxa"/>
              <w:start w:w="120" w:type="dxa"/>
              <w:bottom w:w="80" w:type="dxa"/>
              <w:end w:w="120" w:type="dxa"/>
            </w:tcMar>
            <w:vAlign w:val="center"/>
          </w:tcPr>
          <w:p>
            <w:pPr>
              <w:spacing w:after="0" w:line="252" w:lineRule="auto"/>
            </w:pPr>
            <w:r>
              <w:rPr>
                <w:rFonts w:ascii="Calibri" w:hAnsi="Calibri"/>
                <w:color w:val="334155"/>
                <w:sz w:val="16"/>
              </w:rPr>
              <w:t>credential.expired, professional.available</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catalog</w:t>
            </w:r>
          </w:p>
        </w:tc>
        <w:tc>
          <w:tcPr>
            <w:tcW w:type="dxa" w:w="4400"/>
            <w:tcMar>
              <w:top w:w="80" w:type="dxa"/>
              <w:start w:w="120" w:type="dxa"/>
              <w:bottom w:w="80" w:type="dxa"/>
              <w:end w:w="120" w:type="dxa"/>
            </w:tcMar>
            <w:vAlign w:val="center"/>
          </w:tcPr>
          <w:p>
            <w:pPr>
              <w:spacing w:after="0" w:line="252" w:lineRule="auto"/>
            </w:pPr>
            <w:r>
              <w:rPr>
                <w:rFonts w:ascii="Calibri" w:hAnsi="Calibri"/>
                <w:color w:val="334155"/>
                <w:sz w:val="16"/>
              </w:rPr>
              <w:t>products, variants, services, media, moderation</w:t>
            </w:r>
          </w:p>
        </w:tc>
        <w:tc>
          <w:tcPr>
            <w:tcW w:type="dxa" w:w="3060"/>
            <w:tcMar>
              <w:top w:w="80" w:type="dxa"/>
              <w:start w:w="120" w:type="dxa"/>
              <w:bottom w:w="80" w:type="dxa"/>
              <w:end w:w="120" w:type="dxa"/>
            </w:tcMar>
            <w:vAlign w:val="center"/>
          </w:tcPr>
          <w:p>
            <w:pPr>
              <w:spacing w:after="0" w:line="252" w:lineRule="auto"/>
            </w:pPr>
            <w:r>
              <w:rPr>
                <w:rFonts w:ascii="Calibri" w:hAnsi="Calibri"/>
                <w:color w:val="334155"/>
                <w:sz w:val="16"/>
              </w:rPr>
              <w:t>listing.published, price.changed</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inventory</w:t>
            </w:r>
          </w:p>
        </w:tc>
        <w:tc>
          <w:tcPr>
            <w:tcW w:type="dxa" w:w="4400"/>
            <w:tcMar>
              <w:top w:w="80" w:type="dxa"/>
              <w:start w:w="120" w:type="dxa"/>
              <w:bottom w:w="80" w:type="dxa"/>
              <w:end w:w="120" w:type="dxa"/>
            </w:tcMar>
            <w:vAlign w:val="center"/>
          </w:tcPr>
          <w:p>
            <w:pPr>
              <w:spacing w:after="0" w:line="252" w:lineRule="auto"/>
            </w:pPr>
            <w:r>
              <w:rPr>
                <w:rFonts w:ascii="Calibri" w:hAnsi="Calibri"/>
                <w:color w:val="334155"/>
                <w:sz w:val="16"/>
              </w:rPr>
              <w:t>stock items, movements, reservations</w:t>
            </w:r>
          </w:p>
        </w:tc>
        <w:tc>
          <w:tcPr>
            <w:tcW w:type="dxa" w:w="3060"/>
            <w:tcMar>
              <w:top w:w="80" w:type="dxa"/>
              <w:start w:w="120" w:type="dxa"/>
              <w:bottom w:w="80" w:type="dxa"/>
              <w:end w:w="120" w:type="dxa"/>
            </w:tcMar>
            <w:vAlign w:val="center"/>
          </w:tcPr>
          <w:p>
            <w:pPr>
              <w:spacing w:after="0" w:line="252" w:lineRule="auto"/>
            </w:pPr>
            <w:r>
              <w:rPr>
                <w:rFonts w:ascii="Calibri" w:hAnsi="Calibri"/>
                <w:color w:val="334155"/>
                <w:sz w:val="16"/>
              </w:rPr>
              <w:t>stock.reserved, stock.low</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cart_checkout</w:t>
            </w:r>
          </w:p>
        </w:tc>
        <w:tc>
          <w:tcPr>
            <w:tcW w:type="dxa" w:w="4400"/>
            <w:tcMar>
              <w:top w:w="80" w:type="dxa"/>
              <w:start w:w="120" w:type="dxa"/>
              <w:bottom w:w="80" w:type="dxa"/>
              <w:end w:w="120" w:type="dxa"/>
            </w:tcMar>
            <w:vAlign w:val="center"/>
          </w:tcPr>
          <w:p>
            <w:pPr>
              <w:spacing w:after="0" w:line="252" w:lineRule="auto"/>
            </w:pPr>
            <w:r>
              <w:rPr>
                <w:rFonts w:ascii="Calibri" w:hAnsi="Calibri"/>
                <w:color w:val="334155"/>
                <w:sz w:val="16"/>
              </w:rPr>
              <w:t>cart, quote, promotion allocation, checkout</w:t>
            </w:r>
          </w:p>
        </w:tc>
        <w:tc>
          <w:tcPr>
            <w:tcW w:type="dxa" w:w="3060"/>
            <w:tcMar>
              <w:top w:w="80" w:type="dxa"/>
              <w:start w:w="120" w:type="dxa"/>
              <w:bottom w:w="80" w:type="dxa"/>
              <w:end w:w="120" w:type="dxa"/>
            </w:tcMar>
            <w:vAlign w:val="center"/>
          </w:tcPr>
          <w:p>
            <w:pPr>
              <w:spacing w:after="0" w:line="252" w:lineRule="auto"/>
            </w:pPr>
            <w:r>
              <w:rPr>
                <w:rFonts w:ascii="Calibri" w:hAnsi="Calibri"/>
                <w:color w:val="334155"/>
                <w:sz w:val="16"/>
              </w:rPr>
              <w:t>checkout.created, quote.expired</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payments</w:t>
            </w:r>
          </w:p>
        </w:tc>
        <w:tc>
          <w:tcPr>
            <w:tcW w:type="dxa" w:w="4400"/>
            <w:tcMar>
              <w:top w:w="80" w:type="dxa"/>
              <w:start w:w="120" w:type="dxa"/>
              <w:bottom w:w="80" w:type="dxa"/>
              <w:end w:w="120" w:type="dxa"/>
            </w:tcMar>
            <w:vAlign w:val="center"/>
          </w:tcPr>
          <w:p>
            <w:pPr>
              <w:spacing w:after="0" w:line="252" w:lineRule="auto"/>
            </w:pPr>
            <w:r>
              <w:rPr>
                <w:rFonts w:ascii="Calibri" w:hAnsi="Calibri"/>
                <w:color w:val="334155"/>
                <w:sz w:val="16"/>
              </w:rPr>
              <w:t>intents, webhook inbox, refund, chargeback</w:t>
            </w:r>
          </w:p>
        </w:tc>
        <w:tc>
          <w:tcPr>
            <w:tcW w:type="dxa" w:w="3060"/>
            <w:tcMar>
              <w:top w:w="80" w:type="dxa"/>
              <w:start w:w="120" w:type="dxa"/>
              <w:bottom w:w="80" w:type="dxa"/>
              <w:end w:w="120" w:type="dxa"/>
            </w:tcMar>
            <w:vAlign w:val="center"/>
          </w:tcPr>
          <w:p>
            <w:pPr>
              <w:spacing w:after="0" w:line="252" w:lineRule="auto"/>
            </w:pPr>
            <w:r>
              <w:rPr>
                <w:rFonts w:ascii="Calibri" w:hAnsi="Calibri"/>
                <w:color w:val="334155"/>
                <w:sz w:val="16"/>
              </w:rPr>
              <w:t>payment.captured, refund.completed</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orders</w:t>
            </w:r>
          </w:p>
        </w:tc>
        <w:tc>
          <w:tcPr>
            <w:tcW w:type="dxa" w:w="4400"/>
            <w:tcMar>
              <w:top w:w="80" w:type="dxa"/>
              <w:start w:w="120" w:type="dxa"/>
              <w:bottom w:w="80" w:type="dxa"/>
              <w:end w:w="120" w:type="dxa"/>
            </w:tcMar>
            <w:vAlign w:val="center"/>
          </w:tcPr>
          <w:p>
            <w:pPr>
              <w:spacing w:after="0" w:line="252" w:lineRule="auto"/>
            </w:pPr>
            <w:r>
              <w:rPr>
                <w:rFonts w:ascii="Calibri" w:hAnsi="Calibri"/>
                <w:color w:val="334155"/>
                <w:sz w:val="16"/>
              </w:rPr>
              <w:t>product orders, fulfillment groups, shipment</w:t>
            </w:r>
          </w:p>
        </w:tc>
        <w:tc>
          <w:tcPr>
            <w:tcW w:type="dxa" w:w="3060"/>
            <w:tcMar>
              <w:top w:w="80" w:type="dxa"/>
              <w:start w:w="120" w:type="dxa"/>
              <w:bottom w:w="80" w:type="dxa"/>
              <w:end w:w="120" w:type="dxa"/>
            </w:tcMar>
            <w:vAlign w:val="center"/>
          </w:tcPr>
          <w:p>
            <w:pPr>
              <w:spacing w:after="0" w:line="252" w:lineRule="auto"/>
            </w:pPr>
            <w:r>
              <w:rPr>
                <w:rFonts w:ascii="Calibri" w:hAnsi="Calibri"/>
                <w:color w:val="334155"/>
                <w:sz w:val="16"/>
              </w:rPr>
              <w:t>order.paid, order.delivered</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bookings</w:t>
            </w:r>
          </w:p>
        </w:tc>
        <w:tc>
          <w:tcPr>
            <w:tcW w:type="dxa" w:w="4400"/>
            <w:tcMar>
              <w:top w:w="80" w:type="dxa"/>
              <w:start w:w="120" w:type="dxa"/>
              <w:bottom w:w="80" w:type="dxa"/>
              <w:end w:w="120" w:type="dxa"/>
            </w:tcMar>
            <w:vAlign w:val="center"/>
          </w:tcPr>
          <w:p>
            <w:pPr>
              <w:spacing w:after="0" w:line="252" w:lineRule="auto"/>
            </w:pPr>
            <w:r>
              <w:rPr>
                <w:rFonts w:ascii="Calibri" w:hAnsi="Calibri"/>
                <w:color w:val="334155"/>
                <w:sz w:val="16"/>
              </w:rPr>
              <w:t>slot holds, assignments, service lifecycle</w:t>
            </w:r>
          </w:p>
        </w:tc>
        <w:tc>
          <w:tcPr>
            <w:tcW w:type="dxa" w:w="3060"/>
            <w:tcMar>
              <w:top w:w="80" w:type="dxa"/>
              <w:start w:w="120" w:type="dxa"/>
              <w:bottom w:w="80" w:type="dxa"/>
              <w:end w:w="120" w:type="dxa"/>
            </w:tcMar>
            <w:vAlign w:val="center"/>
          </w:tcPr>
          <w:p>
            <w:pPr>
              <w:spacing w:after="0" w:line="252" w:lineRule="auto"/>
            </w:pPr>
            <w:r>
              <w:rPr>
                <w:rFonts w:ascii="Calibri" w:hAnsi="Calibri"/>
                <w:color w:val="334155"/>
                <w:sz w:val="16"/>
              </w:rPr>
              <w:t>booking.confirmed, professional.en_route</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tracking</w:t>
            </w:r>
          </w:p>
        </w:tc>
        <w:tc>
          <w:tcPr>
            <w:tcW w:type="dxa" w:w="4400"/>
            <w:tcMar>
              <w:top w:w="80" w:type="dxa"/>
              <w:start w:w="120" w:type="dxa"/>
              <w:bottom w:w="80" w:type="dxa"/>
              <w:end w:w="120" w:type="dxa"/>
            </w:tcMar>
            <w:vAlign w:val="center"/>
          </w:tcPr>
          <w:p>
            <w:pPr>
              <w:spacing w:after="0" w:line="252" w:lineRule="auto"/>
            </w:pPr>
            <w:r>
              <w:rPr>
                <w:rFonts w:ascii="Calibri" w:hAnsi="Calibri"/>
                <w:color w:val="334155"/>
                <w:sz w:val="16"/>
              </w:rPr>
              <w:t>courier events, location sessions, ETA</w:t>
            </w:r>
          </w:p>
        </w:tc>
        <w:tc>
          <w:tcPr>
            <w:tcW w:type="dxa" w:w="3060"/>
            <w:tcMar>
              <w:top w:w="80" w:type="dxa"/>
              <w:start w:w="120" w:type="dxa"/>
              <w:bottom w:w="80" w:type="dxa"/>
              <w:end w:w="120" w:type="dxa"/>
            </w:tcMar>
            <w:vAlign w:val="center"/>
          </w:tcPr>
          <w:p>
            <w:pPr>
              <w:spacing w:after="0" w:line="252" w:lineRule="auto"/>
            </w:pPr>
            <w:r>
              <w:rPr>
                <w:rFonts w:ascii="Calibri" w:hAnsi="Calibri"/>
                <w:color w:val="334155"/>
                <w:sz w:val="16"/>
              </w:rPr>
              <w:t>shipment.updated, location.session.closed</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finance</w:t>
            </w:r>
          </w:p>
        </w:tc>
        <w:tc>
          <w:tcPr>
            <w:tcW w:type="dxa" w:w="4400"/>
            <w:tcMar>
              <w:top w:w="80" w:type="dxa"/>
              <w:start w:w="120" w:type="dxa"/>
              <w:bottom w:w="80" w:type="dxa"/>
              <w:end w:w="120" w:type="dxa"/>
            </w:tcMar>
            <w:vAlign w:val="center"/>
          </w:tcPr>
          <w:p>
            <w:pPr>
              <w:spacing w:after="0" w:line="252" w:lineRule="auto"/>
            </w:pPr>
            <w:r>
              <w:rPr>
                <w:rFonts w:ascii="Calibri" w:hAnsi="Calibri"/>
                <w:color w:val="334155"/>
                <w:sz w:val="16"/>
              </w:rPr>
              <w:t>commission, ledger, settlement, payout, reconciliation</w:t>
            </w:r>
          </w:p>
        </w:tc>
        <w:tc>
          <w:tcPr>
            <w:tcW w:type="dxa" w:w="3060"/>
            <w:tcMar>
              <w:top w:w="80" w:type="dxa"/>
              <w:start w:w="120" w:type="dxa"/>
              <w:bottom w:w="80" w:type="dxa"/>
              <w:end w:w="120" w:type="dxa"/>
            </w:tcMar>
            <w:vAlign w:val="center"/>
          </w:tcPr>
          <w:p>
            <w:pPr>
              <w:spacing w:after="0" w:line="252" w:lineRule="auto"/>
            </w:pPr>
            <w:r>
              <w:rPr>
                <w:rFonts w:ascii="Calibri" w:hAnsi="Calibri"/>
                <w:color w:val="334155"/>
                <w:sz w:val="16"/>
              </w:rPr>
              <w:t>balance.eligible, payout.paid</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ai</w:t>
            </w:r>
          </w:p>
        </w:tc>
        <w:tc>
          <w:tcPr>
            <w:tcW w:type="dxa" w:w="4400"/>
            <w:tcMar>
              <w:top w:w="80" w:type="dxa"/>
              <w:start w:w="120" w:type="dxa"/>
              <w:bottom w:w="80" w:type="dxa"/>
              <w:end w:w="120" w:type="dxa"/>
            </w:tcMar>
            <w:vAlign w:val="center"/>
          </w:tcPr>
          <w:p>
            <w:pPr>
              <w:spacing w:after="0" w:line="252" w:lineRule="auto"/>
            </w:pPr>
            <w:r>
              <w:rPr>
                <w:rFonts w:ascii="Calibri" w:hAnsi="Calibri"/>
                <w:color w:val="334155"/>
                <w:sz w:val="16"/>
              </w:rPr>
              <w:t>recommendation, prompt/model config, trace, evaluation</w:t>
            </w:r>
          </w:p>
        </w:tc>
        <w:tc>
          <w:tcPr>
            <w:tcW w:type="dxa" w:w="3060"/>
            <w:tcMar>
              <w:top w:w="80" w:type="dxa"/>
              <w:start w:w="120" w:type="dxa"/>
              <w:bottom w:w="80" w:type="dxa"/>
              <w:end w:w="120" w:type="dxa"/>
            </w:tcMar>
            <w:vAlign w:val="center"/>
          </w:tcPr>
          <w:p>
            <w:pPr>
              <w:spacing w:after="0" w:line="252" w:lineRule="auto"/>
            </w:pPr>
            <w:r>
              <w:rPr>
                <w:rFonts w:ascii="Calibri" w:hAnsi="Calibri"/>
                <w:color w:val="334155"/>
                <w:sz w:val="16"/>
              </w:rPr>
              <w:t>recommendation.generated, ai.flagged</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reviews_support</w:t>
            </w:r>
          </w:p>
        </w:tc>
        <w:tc>
          <w:tcPr>
            <w:tcW w:type="dxa" w:w="4400"/>
            <w:tcMar>
              <w:top w:w="80" w:type="dxa"/>
              <w:start w:w="120" w:type="dxa"/>
              <w:bottom w:w="80" w:type="dxa"/>
              <w:end w:w="120" w:type="dxa"/>
            </w:tcMar>
            <w:vAlign w:val="center"/>
          </w:tcPr>
          <w:p>
            <w:pPr>
              <w:spacing w:after="0" w:line="252" w:lineRule="auto"/>
            </w:pPr>
            <w:r>
              <w:rPr>
                <w:rFonts w:ascii="Calibri" w:hAnsi="Calibri"/>
                <w:color w:val="334155"/>
                <w:sz w:val="16"/>
              </w:rPr>
              <w:t>reviews, disputes, evidence, cases</w:t>
            </w:r>
          </w:p>
        </w:tc>
        <w:tc>
          <w:tcPr>
            <w:tcW w:type="dxa" w:w="3060"/>
            <w:tcMar>
              <w:top w:w="80" w:type="dxa"/>
              <w:start w:w="120" w:type="dxa"/>
              <w:bottom w:w="80" w:type="dxa"/>
              <w:end w:w="120" w:type="dxa"/>
            </w:tcMar>
            <w:vAlign w:val="center"/>
          </w:tcPr>
          <w:p>
            <w:pPr>
              <w:spacing w:after="0" w:line="252" w:lineRule="auto"/>
            </w:pPr>
            <w:r>
              <w:rPr>
                <w:rFonts w:ascii="Calibri" w:hAnsi="Calibri"/>
                <w:color w:val="334155"/>
                <w:sz w:val="16"/>
              </w:rPr>
              <w:t>dispute.opened, review.published</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notifications</w:t>
            </w:r>
          </w:p>
        </w:tc>
        <w:tc>
          <w:tcPr>
            <w:tcW w:type="dxa" w:w="4400"/>
            <w:tcMar>
              <w:top w:w="80" w:type="dxa"/>
              <w:start w:w="120" w:type="dxa"/>
              <w:bottom w:w="80" w:type="dxa"/>
              <w:end w:w="120" w:type="dxa"/>
            </w:tcMar>
            <w:vAlign w:val="center"/>
          </w:tcPr>
          <w:p>
            <w:pPr>
              <w:spacing w:after="0" w:line="252" w:lineRule="auto"/>
            </w:pPr>
            <w:r>
              <w:rPr>
                <w:rFonts w:ascii="Calibri" w:hAnsi="Calibri"/>
                <w:color w:val="334155"/>
                <w:sz w:val="16"/>
              </w:rPr>
              <w:t>preferences, templates, delivery attempts</w:t>
            </w:r>
          </w:p>
        </w:tc>
        <w:tc>
          <w:tcPr>
            <w:tcW w:type="dxa" w:w="3060"/>
            <w:tcMar>
              <w:top w:w="80" w:type="dxa"/>
              <w:start w:w="120" w:type="dxa"/>
              <w:bottom w:w="80" w:type="dxa"/>
              <w:end w:w="120" w:type="dxa"/>
            </w:tcMar>
            <w:vAlign w:val="center"/>
          </w:tcPr>
          <w:p>
            <w:pPr>
              <w:spacing w:after="0" w:line="252" w:lineRule="auto"/>
            </w:pPr>
            <w:r>
              <w:rPr>
                <w:rFonts w:ascii="Calibri" w:hAnsi="Calibri"/>
                <w:color w:val="334155"/>
                <w:sz w:val="16"/>
              </w:rPr>
              <w:t>notification.failed</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admin_audit</w:t>
            </w:r>
          </w:p>
        </w:tc>
        <w:tc>
          <w:tcPr>
            <w:tcW w:type="dxa" w:w="4400"/>
            <w:tcMar>
              <w:top w:w="80" w:type="dxa"/>
              <w:start w:w="120" w:type="dxa"/>
              <w:bottom w:w="80" w:type="dxa"/>
              <w:end w:w="120" w:type="dxa"/>
            </w:tcMar>
            <w:vAlign w:val="center"/>
          </w:tcPr>
          <w:p>
            <w:pPr>
              <w:spacing w:after="0" w:line="252" w:lineRule="auto"/>
            </w:pPr>
            <w:r>
              <w:rPr>
                <w:rFonts w:ascii="Calibri" w:hAnsi="Calibri"/>
                <w:color w:val="334155"/>
                <w:sz w:val="16"/>
              </w:rPr>
              <w:t>policies, feature flags, privileged actions, audit</w:t>
            </w:r>
          </w:p>
        </w:tc>
        <w:tc>
          <w:tcPr>
            <w:tcW w:type="dxa" w:w="3060"/>
            <w:tcMar>
              <w:top w:w="80" w:type="dxa"/>
              <w:start w:w="120" w:type="dxa"/>
              <w:bottom w:w="80" w:type="dxa"/>
              <w:end w:w="120" w:type="dxa"/>
            </w:tcMar>
            <w:vAlign w:val="center"/>
          </w:tcPr>
          <w:p>
            <w:pPr>
              <w:spacing w:after="0" w:line="252" w:lineRule="auto"/>
            </w:pPr>
            <w:r>
              <w:rPr>
                <w:rFonts w:ascii="Calibri" w:hAnsi="Calibri"/>
                <w:color w:val="334155"/>
                <w:sz w:val="16"/>
              </w:rPr>
              <w:t>admin.action.recorded</w:t>
            </w:r>
          </w:p>
        </w:tc>
      </w:tr>
    </w:tbl>
    <w:p>
      <w:pPr>
        <w:spacing w:after="40"/>
      </w:pPr>
    </w:p>
    <w:p>
      <w:pPr>
        <w:pStyle w:val="Heading3"/>
        <w:keepNext/>
      </w:pPr>
      <w:r>
        <w:rPr>
          <w:rFonts w:ascii="Calibri" w:hAnsi="Calibri"/>
          <w:b/>
          <w:color w:val="172033"/>
          <w:sz w:val="24"/>
        </w:rPr>
        <w:t>13.1 Transaction dan event consistency</w:t>
      </w:r>
    </w:p>
    <w:p>
      <w:pPr>
        <w:numPr>
          <w:ilvl w:val="0"/>
          <w:numId w:val="10"/>
        </w:numPr>
        <w:spacing w:after="160" w:line="280" w:lineRule="auto"/>
        <w:keepLines/>
      </w:pPr>
      <w:r>
        <w:rPr>
          <w:rFonts w:ascii="Calibri" w:hAnsi="Calibri"/>
          <w:color w:val="334155"/>
          <w:sz w:val="22"/>
        </w:rPr>
        <w:t>Gunakan database transaction untuk perubahan aggregate dan pembuatan outbox event.</w:t>
      </w:r>
    </w:p>
    <w:p>
      <w:pPr>
        <w:numPr>
          <w:ilvl w:val="0"/>
          <w:numId w:val="10"/>
        </w:numPr>
        <w:spacing w:after="160" w:line="280" w:lineRule="auto"/>
        <w:keepLines/>
      </w:pPr>
      <w:r>
        <w:rPr>
          <w:rFonts w:ascii="Calibri" w:hAnsi="Calibri"/>
          <w:color w:val="334155"/>
          <w:sz w:val="22"/>
        </w:rPr>
        <w:t>Worker membaca outbox dengan locking, mengirim side effect, dan mencatat delivery secara idempotent.</w:t>
      </w:r>
    </w:p>
    <w:p>
      <w:pPr>
        <w:numPr>
          <w:ilvl w:val="0"/>
          <w:numId w:val="10"/>
        </w:numPr>
        <w:spacing w:after="160" w:line="280" w:lineRule="auto"/>
        <w:keepLines/>
      </w:pPr>
      <w:r>
        <w:rPr>
          <w:rFonts w:ascii="Calibri" w:hAnsi="Calibri"/>
          <w:color w:val="334155"/>
          <w:sz w:val="22"/>
        </w:rPr>
        <w:t>Webhook masuk disimpan di inbox table sebelum diproses; unique(provider, event_id) mencegah duplikasi.</w:t>
      </w:r>
    </w:p>
    <w:p>
      <w:pPr>
        <w:numPr>
          <w:ilvl w:val="0"/>
          <w:numId w:val="10"/>
        </w:numPr>
        <w:spacing w:after="160" w:line="280" w:lineRule="auto"/>
        <w:keepLines/>
      </w:pPr>
      <w:r>
        <w:rPr>
          <w:rFonts w:ascii="Calibri" w:hAnsi="Calibri"/>
          <w:color w:val="334155"/>
          <w:sz w:val="22"/>
        </w:rPr>
        <w:t>Jangan publish event eksternal sebelum commit database.</w:t>
      </w:r>
    </w:p>
    <w:p>
      <w:pPr>
        <w:numPr>
          <w:ilvl w:val="0"/>
          <w:numId w:val="10"/>
        </w:numPr>
        <w:spacing w:after="160" w:line="280" w:lineRule="auto"/>
        <w:keepLines/>
      </w:pPr>
      <w:r>
        <w:rPr>
          <w:rFonts w:ascii="Calibri" w:hAnsi="Calibri"/>
          <w:color w:val="334155"/>
          <w:sz w:val="22"/>
        </w:rPr>
        <w:t>Long-running workflow seperti payment→order→notification memakai saga/state transition, bukan distributed transaction.</w:t>
      </w:r>
    </w:p>
    <w:p>
      <w:pPr>
        <w:pStyle w:val="Heading2"/>
        <w:keepNext/>
      </w:pPr>
      <w:r>
        <w:rPr>
          <w:rFonts w:ascii="Calibri" w:hAnsi="Calibri"/>
          <w:b/>
          <w:color w:val="4F46E5"/>
          <w:sz w:val="26"/>
        </w:rPr>
        <w:t>14. Data model schema</w:t>
      </w:r>
    </w:p>
    <w:tbl>
      <w:tblPr>
        <w:tblW w:type="dxa" w:w="9360"/>
        <w:jc w:val="left"/>
        <w:tblLayout w:type="fixed"/>
        <w:tblLook w:firstColumn="1" w:firstRow="1" w:lastColumn="0" w:lastRow="0" w:noHBand="0" w:noVBand="1" w:val="04A0"/>
        <w:tblInd w:w="120" w:type="dxa"/>
        <w:tblBorders>
          <w:top w:val="single" w:sz="8" w:space="0" w:color="EEF2FF"/>
          <w:left w:val="single" w:sz="8" w:space="0" w:color="EEF2FF"/>
          <w:bottom w:val="single" w:sz="8" w:space="0" w:color="EEF2FF"/>
          <w:right w:val="single" w:sz="8" w:space="0" w:color="EEF2FF"/>
          <w:insideH w:val="single" w:sz="8" w:space="0" w:color="EEF2FF"/>
          <w:insideV w:val="single" w:sz="8" w:space="0" w:color="EEF2FF"/>
        </w:tblBorders>
      </w:tblPr>
      <w:tblGrid>
        <w:gridCol w:w="9360"/>
      </w:tblGrid>
      <w:tr>
        <w:tc>
          <w:tcPr>
            <w:tcW w:type="dxa" w:w="9360"/>
            <w:tcMar>
              <w:top w:w="80" w:type="dxa"/>
              <w:start w:w="120" w:type="dxa"/>
              <w:bottom w:w="80" w:type="dxa"/>
              <w:end w:w="120" w:type="dxa"/>
            </w:tcMar>
            <w:vAlign w:val="center"/>
            <w:shd w:fill="EEF2FF"/>
          </w:tcPr>
          <w:p>
            <w:pPr>
              <w:spacing w:after="0" w:line="264" w:lineRule="auto"/>
            </w:pPr>
            <w:r>
              <w:rPr>
                <w:rFonts w:ascii="Calibri" w:hAnsi="Calibri"/>
                <w:b/>
                <w:color w:val="3730A3"/>
                <w:sz w:val="22"/>
              </w:rPr>
              <w:t xml:space="preserve">Source of truth. </w:t>
            </w:r>
            <w:r>
              <w:rPr>
                <w:rFonts w:ascii="Calibri" w:hAnsi="Calibri"/>
                <w:color w:val="172033"/>
                <w:sz w:val="22"/>
              </w:rPr>
              <w:t>PostgreSQL menyimpan transaksi dan aturan relasional. Redis menyimpan state sementara. Qdrant menyimpan vector + metadata minimum untuk retrieval. Object storage menyimpan file; database menyimpan object key, hash, MIME, size, owner, classification, dan retention.</w:t>
            </w:r>
          </w:p>
        </w:tc>
      </w:tr>
    </w:tbl>
    <w:p>
      <w:pPr>
        <w:spacing w:after="40"/>
      </w:pPr>
    </w:p>
    <w:p>
      <w:pPr>
        <w:pStyle w:val="Heading3"/>
        <w:keepNext/>
      </w:pPr>
      <w:r>
        <w:rPr>
          <w:rFonts w:ascii="Calibri" w:hAnsi="Calibri"/>
          <w:b/>
          <w:color w:val="172033"/>
          <w:sz w:val="24"/>
        </w:rPr>
        <w:t>14.1 Entity groups</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800"/>
        <w:gridCol w:w="7560"/>
      </w:tblGrid>
      <w:tr>
        <w:trPr>
          <w:tblHeader w:val="true"/>
          <w:cantSplit/>
        </w:trPr>
        <w:tc>
          <w:tcPr>
            <w:tcW w:type="dxa" w:w="18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6"/>
              </w:rPr>
              <w:t>Domain</w:t>
            </w:r>
          </w:p>
        </w:tc>
        <w:tc>
          <w:tcPr>
            <w:tcW w:type="dxa" w:w="75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6"/>
              </w:rPr>
              <w:t>Tabel inti</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6"/>
              </w:rPr>
              <w:t>Identity</w:t>
            </w:r>
          </w:p>
        </w:tc>
        <w:tc>
          <w:tcPr>
            <w:tcW w:type="dxa" w:w="7560"/>
            <w:tcMar>
              <w:top w:w="80" w:type="dxa"/>
              <w:start w:w="120" w:type="dxa"/>
              <w:bottom w:w="80" w:type="dxa"/>
              <w:end w:w="120" w:type="dxa"/>
            </w:tcMar>
            <w:vAlign w:val="center"/>
          </w:tcPr>
          <w:p>
            <w:pPr>
              <w:spacing w:after="0" w:line="252" w:lineRule="auto"/>
            </w:pPr>
            <w:r>
              <w:rPr>
                <w:rFonts w:ascii="Calibri" w:hAnsi="Calibri"/>
                <w:color w:val="334155"/>
                <w:sz w:val="16"/>
              </w:rPr>
              <w:t>users, identities, sessions, refresh_tokens, mfa_methods, roles, permissions, role_permissions, partner_memberships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6"/>
              </w:rPr>
              <w:t>Partner</w:t>
            </w:r>
          </w:p>
        </w:tc>
        <w:tc>
          <w:tcPr>
            <w:tcW w:type="dxa" w:w="7560"/>
            <w:tcMar>
              <w:top w:w="80" w:type="dxa"/>
              <w:start w:w="120" w:type="dxa"/>
              <w:bottom w:w="80" w:type="dxa"/>
              <w:end w:w="120" w:type="dxa"/>
            </w:tcMar>
            <w:vAlign w:val="center"/>
          </w:tcPr>
          <w:p>
            <w:pPr>
              <w:spacing w:after="0" w:line="252" w:lineRule="auto"/>
            </w:pPr>
            <w:r>
              <w:rPr>
                <w:rFonts w:ascii="Calibri" w:hAnsi="Calibri"/>
                <w:color w:val="334155"/>
                <w:sz w:val="16"/>
              </w:rPr>
              <w:t>partners, partner_branches, partner_applications, verification_cases, verification_documents, partner_capabilities, payout_beneficiaries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6"/>
              </w:rPr>
              <w:t>Professional</w:t>
            </w:r>
          </w:p>
        </w:tc>
        <w:tc>
          <w:tcPr>
            <w:tcW w:type="dxa" w:w="7560"/>
            <w:tcMar>
              <w:top w:w="80" w:type="dxa"/>
              <w:start w:w="120" w:type="dxa"/>
              <w:bottom w:w="80" w:type="dxa"/>
              <w:end w:w="120" w:type="dxa"/>
            </w:tcMar>
            <w:vAlign w:val="center"/>
          </w:tcPr>
          <w:p>
            <w:pPr>
              <w:spacing w:after="0" w:line="252" w:lineRule="auto"/>
            </w:pPr>
            <w:r>
              <w:rPr>
                <w:rFonts w:ascii="Calibri" w:hAnsi="Calibri"/>
                <w:color w:val="334155"/>
                <w:sz w:val="16"/>
              </w:rPr>
              <w:t>professionals, professional_credentials, skills, professional_skills, service_areas, availability_rules, availability_exceptions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6"/>
              </w:rPr>
              <w:t>Catalog</w:t>
            </w:r>
          </w:p>
        </w:tc>
        <w:tc>
          <w:tcPr>
            <w:tcW w:type="dxa" w:w="7560"/>
            <w:tcMar>
              <w:top w:w="80" w:type="dxa"/>
              <w:start w:w="120" w:type="dxa"/>
              <w:bottom w:w="80" w:type="dxa"/>
              <w:end w:w="120" w:type="dxa"/>
            </w:tcMar>
            <w:vAlign w:val="center"/>
          </w:tcPr>
          <w:p>
            <w:pPr>
              <w:spacing w:after="0" w:line="252" w:lineRule="auto"/>
            </w:pPr>
            <w:r>
              <w:rPr>
                <w:rFonts w:ascii="Calibri" w:hAnsi="Calibri"/>
                <w:color w:val="334155"/>
                <w:sz w:val="16"/>
              </w:rPr>
              <w:t>brands, categories, products, product_variants, product_media, services, service_addons, service_requirements, listing_moderations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6"/>
              </w:rPr>
              <w:t>Inventory</w:t>
            </w:r>
          </w:p>
        </w:tc>
        <w:tc>
          <w:tcPr>
            <w:tcW w:type="dxa" w:w="7560"/>
            <w:tcMar>
              <w:top w:w="80" w:type="dxa"/>
              <w:start w:w="120" w:type="dxa"/>
              <w:bottom w:w="80" w:type="dxa"/>
              <w:end w:w="120" w:type="dxa"/>
            </w:tcMar>
            <w:vAlign w:val="center"/>
          </w:tcPr>
          <w:p>
            <w:pPr>
              <w:spacing w:after="0" w:line="252" w:lineRule="auto"/>
            </w:pPr>
            <w:r>
              <w:rPr>
                <w:rFonts w:ascii="Calibri" w:hAnsi="Calibri"/>
                <w:color w:val="334155"/>
                <w:sz w:val="16"/>
              </w:rPr>
              <w:t>stock_locations, inventory_items, inventory_movements, inventory_reservations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6"/>
              </w:rPr>
              <w:t>Commerce</w:t>
            </w:r>
          </w:p>
        </w:tc>
        <w:tc>
          <w:tcPr>
            <w:tcW w:type="dxa" w:w="7560"/>
            <w:tcMar>
              <w:top w:w="80" w:type="dxa"/>
              <w:start w:w="120" w:type="dxa"/>
              <w:bottom w:w="80" w:type="dxa"/>
              <w:end w:w="120" w:type="dxa"/>
            </w:tcMar>
            <w:vAlign w:val="center"/>
          </w:tcPr>
          <w:p>
            <w:pPr>
              <w:spacing w:after="0" w:line="252" w:lineRule="auto"/>
            </w:pPr>
            <w:r>
              <w:rPr>
                <w:rFonts w:ascii="Calibri" w:hAnsi="Calibri"/>
                <w:color w:val="334155"/>
                <w:sz w:val="16"/>
              </w:rPr>
              <w:t>carts, cart_items, quotes, checkouts, orders, order_items, fulfillment_groups, shipments, shipment_events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6"/>
              </w:rPr>
              <w:t>Booking</w:t>
            </w:r>
          </w:p>
        </w:tc>
        <w:tc>
          <w:tcPr>
            <w:tcW w:type="dxa" w:w="7560"/>
            <w:tcMar>
              <w:top w:w="80" w:type="dxa"/>
              <w:start w:w="120" w:type="dxa"/>
              <w:bottom w:w="80" w:type="dxa"/>
              <w:end w:w="120" w:type="dxa"/>
            </w:tcMar>
            <w:vAlign w:val="center"/>
          </w:tcPr>
          <w:p>
            <w:pPr>
              <w:spacing w:after="0" w:line="252" w:lineRule="auto"/>
            </w:pPr>
            <w:r>
              <w:rPr>
                <w:rFonts w:ascii="Calibri" w:hAnsi="Calibri"/>
                <w:color w:val="334155"/>
                <w:sz w:val="16"/>
              </w:rPr>
              <w:t>booking_holds, bookings, booking_items, professional_assignments, booking_status_events, location_sessions, location_points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6"/>
              </w:rPr>
              <w:t>Payment/Finance</w:t>
            </w:r>
          </w:p>
        </w:tc>
        <w:tc>
          <w:tcPr>
            <w:tcW w:type="dxa" w:w="7560"/>
            <w:tcMar>
              <w:top w:w="80" w:type="dxa"/>
              <w:start w:w="120" w:type="dxa"/>
              <w:bottom w:w="80" w:type="dxa"/>
              <w:end w:w="120" w:type="dxa"/>
            </w:tcMar>
            <w:vAlign w:val="center"/>
          </w:tcPr>
          <w:p>
            <w:pPr>
              <w:spacing w:after="0" w:line="252" w:lineRule="auto"/>
            </w:pPr>
            <w:r>
              <w:rPr>
                <w:rFonts w:ascii="Calibri" w:hAnsi="Calibri"/>
                <w:color w:val="334155"/>
                <w:sz w:val="16"/>
              </w:rPr>
              <w:t>payment_intents, payment_events, refunds, commissions, ledger_accounts, ledger_transactions, ledger_entries, settlements, payout_batches, payouts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6"/>
              </w:rPr>
              <w:t>Customer</w:t>
            </w:r>
          </w:p>
        </w:tc>
        <w:tc>
          <w:tcPr>
            <w:tcW w:type="dxa" w:w="7560"/>
            <w:tcMar>
              <w:top w:w="80" w:type="dxa"/>
              <w:start w:w="120" w:type="dxa"/>
              <w:bottom w:w="80" w:type="dxa"/>
              <w:end w:w="120" w:type="dxa"/>
            </w:tcMar>
            <w:vAlign w:val="center"/>
          </w:tcPr>
          <w:p>
            <w:pPr>
              <w:spacing w:after="0" w:line="252" w:lineRule="auto"/>
            </w:pPr>
            <w:r>
              <w:rPr>
                <w:rFonts w:ascii="Calibri" w:hAnsi="Calibri"/>
                <w:color w:val="334155"/>
                <w:sz w:val="16"/>
              </w:rPr>
              <w:t>customer_profiles, addresses, preferences, consents, wishlists, reviews, disputes, support_cases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6"/>
              </w:rPr>
              <w:t>AI</w:t>
            </w:r>
          </w:p>
        </w:tc>
        <w:tc>
          <w:tcPr>
            <w:tcW w:type="dxa" w:w="7560"/>
            <w:tcMar>
              <w:top w:w="80" w:type="dxa"/>
              <w:start w:w="120" w:type="dxa"/>
              <w:bottom w:w="80" w:type="dxa"/>
              <w:end w:w="120" w:type="dxa"/>
            </w:tcMar>
            <w:vAlign w:val="center"/>
          </w:tcPr>
          <w:p>
            <w:pPr>
              <w:spacing w:after="0" w:line="252" w:lineRule="auto"/>
            </w:pPr>
            <w:r>
              <w:rPr>
                <w:rFonts w:ascii="Calibri" w:hAnsi="Calibri"/>
                <w:color w:val="334155"/>
                <w:sz w:val="16"/>
              </w:rPr>
              <w:t>ai_conversations, ai_messages, ai_recommendation_runs, ai_candidates, ai_safety_events, ai_feedback, ai_model_versions, ai_prompt_versions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6"/>
              </w:rPr>
              <w:t>Platform</w:t>
            </w:r>
          </w:p>
        </w:tc>
        <w:tc>
          <w:tcPr>
            <w:tcW w:type="dxa" w:w="7560"/>
            <w:tcMar>
              <w:top w:w="80" w:type="dxa"/>
              <w:start w:w="120" w:type="dxa"/>
              <w:bottom w:w="80" w:type="dxa"/>
              <w:end w:w="120" w:type="dxa"/>
            </w:tcMar>
            <w:vAlign w:val="center"/>
          </w:tcPr>
          <w:p>
            <w:pPr>
              <w:spacing w:after="0" w:line="252" w:lineRule="auto"/>
            </w:pPr>
            <w:r>
              <w:rPr>
                <w:rFonts w:ascii="Calibri" w:hAnsi="Calibri"/>
                <w:color w:val="334155"/>
                <w:sz w:val="16"/>
              </w:rPr>
              <w:t>notifications, notification_attempts, webhooks_inbox, outbox_events, idempotency_keys, audit_logs, feature_flags, data_retention_jobs</w:t>
            </w:r>
          </w:p>
        </w:tc>
      </w:tr>
    </w:tbl>
    <w:p>
      <w:pPr>
        <w:spacing w:after="40"/>
      </w:pPr>
    </w:p>
    <w:p>
      <w:pPr>
        <w:pStyle w:val="Heading3"/>
        <w:keepNext/>
      </w:pPr>
      <w:r>
        <w:rPr>
          <w:rFonts w:ascii="Calibri" w:hAnsi="Calibri"/>
          <w:b/>
          <w:color w:val="172033"/>
          <w:sz w:val="24"/>
        </w:rPr>
        <w:t>14.2 Core relationship map</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400"/>
        <w:gridCol w:w="2900"/>
        <w:gridCol w:w="4060"/>
      </w:tblGrid>
      <w:tr>
        <w:trPr>
          <w:tblHeader w:val="true"/>
          <w:cantSplit/>
        </w:trPr>
        <w:tc>
          <w:tcPr>
            <w:tcW w:type="dxa" w:w="24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Parent</w:t>
            </w:r>
          </w:p>
        </w:tc>
        <w:tc>
          <w:tcPr>
            <w:tcW w:type="dxa" w:w="29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Child</w:t>
            </w:r>
          </w:p>
        </w:tc>
        <w:tc>
          <w:tcPr>
            <w:tcW w:type="dxa" w:w="40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Cardinality / invariant</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color w:val="334155"/>
                <w:sz w:val="17"/>
              </w:rPr>
              <w:t>partner</w:t>
            </w:r>
          </w:p>
        </w:tc>
        <w:tc>
          <w:tcPr>
            <w:tcW w:type="dxa" w:w="2900"/>
            <w:tcMar>
              <w:top w:w="80" w:type="dxa"/>
              <w:start w:w="120" w:type="dxa"/>
              <w:bottom w:w="80" w:type="dxa"/>
              <w:end w:w="120" w:type="dxa"/>
            </w:tcMar>
            <w:vAlign w:val="center"/>
          </w:tcPr>
          <w:p>
            <w:pPr>
              <w:spacing w:after="0" w:line="252" w:lineRule="auto"/>
            </w:pPr>
            <w:r>
              <w:rPr>
                <w:rFonts w:ascii="Calibri" w:hAnsi="Calibri"/>
                <w:color w:val="334155"/>
                <w:sz w:val="17"/>
              </w:rPr>
              <w:t>partner_membership</w:t>
            </w:r>
          </w:p>
        </w:tc>
        <w:tc>
          <w:tcPr>
            <w:tcW w:type="dxa" w:w="4060"/>
            <w:tcMar>
              <w:top w:w="80" w:type="dxa"/>
              <w:start w:w="120" w:type="dxa"/>
              <w:bottom w:w="80" w:type="dxa"/>
              <w:end w:w="120" w:type="dxa"/>
            </w:tcMar>
            <w:vAlign w:val="center"/>
          </w:tcPr>
          <w:p>
            <w:pPr>
              <w:spacing w:after="0" w:line="252" w:lineRule="auto"/>
            </w:pPr>
            <w:r>
              <w:rPr>
                <w:rFonts w:ascii="Calibri" w:hAnsi="Calibri"/>
                <w:color w:val="334155"/>
                <w:sz w:val="17"/>
              </w:rPr>
              <w:t>1:N; membership menghubungkan user ke role partner.</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color w:val="334155"/>
                <w:sz w:val="17"/>
              </w:rPr>
              <w:t>partner</w:t>
            </w:r>
          </w:p>
        </w:tc>
        <w:tc>
          <w:tcPr>
            <w:tcW w:type="dxa" w:w="2900"/>
            <w:tcMar>
              <w:top w:w="80" w:type="dxa"/>
              <w:start w:w="120" w:type="dxa"/>
              <w:bottom w:w="80" w:type="dxa"/>
              <w:end w:w="120" w:type="dxa"/>
            </w:tcMar>
            <w:vAlign w:val="center"/>
          </w:tcPr>
          <w:p>
            <w:pPr>
              <w:spacing w:after="0" w:line="252" w:lineRule="auto"/>
            </w:pPr>
            <w:r>
              <w:rPr>
                <w:rFonts w:ascii="Calibri" w:hAnsi="Calibri"/>
                <w:color w:val="334155"/>
                <w:sz w:val="17"/>
              </w:rPr>
              <w:t>product / service / professional</w:t>
            </w:r>
          </w:p>
        </w:tc>
        <w:tc>
          <w:tcPr>
            <w:tcW w:type="dxa" w:w="4060"/>
            <w:tcMar>
              <w:top w:w="80" w:type="dxa"/>
              <w:start w:w="120" w:type="dxa"/>
              <w:bottom w:w="80" w:type="dxa"/>
              <w:end w:w="120" w:type="dxa"/>
            </w:tcMar>
            <w:vAlign w:val="center"/>
          </w:tcPr>
          <w:p>
            <w:pPr>
              <w:spacing w:after="0" w:line="252" w:lineRule="auto"/>
            </w:pPr>
            <w:r>
              <w:rPr>
                <w:rFonts w:ascii="Calibri" w:hAnsi="Calibri"/>
                <w:color w:val="334155"/>
                <w:sz w:val="17"/>
              </w:rPr>
              <w:t>1:N; semua row wajib membawa partner_id.</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color w:val="334155"/>
                <w:sz w:val="17"/>
              </w:rPr>
              <w:t>product</w:t>
            </w:r>
          </w:p>
        </w:tc>
        <w:tc>
          <w:tcPr>
            <w:tcW w:type="dxa" w:w="2900"/>
            <w:tcMar>
              <w:top w:w="80" w:type="dxa"/>
              <w:start w:w="120" w:type="dxa"/>
              <w:bottom w:w="80" w:type="dxa"/>
              <w:end w:w="120" w:type="dxa"/>
            </w:tcMar>
            <w:vAlign w:val="center"/>
          </w:tcPr>
          <w:p>
            <w:pPr>
              <w:spacing w:after="0" w:line="252" w:lineRule="auto"/>
            </w:pPr>
            <w:r>
              <w:rPr>
                <w:rFonts w:ascii="Calibri" w:hAnsi="Calibri"/>
                <w:color w:val="334155"/>
                <w:sz w:val="17"/>
              </w:rPr>
              <w:t>product_variant</w:t>
            </w:r>
          </w:p>
        </w:tc>
        <w:tc>
          <w:tcPr>
            <w:tcW w:type="dxa" w:w="4060"/>
            <w:tcMar>
              <w:top w:w="80" w:type="dxa"/>
              <w:start w:w="120" w:type="dxa"/>
              <w:bottom w:w="80" w:type="dxa"/>
              <w:end w:w="120" w:type="dxa"/>
            </w:tcMar>
            <w:vAlign w:val="center"/>
          </w:tcPr>
          <w:p>
            <w:pPr>
              <w:spacing w:after="0" w:line="252" w:lineRule="auto"/>
            </w:pPr>
            <w:r>
              <w:rPr>
                <w:rFonts w:ascii="Calibri" w:hAnsi="Calibri"/>
                <w:color w:val="334155"/>
                <w:sz w:val="17"/>
              </w:rPr>
              <w:t>1:N; order item menunjuk variant + snapshot.</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color w:val="334155"/>
                <w:sz w:val="17"/>
              </w:rPr>
              <w:t>service</w:t>
            </w:r>
          </w:p>
        </w:tc>
        <w:tc>
          <w:tcPr>
            <w:tcW w:type="dxa" w:w="2900"/>
            <w:tcMar>
              <w:top w:w="80" w:type="dxa"/>
              <w:start w:w="120" w:type="dxa"/>
              <w:bottom w:w="80" w:type="dxa"/>
              <w:end w:w="120" w:type="dxa"/>
            </w:tcMar>
            <w:vAlign w:val="center"/>
          </w:tcPr>
          <w:p>
            <w:pPr>
              <w:spacing w:after="0" w:line="252" w:lineRule="auto"/>
            </w:pPr>
            <w:r>
              <w:rPr>
                <w:rFonts w:ascii="Calibri" w:hAnsi="Calibri"/>
                <w:color w:val="334155"/>
                <w:sz w:val="17"/>
              </w:rPr>
              <w:t>professional_skill</w:t>
            </w:r>
          </w:p>
        </w:tc>
        <w:tc>
          <w:tcPr>
            <w:tcW w:type="dxa" w:w="4060"/>
            <w:tcMar>
              <w:top w:w="80" w:type="dxa"/>
              <w:start w:w="120" w:type="dxa"/>
              <w:bottom w:w="80" w:type="dxa"/>
              <w:end w:w="120" w:type="dxa"/>
            </w:tcMar>
            <w:vAlign w:val="center"/>
          </w:tcPr>
          <w:p>
            <w:pPr>
              <w:spacing w:after="0" w:line="252" w:lineRule="auto"/>
            </w:pPr>
            <w:r>
              <w:rPr>
                <w:rFonts w:ascii="Calibri" w:hAnsi="Calibri"/>
                <w:color w:val="334155"/>
                <w:sz w:val="17"/>
              </w:rPr>
              <w:t>M:N melalui skill/capability dan credential.</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color w:val="334155"/>
                <w:sz w:val="17"/>
              </w:rPr>
              <w:t>checkout</w:t>
            </w:r>
          </w:p>
        </w:tc>
        <w:tc>
          <w:tcPr>
            <w:tcW w:type="dxa" w:w="2900"/>
            <w:tcMar>
              <w:top w:w="80" w:type="dxa"/>
              <w:start w:w="120" w:type="dxa"/>
              <w:bottom w:w="80" w:type="dxa"/>
              <w:end w:w="120" w:type="dxa"/>
            </w:tcMar>
            <w:vAlign w:val="center"/>
          </w:tcPr>
          <w:p>
            <w:pPr>
              <w:spacing w:after="0" w:line="252" w:lineRule="auto"/>
            </w:pPr>
            <w:r>
              <w:rPr>
                <w:rFonts w:ascii="Calibri" w:hAnsi="Calibri"/>
                <w:color w:val="334155"/>
                <w:sz w:val="17"/>
              </w:rPr>
              <w:t>order</w:t>
            </w:r>
          </w:p>
        </w:tc>
        <w:tc>
          <w:tcPr>
            <w:tcW w:type="dxa" w:w="4060"/>
            <w:tcMar>
              <w:top w:w="80" w:type="dxa"/>
              <w:start w:w="120" w:type="dxa"/>
              <w:bottom w:w="80" w:type="dxa"/>
              <w:end w:w="120" w:type="dxa"/>
            </w:tcMar>
            <w:vAlign w:val="center"/>
          </w:tcPr>
          <w:p>
            <w:pPr>
              <w:spacing w:after="0" w:line="252" w:lineRule="auto"/>
            </w:pPr>
            <w:r>
              <w:rPr>
                <w:rFonts w:ascii="Calibri" w:hAnsi="Calibri"/>
                <w:color w:val="334155"/>
                <w:sz w:val="17"/>
              </w:rPr>
              <w:t>1:N; satu child order per partner/fulfillment grouping.</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color w:val="334155"/>
                <w:sz w:val="17"/>
              </w:rPr>
              <w:t>order</w:t>
            </w:r>
          </w:p>
        </w:tc>
        <w:tc>
          <w:tcPr>
            <w:tcW w:type="dxa" w:w="2900"/>
            <w:tcMar>
              <w:top w:w="80" w:type="dxa"/>
              <w:start w:w="120" w:type="dxa"/>
              <w:bottom w:w="80" w:type="dxa"/>
              <w:end w:w="120" w:type="dxa"/>
            </w:tcMar>
            <w:vAlign w:val="center"/>
          </w:tcPr>
          <w:p>
            <w:pPr>
              <w:spacing w:after="0" w:line="252" w:lineRule="auto"/>
            </w:pPr>
            <w:r>
              <w:rPr>
                <w:rFonts w:ascii="Calibri" w:hAnsi="Calibri"/>
                <w:color w:val="334155"/>
                <w:sz w:val="17"/>
              </w:rPr>
              <w:t>order_item</w:t>
            </w:r>
          </w:p>
        </w:tc>
        <w:tc>
          <w:tcPr>
            <w:tcW w:type="dxa" w:w="4060"/>
            <w:tcMar>
              <w:top w:w="80" w:type="dxa"/>
              <w:start w:w="120" w:type="dxa"/>
              <w:bottom w:w="80" w:type="dxa"/>
              <w:end w:w="120" w:type="dxa"/>
            </w:tcMar>
            <w:vAlign w:val="center"/>
          </w:tcPr>
          <w:p>
            <w:pPr>
              <w:spacing w:after="0" w:line="252" w:lineRule="auto"/>
            </w:pPr>
            <w:r>
              <w:rPr>
                <w:rFonts w:ascii="Calibri" w:hAnsi="Calibri"/>
                <w:color w:val="334155"/>
                <w:sz w:val="17"/>
              </w:rPr>
              <w:t>1:N; item dapat product atau service line dengan constraint.</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color w:val="334155"/>
                <w:sz w:val="17"/>
              </w:rPr>
              <w:t>booking</w:t>
            </w:r>
          </w:p>
        </w:tc>
        <w:tc>
          <w:tcPr>
            <w:tcW w:type="dxa" w:w="2900"/>
            <w:tcMar>
              <w:top w:w="80" w:type="dxa"/>
              <w:start w:w="120" w:type="dxa"/>
              <w:bottom w:w="80" w:type="dxa"/>
              <w:end w:w="120" w:type="dxa"/>
            </w:tcMar>
            <w:vAlign w:val="center"/>
          </w:tcPr>
          <w:p>
            <w:pPr>
              <w:spacing w:after="0" w:line="252" w:lineRule="auto"/>
            </w:pPr>
            <w:r>
              <w:rPr>
                <w:rFonts w:ascii="Calibri" w:hAnsi="Calibri"/>
                <w:color w:val="334155"/>
                <w:sz w:val="17"/>
              </w:rPr>
              <w:t>professional_assignment</w:t>
            </w:r>
          </w:p>
        </w:tc>
        <w:tc>
          <w:tcPr>
            <w:tcW w:type="dxa" w:w="4060"/>
            <w:tcMar>
              <w:top w:w="80" w:type="dxa"/>
              <w:start w:w="120" w:type="dxa"/>
              <w:bottom w:w="80" w:type="dxa"/>
              <w:end w:w="120" w:type="dxa"/>
            </w:tcMar>
            <w:vAlign w:val="center"/>
          </w:tcPr>
          <w:p>
            <w:pPr>
              <w:spacing w:after="0" w:line="252" w:lineRule="auto"/>
            </w:pPr>
            <w:r>
              <w:rPr>
                <w:rFonts w:ascii="Calibri" w:hAnsi="Calibri"/>
                <w:color w:val="334155"/>
                <w:sz w:val="17"/>
              </w:rPr>
              <w:t>1:N history; satu active assignment pada satu waktu.</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color w:val="334155"/>
                <w:sz w:val="17"/>
              </w:rPr>
              <w:t>payment_intent</w:t>
            </w:r>
          </w:p>
        </w:tc>
        <w:tc>
          <w:tcPr>
            <w:tcW w:type="dxa" w:w="2900"/>
            <w:tcMar>
              <w:top w:w="80" w:type="dxa"/>
              <w:start w:w="120" w:type="dxa"/>
              <w:bottom w:w="80" w:type="dxa"/>
              <w:end w:w="120" w:type="dxa"/>
            </w:tcMar>
            <w:vAlign w:val="center"/>
          </w:tcPr>
          <w:p>
            <w:pPr>
              <w:spacing w:after="0" w:line="252" w:lineRule="auto"/>
            </w:pPr>
            <w:r>
              <w:rPr>
                <w:rFonts w:ascii="Calibri" w:hAnsi="Calibri"/>
                <w:color w:val="334155"/>
                <w:sz w:val="17"/>
              </w:rPr>
              <w:t>payment_event</w:t>
            </w:r>
          </w:p>
        </w:tc>
        <w:tc>
          <w:tcPr>
            <w:tcW w:type="dxa" w:w="4060"/>
            <w:tcMar>
              <w:top w:w="80" w:type="dxa"/>
              <w:start w:w="120" w:type="dxa"/>
              <w:bottom w:w="80" w:type="dxa"/>
              <w:end w:w="120" w:type="dxa"/>
            </w:tcMar>
            <w:vAlign w:val="center"/>
          </w:tcPr>
          <w:p>
            <w:pPr>
              <w:spacing w:after="0" w:line="252" w:lineRule="auto"/>
            </w:pPr>
            <w:r>
              <w:rPr>
                <w:rFonts w:ascii="Calibri" w:hAnsi="Calibri"/>
                <w:color w:val="334155"/>
                <w:sz w:val="17"/>
              </w:rPr>
              <w:t>1:N; external event unique dan immutable.</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color w:val="334155"/>
                <w:sz w:val="17"/>
              </w:rPr>
              <w:t>ledger_transaction</w:t>
            </w:r>
          </w:p>
        </w:tc>
        <w:tc>
          <w:tcPr>
            <w:tcW w:type="dxa" w:w="2900"/>
            <w:tcMar>
              <w:top w:w="80" w:type="dxa"/>
              <w:start w:w="120" w:type="dxa"/>
              <w:bottom w:w="80" w:type="dxa"/>
              <w:end w:w="120" w:type="dxa"/>
            </w:tcMar>
            <w:vAlign w:val="center"/>
          </w:tcPr>
          <w:p>
            <w:pPr>
              <w:spacing w:after="0" w:line="252" w:lineRule="auto"/>
            </w:pPr>
            <w:r>
              <w:rPr>
                <w:rFonts w:ascii="Calibri" w:hAnsi="Calibri"/>
                <w:color w:val="334155"/>
                <w:sz w:val="17"/>
              </w:rPr>
              <w:t>ledger_entry</w:t>
            </w:r>
          </w:p>
        </w:tc>
        <w:tc>
          <w:tcPr>
            <w:tcW w:type="dxa" w:w="4060"/>
            <w:tcMar>
              <w:top w:w="80" w:type="dxa"/>
              <w:start w:w="120" w:type="dxa"/>
              <w:bottom w:w="80" w:type="dxa"/>
              <w:end w:w="120" w:type="dxa"/>
            </w:tcMar>
            <w:vAlign w:val="center"/>
          </w:tcPr>
          <w:p>
            <w:pPr>
              <w:spacing w:after="0" w:line="252" w:lineRule="auto"/>
            </w:pPr>
            <w:r>
              <w:rPr>
                <w:rFonts w:ascii="Calibri" w:hAnsi="Calibri"/>
                <w:color w:val="334155"/>
                <w:sz w:val="17"/>
              </w:rPr>
              <w:t>1:N; jumlah debit = jumlah credit per currency.</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color w:val="334155"/>
                <w:sz w:val="17"/>
              </w:rPr>
              <w:t>ai_recommendation_run</w:t>
            </w:r>
          </w:p>
        </w:tc>
        <w:tc>
          <w:tcPr>
            <w:tcW w:type="dxa" w:w="2900"/>
            <w:tcMar>
              <w:top w:w="80" w:type="dxa"/>
              <w:start w:w="120" w:type="dxa"/>
              <w:bottom w:w="80" w:type="dxa"/>
              <w:end w:w="120" w:type="dxa"/>
            </w:tcMar>
            <w:vAlign w:val="center"/>
          </w:tcPr>
          <w:p>
            <w:pPr>
              <w:spacing w:after="0" w:line="252" w:lineRule="auto"/>
            </w:pPr>
            <w:r>
              <w:rPr>
                <w:rFonts w:ascii="Calibri" w:hAnsi="Calibri"/>
                <w:color w:val="334155"/>
                <w:sz w:val="17"/>
              </w:rPr>
              <w:t>ai_candidate</w:t>
            </w:r>
          </w:p>
        </w:tc>
        <w:tc>
          <w:tcPr>
            <w:tcW w:type="dxa" w:w="4060"/>
            <w:tcMar>
              <w:top w:w="80" w:type="dxa"/>
              <w:start w:w="120" w:type="dxa"/>
              <w:bottom w:w="80" w:type="dxa"/>
              <w:end w:w="120" w:type="dxa"/>
            </w:tcMar>
            <w:vAlign w:val="center"/>
          </w:tcPr>
          <w:p>
            <w:pPr>
              <w:spacing w:after="0" w:line="252" w:lineRule="auto"/>
            </w:pPr>
            <w:r>
              <w:rPr>
                <w:rFonts w:ascii="Calibri" w:hAnsi="Calibri"/>
                <w:color w:val="334155"/>
                <w:sz w:val="17"/>
              </w:rPr>
              <w:t>1:N; candidate ID harus resolve ke listing snapshot.</w:t>
            </w:r>
          </w:p>
        </w:tc>
      </w:tr>
    </w:tbl>
    <w:p>
      <w:pPr>
        <w:spacing w:after="40"/>
      </w:pPr>
    </w:p>
    <w:p>
      <w:pPr>
        <w:pStyle w:val="Heading3"/>
        <w:keepNext/>
      </w:pPr>
      <w:r>
        <w:rPr>
          <w:rFonts w:ascii="Calibri" w:hAnsi="Calibri"/>
          <w:b/>
          <w:color w:val="172033"/>
          <w:sz w:val="24"/>
        </w:rPr>
        <w:t>14.3 Kolom standar dan klasifikasi data</w:t>
      </w:r>
    </w:p>
    <w:p>
      <w:pPr>
        <w:numPr>
          <w:ilvl w:val="0"/>
          <w:numId w:val="10"/>
        </w:numPr>
        <w:spacing w:after="160" w:line="280" w:lineRule="auto"/>
        <w:keepLines/>
      </w:pPr>
      <w:r>
        <w:rPr>
          <w:rFonts w:ascii="Calibri" w:hAnsi="Calibri"/>
          <w:color w:val="334155"/>
          <w:sz w:val="22"/>
        </w:rPr>
        <w:t>Semua tabel bisnis: id UUIDv7/ULID, created_at, updated_at, version; tenant table menambahkan partner_id.</w:t>
      </w:r>
    </w:p>
    <w:p>
      <w:pPr>
        <w:numPr>
          <w:ilvl w:val="0"/>
          <w:numId w:val="10"/>
        </w:numPr>
        <w:spacing w:after="160" w:line="280" w:lineRule="auto"/>
        <w:keepLines/>
      </w:pPr>
      <w:r>
        <w:rPr>
          <w:rFonts w:ascii="Calibri" w:hAnsi="Calibri"/>
          <w:color w:val="334155"/>
          <w:sz w:val="22"/>
        </w:rPr>
        <w:t>Mutable aggregate memakai optimistic version atau row lock pada critical sections.</w:t>
      </w:r>
    </w:p>
    <w:p>
      <w:pPr>
        <w:numPr>
          <w:ilvl w:val="0"/>
          <w:numId w:val="10"/>
        </w:numPr>
        <w:spacing w:after="160" w:line="280" w:lineRule="auto"/>
        <w:keepLines/>
      </w:pPr>
      <w:r>
        <w:rPr>
          <w:rFonts w:ascii="Calibri" w:hAnsi="Calibri"/>
          <w:color w:val="334155"/>
          <w:sz w:val="22"/>
        </w:rPr>
        <w:t>PII umum: nama, email, telepon, alamat—encrypted where justified, masked in logs/UI, access audited.</w:t>
      </w:r>
    </w:p>
    <w:p>
      <w:pPr>
        <w:numPr>
          <w:ilvl w:val="0"/>
          <w:numId w:val="10"/>
        </w:numPr>
        <w:spacing w:after="160" w:line="280" w:lineRule="auto"/>
        <w:keepLines/>
      </w:pPr>
      <w:r>
        <w:rPr>
          <w:rFonts w:ascii="Calibri" w:hAnsi="Calibri"/>
          <w:color w:val="334155"/>
          <w:sz w:val="22"/>
        </w:rPr>
        <w:t>PII spesifik: foto kulit, health notes, biometrics-like signals, location trail, financial beneficiary—strict classification, consent/purpose, short retention.</w:t>
      </w:r>
    </w:p>
    <w:p>
      <w:pPr>
        <w:numPr>
          <w:ilvl w:val="0"/>
          <w:numId w:val="10"/>
        </w:numPr>
        <w:spacing w:after="160" w:line="280" w:lineRule="auto"/>
        <w:keepLines/>
      </w:pPr>
      <w:r>
        <w:rPr>
          <w:rFonts w:ascii="Calibri" w:hAnsi="Calibri"/>
          <w:color w:val="334155"/>
          <w:sz w:val="22"/>
        </w:rPr>
        <w:t>Secret/authenticator: password hash, MFA secret, refresh-token digest—tidak pernah dikembalikan atau dicatat di log.</w:t>
      </w:r>
    </w:p>
    <w:p>
      <w:pPr>
        <w:numPr>
          <w:ilvl w:val="0"/>
          <w:numId w:val="10"/>
        </w:numPr>
        <w:spacing w:after="160" w:line="280" w:lineRule="auto"/>
        <w:keepLines/>
      </w:pPr>
      <w:r>
        <w:rPr>
          <w:rFonts w:ascii="Calibri" w:hAnsi="Calibri"/>
          <w:color w:val="334155"/>
          <w:sz w:val="22"/>
        </w:rPr>
        <w:t>Financial/audit: immutable/append-only logical records, retention mengikuti kewajiban hukum dan kontrak.</w:t>
      </w:r>
    </w:p>
    <w:p>
      <w:pPr>
        <w:pStyle w:val="Heading2"/>
        <w:keepNext/>
      </w:pPr>
      <w:r>
        <w:rPr>
          <w:rFonts w:ascii="Calibri" w:hAnsi="Calibri"/>
          <w:b/>
          <w:color w:val="4F46E5"/>
          <w:sz w:val="26"/>
        </w:rPr>
        <w:t>15. PostgreSQL indexing dan query design</w:t>
      </w:r>
    </w:p>
    <w:p>
      <w:pPr>
        <w:spacing w:after="120" w:line="264" w:lineRule="auto"/>
      </w:pPr>
      <w:r>
        <w:rPr>
          <w:rFonts w:ascii="Calibri" w:hAnsi="Calibri"/>
          <w:i w:val="0"/>
          <w:color w:val="334155"/>
          <w:sz w:val="22"/>
        </w:rPr>
        <w:t>Index dibuat dari query nyata, bukan sekadar setiap kolom. Pada data tenant, kolom partner_id umumnya berada di depan composite index karena seluruh query partner harus scoped. Urutan berikutnya mengikuti equality filter, range, lalu sort.</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900"/>
        <w:gridCol w:w="3900"/>
        <w:gridCol w:w="3560"/>
      </w:tblGrid>
      <w:tr>
        <w:trPr>
          <w:tblHeader w:val="true"/>
          <w:cantSplit/>
        </w:trPr>
        <w:tc>
          <w:tcPr>
            <w:tcW w:type="dxa" w:w="19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6"/>
              </w:rPr>
              <w:t>Use case</w:t>
            </w:r>
          </w:p>
        </w:tc>
        <w:tc>
          <w:tcPr>
            <w:tcW w:type="dxa" w:w="39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6"/>
              </w:rPr>
              <w:t>Index awal</w:t>
            </w:r>
          </w:p>
        </w:tc>
        <w:tc>
          <w:tcPr>
            <w:tcW w:type="dxa" w:w="35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6"/>
              </w:rPr>
              <w:t>Catatan</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Login</w:t>
            </w:r>
          </w:p>
        </w:tc>
        <w:tc>
          <w:tcPr>
            <w:tcW w:type="dxa" w:w="3900"/>
            <w:tcMar>
              <w:top w:w="80" w:type="dxa"/>
              <w:start w:w="120" w:type="dxa"/>
              <w:bottom w:w="80" w:type="dxa"/>
              <w:end w:w="120" w:type="dxa"/>
            </w:tcMar>
            <w:vAlign w:val="center"/>
          </w:tcPr>
          <w:p>
            <w:pPr>
              <w:spacing w:after="0" w:line="252" w:lineRule="auto"/>
            </w:pPr>
            <w:r>
              <w:rPr>
                <w:rFonts w:ascii="Calibri" w:hAnsi="Calibri"/>
                <w:color w:val="334155"/>
                <w:sz w:val="16"/>
              </w:rPr>
              <w:t>UNIQUE lower(email) WHERE deleted_at IS NULL</w:t>
            </w:r>
          </w:p>
        </w:tc>
        <w:tc>
          <w:tcPr>
            <w:tcW w:type="dxa" w:w="3560"/>
            <w:tcMar>
              <w:top w:w="80" w:type="dxa"/>
              <w:start w:w="120" w:type="dxa"/>
              <w:bottom w:w="80" w:type="dxa"/>
              <w:end w:w="120" w:type="dxa"/>
            </w:tcMar>
            <w:vAlign w:val="center"/>
          </w:tcPr>
          <w:p>
            <w:pPr>
              <w:spacing w:after="0" w:line="252" w:lineRule="auto"/>
            </w:pPr>
            <w:r>
              <w:rPr>
                <w:rFonts w:ascii="Calibri" w:hAnsi="Calibri"/>
                <w:color w:val="334155"/>
                <w:sz w:val="16"/>
              </w:rPr>
              <w:t>Normalisasi email dan cegah duplicate aktif.</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Partner listing</w:t>
            </w:r>
          </w:p>
        </w:tc>
        <w:tc>
          <w:tcPr>
            <w:tcW w:type="dxa" w:w="3900"/>
            <w:tcMar>
              <w:top w:w="80" w:type="dxa"/>
              <w:start w:w="120" w:type="dxa"/>
              <w:bottom w:w="80" w:type="dxa"/>
              <w:end w:w="120" w:type="dxa"/>
            </w:tcMar>
            <w:vAlign w:val="center"/>
          </w:tcPr>
          <w:p>
            <w:pPr>
              <w:spacing w:after="0" w:line="252" w:lineRule="auto"/>
            </w:pPr>
            <w:r>
              <w:rPr>
                <w:rFonts w:ascii="Calibri" w:hAnsi="Calibri"/>
                <w:color w:val="334155"/>
                <w:sz w:val="16"/>
              </w:rPr>
              <w:t>(partner_id, status, updated_at DESC, id)</w:t>
            </w:r>
          </w:p>
        </w:tc>
        <w:tc>
          <w:tcPr>
            <w:tcW w:type="dxa" w:w="3560"/>
            <w:tcMar>
              <w:top w:w="80" w:type="dxa"/>
              <w:start w:w="120" w:type="dxa"/>
              <w:bottom w:w="80" w:type="dxa"/>
              <w:end w:w="120" w:type="dxa"/>
            </w:tcMar>
            <w:vAlign w:val="center"/>
          </w:tcPr>
          <w:p>
            <w:pPr>
              <w:spacing w:after="0" w:line="252" w:lineRule="auto"/>
            </w:pPr>
            <w:r>
              <w:rPr>
                <w:rFonts w:ascii="Calibri" w:hAnsi="Calibri"/>
                <w:color w:val="334155"/>
                <w:sz w:val="16"/>
              </w:rPr>
              <w:t>Cursor pagination; hindari OFFSET besar.</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Catalog discovery</w:t>
            </w:r>
          </w:p>
        </w:tc>
        <w:tc>
          <w:tcPr>
            <w:tcW w:type="dxa" w:w="3900"/>
            <w:tcMar>
              <w:top w:w="80" w:type="dxa"/>
              <w:start w:w="120" w:type="dxa"/>
              <w:bottom w:w="80" w:type="dxa"/>
              <w:end w:w="120" w:type="dxa"/>
            </w:tcMar>
            <w:vAlign w:val="center"/>
          </w:tcPr>
          <w:p>
            <w:pPr>
              <w:spacing w:after="0" w:line="252" w:lineRule="auto"/>
            </w:pPr>
            <w:r>
              <w:rPr>
                <w:rFonts w:ascii="Calibri" w:hAnsi="Calibri"/>
                <w:color w:val="334155"/>
                <w:sz w:val="16"/>
              </w:rPr>
              <w:t>(status, category_id, price_minor, id)</w:t>
            </w:r>
          </w:p>
        </w:tc>
        <w:tc>
          <w:tcPr>
            <w:tcW w:type="dxa" w:w="3560"/>
            <w:tcMar>
              <w:top w:w="80" w:type="dxa"/>
              <w:start w:w="120" w:type="dxa"/>
              <w:bottom w:w="80" w:type="dxa"/>
              <w:end w:w="120" w:type="dxa"/>
            </w:tcMar>
            <w:vAlign w:val="center"/>
          </w:tcPr>
          <w:p>
            <w:pPr>
              <w:spacing w:after="0" w:line="252" w:lineRule="auto"/>
            </w:pPr>
            <w:r>
              <w:rPr>
                <w:rFonts w:ascii="Calibri" w:hAnsi="Calibri"/>
                <w:color w:val="334155"/>
                <w:sz w:val="16"/>
              </w:rPr>
              <w:t>Gabungkan PostgreSQL filter + search engine/vector candidate IDs.</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Variant SKU</w:t>
            </w:r>
          </w:p>
        </w:tc>
        <w:tc>
          <w:tcPr>
            <w:tcW w:type="dxa" w:w="3900"/>
            <w:tcMar>
              <w:top w:w="80" w:type="dxa"/>
              <w:start w:w="120" w:type="dxa"/>
              <w:bottom w:w="80" w:type="dxa"/>
              <w:end w:w="120" w:type="dxa"/>
            </w:tcMar>
            <w:vAlign w:val="center"/>
          </w:tcPr>
          <w:p>
            <w:pPr>
              <w:spacing w:after="0" w:line="252" w:lineRule="auto"/>
            </w:pPr>
            <w:r>
              <w:rPr>
                <w:rFonts w:ascii="Calibri" w:hAnsi="Calibri"/>
                <w:color w:val="334155"/>
                <w:sz w:val="16"/>
              </w:rPr>
              <w:t>UNIQUE (partner_id, sku)</w:t>
            </w:r>
          </w:p>
        </w:tc>
        <w:tc>
          <w:tcPr>
            <w:tcW w:type="dxa" w:w="3560"/>
            <w:tcMar>
              <w:top w:w="80" w:type="dxa"/>
              <w:start w:w="120" w:type="dxa"/>
              <w:bottom w:w="80" w:type="dxa"/>
              <w:end w:w="120" w:type="dxa"/>
            </w:tcMar>
            <w:vAlign w:val="center"/>
          </w:tcPr>
          <w:p>
            <w:pPr>
              <w:spacing w:after="0" w:line="252" w:lineRule="auto"/>
            </w:pPr>
            <w:r>
              <w:rPr>
                <w:rFonts w:ascii="Calibri" w:hAnsi="Calibri"/>
                <w:color w:val="334155"/>
                <w:sz w:val="16"/>
              </w:rPr>
              <w:t>Tenant-local uniqueness.</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Inventory</w:t>
            </w:r>
          </w:p>
        </w:tc>
        <w:tc>
          <w:tcPr>
            <w:tcW w:type="dxa" w:w="3900"/>
            <w:tcMar>
              <w:top w:w="80" w:type="dxa"/>
              <w:start w:w="120" w:type="dxa"/>
              <w:bottom w:w="80" w:type="dxa"/>
              <w:end w:w="120" w:type="dxa"/>
            </w:tcMar>
            <w:vAlign w:val="center"/>
          </w:tcPr>
          <w:p>
            <w:pPr>
              <w:spacing w:after="0" w:line="252" w:lineRule="auto"/>
            </w:pPr>
            <w:r>
              <w:rPr>
                <w:rFonts w:ascii="Calibri" w:hAnsi="Calibri"/>
                <w:color w:val="334155"/>
                <w:sz w:val="16"/>
              </w:rPr>
              <w:t>UNIQUE (stock_location_id, variant_id)</w:t>
            </w:r>
          </w:p>
        </w:tc>
        <w:tc>
          <w:tcPr>
            <w:tcW w:type="dxa" w:w="3560"/>
            <w:tcMar>
              <w:top w:w="80" w:type="dxa"/>
              <w:start w:w="120" w:type="dxa"/>
              <w:bottom w:w="80" w:type="dxa"/>
              <w:end w:w="120" w:type="dxa"/>
            </w:tcMar>
            <w:vAlign w:val="center"/>
          </w:tcPr>
          <w:p>
            <w:pPr>
              <w:spacing w:after="0" w:line="252" w:lineRule="auto"/>
            </w:pPr>
            <w:r>
              <w:rPr>
                <w:rFonts w:ascii="Calibri" w:hAnsi="Calibri"/>
                <w:color w:val="334155"/>
                <w:sz w:val="16"/>
              </w:rPr>
              <w:t>Reservation memakai row lock/advisory lock terukur.</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Customer orders</w:t>
            </w:r>
          </w:p>
        </w:tc>
        <w:tc>
          <w:tcPr>
            <w:tcW w:type="dxa" w:w="3900"/>
            <w:tcMar>
              <w:top w:w="80" w:type="dxa"/>
              <w:start w:w="120" w:type="dxa"/>
              <w:bottom w:w="80" w:type="dxa"/>
              <w:end w:w="120" w:type="dxa"/>
            </w:tcMar>
            <w:vAlign w:val="center"/>
          </w:tcPr>
          <w:p>
            <w:pPr>
              <w:spacing w:after="0" w:line="252" w:lineRule="auto"/>
            </w:pPr>
            <w:r>
              <w:rPr>
                <w:rFonts w:ascii="Calibri" w:hAnsi="Calibri"/>
                <w:color w:val="334155"/>
                <w:sz w:val="16"/>
              </w:rPr>
              <w:t>(customer_id, created_at DESC, id)</w:t>
            </w:r>
          </w:p>
        </w:tc>
        <w:tc>
          <w:tcPr>
            <w:tcW w:type="dxa" w:w="3560"/>
            <w:tcMar>
              <w:top w:w="80" w:type="dxa"/>
              <w:start w:w="120" w:type="dxa"/>
              <w:bottom w:w="80" w:type="dxa"/>
              <w:end w:w="120" w:type="dxa"/>
            </w:tcMar>
            <w:vAlign w:val="center"/>
          </w:tcPr>
          <w:p>
            <w:pPr>
              <w:spacing w:after="0" w:line="252" w:lineRule="auto"/>
            </w:pPr>
            <w:r>
              <w:rPr>
                <w:rFonts w:ascii="Calibri" w:hAnsi="Calibri"/>
                <w:color w:val="334155"/>
                <w:sz w:val="16"/>
              </w:rPr>
              <w:t>History terbaru dan cursor stabil.</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Partner orders</w:t>
            </w:r>
          </w:p>
        </w:tc>
        <w:tc>
          <w:tcPr>
            <w:tcW w:type="dxa" w:w="3900"/>
            <w:tcMar>
              <w:top w:w="80" w:type="dxa"/>
              <w:start w:w="120" w:type="dxa"/>
              <w:bottom w:w="80" w:type="dxa"/>
              <w:end w:w="120" w:type="dxa"/>
            </w:tcMar>
            <w:vAlign w:val="center"/>
          </w:tcPr>
          <w:p>
            <w:pPr>
              <w:spacing w:after="0" w:line="252" w:lineRule="auto"/>
            </w:pPr>
            <w:r>
              <w:rPr>
                <w:rFonts w:ascii="Calibri" w:hAnsi="Calibri"/>
                <w:color w:val="334155"/>
                <w:sz w:val="16"/>
              </w:rPr>
              <w:t>(partner_id, status, updated_at DESC, id)</w:t>
            </w:r>
          </w:p>
        </w:tc>
        <w:tc>
          <w:tcPr>
            <w:tcW w:type="dxa" w:w="3560"/>
            <w:tcMar>
              <w:top w:w="80" w:type="dxa"/>
              <w:start w:w="120" w:type="dxa"/>
              <w:bottom w:w="80" w:type="dxa"/>
              <w:end w:w="120" w:type="dxa"/>
            </w:tcMar>
            <w:vAlign w:val="center"/>
          </w:tcPr>
          <w:p>
            <w:pPr>
              <w:spacing w:after="0" w:line="252" w:lineRule="auto"/>
            </w:pPr>
            <w:r>
              <w:rPr>
                <w:rFonts w:ascii="Calibri" w:hAnsi="Calibri"/>
                <w:color w:val="334155"/>
                <w:sz w:val="16"/>
              </w:rPr>
              <w:t>Partial index untuk status aktif dapat dipertimbangkan.</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Booking calendar</w:t>
            </w:r>
          </w:p>
        </w:tc>
        <w:tc>
          <w:tcPr>
            <w:tcW w:type="dxa" w:w="3900"/>
            <w:tcMar>
              <w:top w:w="80" w:type="dxa"/>
              <w:start w:w="120" w:type="dxa"/>
              <w:bottom w:w="80" w:type="dxa"/>
              <w:end w:w="120" w:type="dxa"/>
            </w:tcMar>
            <w:vAlign w:val="center"/>
          </w:tcPr>
          <w:p>
            <w:pPr>
              <w:spacing w:after="0" w:line="252" w:lineRule="auto"/>
            </w:pPr>
            <w:r>
              <w:rPr>
                <w:rFonts w:ascii="Calibri" w:hAnsi="Calibri"/>
                <w:color w:val="334155"/>
                <w:sz w:val="16"/>
              </w:rPr>
              <w:t>(professional_id, start_at, end_at)</w:t>
            </w:r>
          </w:p>
        </w:tc>
        <w:tc>
          <w:tcPr>
            <w:tcW w:type="dxa" w:w="3560"/>
            <w:tcMar>
              <w:top w:w="80" w:type="dxa"/>
              <w:start w:w="120" w:type="dxa"/>
              <w:bottom w:w="80" w:type="dxa"/>
              <w:end w:w="120" w:type="dxa"/>
            </w:tcMar>
            <w:vAlign w:val="center"/>
          </w:tcPr>
          <w:p>
            <w:pPr>
              <w:spacing w:after="0" w:line="252" w:lineRule="auto"/>
            </w:pPr>
            <w:r>
              <w:rPr>
                <w:rFonts w:ascii="Calibri" w:hAnsi="Calibri"/>
                <w:color w:val="334155"/>
                <w:sz w:val="16"/>
              </w:rPr>
              <w:t>Tambahkan exclusion constraint/range untuk cegah overlap.</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Booking ops</w:t>
            </w:r>
          </w:p>
        </w:tc>
        <w:tc>
          <w:tcPr>
            <w:tcW w:type="dxa" w:w="3900"/>
            <w:tcMar>
              <w:top w:w="80" w:type="dxa"/>
              <w:start w:w="120" w:type="dxa"/>
              <w:bottom w:w="80" w:type="dxa"/>
              <w:end w:w="120" w:type="dxa"/>
            </w:tcMar>
            <w:vAlign w:val="center"/>
          </w:tcPr>
          <w:p>
            <w:pPr>
              <w:spacing w:after="0" w:line="252" w:lineRule="auto"/>
            </w:pPr>
            <w:r>
              <w:rPr>
                <w:rFonts w:ascii="Calibri" w:hAnsi="Calibri"/>
                <w:color w:val="334155"/>
                <w:sz w:val="16"/>
              </w:rPr>
              <w:t>(partner_id, status, scheduled_start_at, id)</w:t>
            </w:r>
          </w:p>
        </w:tc>
        <w:tc>
          <w:tcPr>
            <w:tcW w:type="dxa" w:w="3560"/>
            <w:tcMar>
              <w:top w:w="80" w:type="dxa"/>
              <w:start w:w="120" w:type="dxa"/>
              <w:bottom w:w="80" w:type="dxa"/>
              <w:end w:w="120" w:type="dxa"/>
            </w:tcMar>
            <w:vAlign w:val="center"/>
          </w:tcPr>
          <w:p>
            <w:pPr>
              <w:spacing w:after="0" w:line="252" w:lineRule="auto"/>
            </w:pPr>
            <w:r>
              <w:rPr>
                <w:rFonts w:ascii="Calibri" w:hAnsi="Calibri"/>
                <w:color w:val="334155"/>
                <w:sz w:val="16"/>
              </w:rPr>
              <w:t>Queue partner dan SLA.</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Payment webhook</w:t>
            </w:r>
          </w:p>
        </w:tc>
        <w:tc>
          <w:tcPr>
            <w:tcW w:type="dxa" w:w="3900"/>
            <w:tcMar>
              <w:top w:w="80" w:type="dxa"/>
              <w:start w:w="120" w:type="dxa"/>
              <w:bottom w:w="80" w:type="dxa"/>
              <w:end w:w="120" w:type="dxa"/>
            </w:tcMar>
            <w:vAlign w:val="center"/>
          </w:tcPr>
          <w:p>
            <w:pPr>
              <w:spacing w:after="0" w:line="252" w:lineRule="auto"/>
            </w:pPr>
            <w:r>
              <w:rPr>
                <w:rFonts w:ascii="Calibri" w:hAnsi="Calibri"/>
                <w:color w:val="334155"/>
                <w:sz w:val="16"/>
              </w:rPr>
              <w:t>UNIQUE (provider, provider_event_id)</w:t>
            </w:r>
          </w:p>
        </w:tc>
        <w:tc>
          <w:tcPr>
            <w:tcW w:type="dxa" w:w="3560"/>
            <w:tcMar>
              <w:top w:w="80" w:type="dxa"/>
              <w:start w:w="120" w:type="dxa"/>
              <w:bottom w:w="80" w:type="dxa"/>
              <w:end w:w="120" w:type="dxa"/>
            </w:tcMar>
            <w:vAlign w:val="center"/>
          </w:tcPr>
          <w:p>
            <w:pPr>
              <w:spacing w:after="0" w:line="252" w:lineRule="auto"/>
            </w:pPr>
            <w:r>
              <w:rPr>
                <w:rFonts w:ascii="Calibri" w:hAnsi="Calibri"/>
                <w:color w:val="334155"/>
                <w:sz w:val="16"/>
              </w:rPr>
              <w:t>Deduplikasi event.</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Idempotency</w:t>
            </w:r>
          </w:p>
        </w:tc>
        <w:tc>
          <w:tcPr>
            <w:tcW w:type="dxa" w:w="3900"/>
            <w:tcMar>
              <w:top w:w="80" w:type="dxa"/>
              <w:start w:w="120" w:type="dxa"/>
              <w:bottom w:w="80" w:type="dxa"/>
              <w:end w:w="120" w:type="dxa"/>
            </w:tcMar>
            <w:vAlign w:val="center"/>
          </w:tcPr>
          <w:p>
            <w:pPr>
              <w:spacing w:after="0" w:line="252" w:lineRule="auto"/>
            </w:pPr>
            <w:r>
              <w:rPr>
                <w:rFonts w:ascii="Calibri" w:hAnsi="Calibri"/>
                <w:color w:val="334155"/>
                <w:sz w:val="16"/>
              </w:rPr>
              <w:t>UNIQUE (scope, actor_id, idempotency_key)</w:t>
            </w:r>
          </w:p>
        </w:tc>
        <w:tc>
          <w:tcPr>
            <w:tcW w:type="dxa" w:w="3560"/>
            <w:tcMar>
              <w:top w:w="80" w:type="dxa"/>
              <w:start w:w="120" w:type="dxa"/>
              <w:bottom w:w="80" w:type="dxa"/>
              <w:end w:w="120" w:type="dxa"/>
            </w:tcMar>
            <w:vAlign w:val="center"/>
          </w:tcPr>
          <w:p>
            <w:pPr>
              <w:spacing w:after="0" w:line="252" w:lineRule="auto"/>
            </w:pPr>
            <w:r>
              <w:rPr>
                <w:rFonts w:ascii="Calibri" w:hAnsi="Calibri"/>
                <w:color w:val="334155"/>
                <w:sz w:val="16"/>
              </w:rPr>
              <w:t>Simpan request hash dan response snapshot.</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Outbox</w:t>
            </w:r>
          </w:p>
        </w:tc>
        <w:tc>
          <w:tcPr>
            <w:tcW w:type="dxa" w:w="3900"/>
            <w:tcMar>
              <w:top w:w="80" w:type="dxa"/>
              <w:start w:w="120" w:type="dxa"/>
              <w:bottom w:w="80" w:type="dxa"/>
              <w:end w:w="120" w:type="dxa"/>
            </w:tcMar>
            <w:vAlign w:val="center"/>
          </w:tcPr>
          <w:p>
            <w:pPr>
              <w:spacing w:after="0" w:line="252" w:lineRule="auto"/>
            </w:pPr>
            <w:r>
              <w:rPr>
                <w:rFonts w:ascii="Calibri" w:hAnsi="Calibri"/>
                <w:color w:val="334155"/>
                <w:sz w:val="16"/>
              </w:rPr>
              <w:t>(status, available_at, id)</w:t>
            </w:r>
          </w:p>
        </w:tc>
        <w:tc>
          <w:tcPr>
            <w:tcW w:type="dxa" w:w="3560"/>
            <w:tcMar>
              <w:top w:w="80" w:type="dxa"/>
              <w:start w:w="120" w:type="dxa"/>
              <w:bottom w:w="80" w:type="dxa"/>
              <w:end w:w="120" w:type="dxa"/>
            </w:tcMar>
            <w:vAlign w:val="center"/>
          </w:tcPr>
          <w:p>
            <w:pPr>
              <w:spacing w:after="0" w:line="252" w:lineRule="auto"/>
            </w:pPr>
            <w:r>
              <w:rPr>
                <w:rFonts w:ascii="Calibri" w:hAnsi="Calibri"/>
                <w:color w:val="334155"/>
                <w:sz w:val="16"/>
              </w:rPr>
              <w:t>Partial index status=pending.</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Geo service</w:t>
            </w:r>
          </w:p>
        </w:tc>
        <w:tc>
          <w:tcPr>
            <w:tcW w:type="dxa" w:w="3900"/>
            <w:tcMar>
              <w:top w:w="80" w:type="dxa"/>
              <w:start w:w="120" w:type="dxa"/>
              <w:bottom w:w="80" w:type="dxa"/>
              <w:end w:w="120" w:type="dxa"/>
            </w:tcMar>
            <w:vAlign w:val="center"/>
          </w:tcPr>
          <w:p>
            <w:pPr>
              <w:spacing w:after="0" w:line="252" w:lineRule="auto"/>
            </w:pPr>
            <w:r>
              <w:rPr>
                <w:rFonts w:ascii="Calibri" w:hAnsi="Calibri"/>
                <w:color w:val="334155"/>
                <w:sz w:val="16"/>
              </w:rPr>
              <w:t>GiST(service_area_geom)</w:t>
            </w:r>
          </w:p>
        </w:tc>
        <w:tc>
          <w:tcPr>
            <w:tcW w:type="dxa" w:w="3560"/>
            <w:tcMar>
              <w:top w:w="80" w:type="dxa"/>
              <w:start w:w="120" w:type="dxa"/>
              <w:bottom w:w="80" w:type="dxa"/>
              <w:end w:w="120" w:type="dxa"/>
            </w:tcMar>
            <w:vAlign w:val="center"/>
          </w:tcPr>
          <w:p>
            <w:pPr>
              <w:spacing w:after="0" w:line="252" w:lineRule="auto"/>
            </w:pPr>
            <w:r>
              <w:rPr>
                <w:rFonts w:ascii="Calibri" w:hAnsi="Calibri"/>
                <w:color w:val="334155"/>
                <w:sz w:val="16"/>
              </w:rPr>
              <w:t>Gunakan PostGIS untuk radius/polygon.</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6"/>
              </w:rPr>
              <w:t>Audit</w:t>
            </w:r>
          </w:p>
        </w:tc>
        <w:tc>
          <w:tcPr>
            <w:tcW w:type="dxa" w:w="3900"/>
            <w:tcMar>
              <w:top w:w="80" w:type="dxa"/>
              <w:start w:w="120" w:type="dxa"/>
              <w:bottom w:w="80" w:type="dxa"/>
              <w:end w:w="120" w:type="dxa"/>
            </w:tcMar>
            <w:vAlign w:val="center"/>
          </w:tcPr>
          <w:p>
            <w:pPr>
              <w:spacing w:after="0" w:line="252" w:lineRule="auto"/>
            </w:pPr>
            <w:r>
              <w:rPr>
                <w:rFonts w:ascii="Calibri" w:hAnsi="Calibri"/>
                <w:color w:val="334155"/>
                <w:sz w:val="16"/>
              </w:rPr>
              <w:t>(tenant_id, created_at DESC, id), (actor_id, created_at DESC)</w:t>
            </w:r>
          </w:p>
        </w:tc>
        <w:tc>
          <w:tcPr>
            <w:tcW w:type="dxa" w:w="3560"/>
            <w:tcMar>
              <w:top w:w="80" w:type="dxa"/>
              <w:start w:w="120" w:type="dxa"/>
              <w:bottom w:w="80" w:type="dxa"/>
              <w:end w:w="120" w:type="dxa"/>
            </w:tcMar>
            <w:vAlign w:val="center"/>
          </w:tcPr>
          <w:p>
            <w:pPr>
              <w:spacing w:after="0" w:line="252" w:lineRule="auto"/>
            </w:pPr>
            <w:r>
              <w:rPr>
                <w:rFonts w:ascii="Calibri" w:hAnsi="Calibri"/>
                <w:color w:val="334155"/>
                <w:sz w:val="16"/>
              </w:rPr>
              <w:t>Partition by time ketika volume besar.</w:t>
            </w:r>
          </w:p>
        </w:tc>
      </w:tr>
    </w:tbl>
    <w:p>
      <w:pPr>
        <w:spacing w:after="40"/>
      </w:pPr>
    </w:p>
    <w:p>
      <w:pPr>
        <w:pStyle w:val="Heading3"/>
        <w:keepNext/>
      </w:pPr>
      <w:r>
        <w:rPr>
          <w:rFonts w:ascii="Calibri" w:hAnsi="Calibri"/>
          <w:b/>
          <w:color w:val="172033"/>
          <w:sz w:val="24"/>
        </w:rPr>
        <w:t>15.1 Query rules</w:t>
      </w:r>
    </w:p>
    <w:p>
      <w:pPr>
        <w:numPr>
          <w:ilvl w:val="0"/>
          <w:numId w:val="10"/>
        </w:numPr>
        <w:spacing w:after="160" w:line="280" w:lineRule="auto"/>
        <w:keepLines/>
      </w:pPr>
      <w:r>
        <w:rPr>
          <w:rFonts w:ascii="Calibri" w:hAnsi="Calibri"/>
          <w:color w:val="334155"/>
          <w:sz w:val="22"/>
        </w:rPr>
        <w:t>Gunakan cursor/keyset pagination berbasis (sort_column, id), bukan OFFSET untuk tabel besar.</w:t>
      </w:r>
    </w:p>
    <w:p>
      <w:pPr>
        <w:numPr>
          <w:ilvl w:val="0"/>
          <w:numId w:val="10"/>
        </w:numPr>
        <w:spacing w:after="160" w:line="280" w:lineRule="auto"/>
        <w:keepLines/>
      </w:pPr>
      <w:r>
        <w:rPr>
          <w:rFonts w:ascii="Calibri" w:hAnsi="Calibri"/>
          <w:color w:val="334155"/>
          <w:sz w:val="22"/>
        </w:rPr>
        <w:t>Gunakan SELECT column list, bukan SELECT *; prefetch relasi untuk mencegah N+1.</w:t>
      </w:r>
    </w:p>
    <w:p>
      <w:pPr>
        <w:numPr>
          <w:ilvl w:val="0"/>
          <w:numId w:val="10"/>
        </w:numPr>
        <w:spacing w:after="160" w:line="280" w:lineRule="auto"/>
        <w:keepLines/>
      </w:pPr>
      <w:r>
        <w:rPr>
          <w:rFonts w:ascii="Calibri" w:hAnsi="Calibri"/>
          <w:color w:val="334155"/>
          <w:sz w:val="22"/>
        </w:rPr>
        <w:t>Pisahkan read model dashboard/materialized view dari transaksi order.</w:t>
      </w:r>
    </w:p>
    <w:p>
      <w:pPr>
        <w:numPr>
          <w:ilvl w:val="0"/>
          <w:numId w:val="10"/>
        </w:numPr>
        <w:spacing w:after="160" w:line="280" w:lineRule="auto"/>
        <w:keepLines/>
      </w:pPr>
      <w:r>
        <w:rPr>
          <w:rFonts w:ascii="Calibri" w:hAnsi="Calibri"/>
          <w:color w:val="334155"/>
          <w:sz w:val="22"/>
        </w:rPr>
        <w:t>Jalankan EXPLAIN (ANALYZE, BUFFERS) pada query kritis dan simpan regression benchmark.</w:t>
      </w:r>
    </w:p>
    <w:p>
      <w:pPr>
        <w:numPr>
          <w:ilvl w:val="0"/>
          <w:numId w:val="10"/>
        </w:numPr>
        <w:spacing w:after="160" w:line="280" w:lineRule="auto"/>
        <w:keepLines/>
      </w:pPr>
      <w:r>
        <w:rPr>
          <w:rFonts w:ascii="Calibri" w:hAnsi="Calibri"/>
          <w:color w:val="334155"/>
          <w:sz w:val="22"/>
        </w:rPr>
        <w:t>Tambahkan index hanya setelah melihat filter/sort dan write cost; index tidak terpakai dihapus melalui review.</w:t>
      </w:r>
    </w:p>
    <w:p>
      <w:pPr>
        <w:numPr>
          <w:ilvl w:val="0"/>
          <w:numId w:val="10"/>
        </w:numPr>
        <w:spacing w:after="160" w:line="280" w:lineRule="auto"/>
        <w:keepLines/>
      </w:pPr>
      <w:r>
        <w:rPr>
          <w:rFonts w:ascii="Calibri" w:hAnsi="Calibri"/>
          <w:color w:val="334155"/>
          <w:sz w:val="22"/>
        </w:rPr>
        <w:t>Gunakan connection pooling dan transaction boundary pendek; jangan memegang DB transaction saat memanggil provider eksternal.</w:t>
      </w:r>
    </w:p>
    <w:p>
      <w:pPr>
        <w:pStyle w:val="Heading2"/>
        <w:keepNext/>
      </w:pPr>
      <w:r>
        <w:rPr>
          <w:rFonts w:ascii="Calibri" w:hAnsi="Calibri"/>
          <w:b/>
          <w:color w:val="4F46E5"/>
          <w:sz w:val="26"/>
        </w:rPr>
        <w:t>16. API design</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100"/>
        <w:gridCol w:w="7260"/>
      </w:tblGrid>
      <w:tr>
        <w:trPr>
          <w:tblHeader w:val="true"/>
          <w:cantSplit/>
        </w:trPr>
        <w:tc>
          <w:tcPr>
            <w:tcW w:type="dxa" w:w="21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Area</w:t>
            </w:r>
          </w:p>
        </w:tc>
        <w:tc>
          <w:tcPr>
            <w:tcW w:type="dxa" w:w="72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Konvensi</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334155"/>
                <w:sz w:val="17"/>
              </w:rPr>
              <w:t>Base</w:t>
            </w:r>
          </w:p>
        </w:tc>
        <w:tc>
          <w:tcPr>
            <w:tcW w:type="dxa" w:w="7260"/>
            <w:tcMar>
              <w:top w:w="80" w:type="dxa"/>
              <w:start w:w="120" w:type="dxa"/>
              <w:bottom w:w="80" w:type="dxa"/>
              <w:end w:w="120" w:type="dxa"/>
            </w:tcMar>
            <w:vAlign w:val="center"/>
          </w:tcPr>
          <w:p>
            <w:pPr>
              <w:spacing w:after="0" w:line="252" w:lineRule="auto"/>
            </w:pPr>
            <w:r>
              <w:rPr>
                <w:rFonts w:ascii="Calibri" w:hAnsi="Calibri"/>
                <w:color w:val="334155"/>
                <w:sz w:val="17"/>
              </w:rPr>
              <w:t>/api/v1; OpenAPI menjadi contract; generated typed client untuk kedua Next.js apps.</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334155"/>
                <w:sz w:val="17"/>
              </w:rPr>
              <w:t>Auth</w:t>
            </w:r>
          </w:p>
        </w:tc>
        <w:tc>
          <w:tcPr>
            <w:tcW w:type="dxa" w:w="7260"/>
            <w:tcMar>
              <w:top w:w="80" w:type="dxa"/>
              <w:start w:w="120" w:type="dxa"/>
              <w:bottom w:w="80" w:type="dxa"/>
              <w:end w:w="120" w:type="dxa"/>
            </w:tcMar>
            <w:vAlign w:val="center"/>
          </w:tcPr>
          <w:p>
            <w:pPr>
              <w:spacing w:after="0" w:line="252" w:lineRule="auto"/>
            </w:pPr>
            <w:r>
              <w:rPr>
                <w:rFonts w:ascii="Calibri" w:hAnsi="Calibri"/>
                <w:color w:val="334155"/>
                <w:sz w:val="17"/>
              </w:rPr>
              <w:t>Secure cookie; CSRF token untuk unsafe methods; session/membership derived server-side.</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334155"/>
                <w:sz w:val="17"/>
              </w:rPr>
              <w:t>Errors</w:t>
            </w:r>
          </w:p>
        </w:tc>
        <w:tc>
          <w:tcPr>
            <w:tcW w:type="dxa" w:w="7260"/>
            <w:tcMar>
              <w:top w:w="80" w:type="dxa"/>
              <w:start w:w="120" w:type="dxa"/>
              <w:bottom w:w="80" w:type="dxa"/>
              <w:end w:w="120" w:type="dxa"/>
            </w:tcMar>
            <w:vAlign w:val="center"/>
          </w:tcPr>
          <w:p>
            <w:pPr>
              <w:spacing w:after="0" w:line="252" w:lineRule="auto"/>
            </w:pPr>
            <w:r>
              <w:rPr>
                <w:rFonts w:ascii="Calibri" w:hAnsi="Calibri"/>
                <w:color w:val="334155"/>
                <w:sz w:val="17"/>
              </w:rPr>
              <w:t>Problem details dengan code stabil, message aman, field_errors, correlation_id.</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334155"/>
                <w:sz w:val="17"/>
              </w:rPr>
              <w:t>Pagination</w:t>
            </w:r>
          </w:p>
        </w:tc>
        <w:tc>
          <w:tcPr>
            <w:tcW w:type="dxa" w:w="7260"/>
            <w:tcMar>
              <w:top w:w="80" w:type="dxa"/>
              <w:start w:w="120" w:type="dxa"/>
              <w:bottom w:w="80" w:type="dxa"/>
              <w:end w:w="120" w:type="dxa"/>
            </w:tcMar>
            <w:vAlign w:val="center"/>
          </w:tcPr>
          <w:p>
            <w:pPr>
              <w:spacing w:after="0" w:line="252" w:lineRule="auto"/>
            </w:pPr>
            <w:r>
              <w:rPr>
                <w:rFonts w:ascii="Calibri" w:hAnsi="Calibri"/>
                <w:color w:val="334155"/>
                <w:sz w:val="17"/>
              </w:rPr>
              <w:t>limit + cursor; response items, next_cursor, has_more.</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334155"/>
                <w:sz w:val="17"/>
              </w:rPr>
              <w:t>Filtering</w:t>
            </w:r>
          </w:p>
        </w:tc>
        <w:tc>
          <w:tcPr>
            <w:tcW w:type="dxa" w:w="7260"/>
            <w:tcMar>
              <w:top w:w="80" w:type="dxa"/>
              <w:start w:w="120" w:type="dxa"/>
              <w:bottom w:w="80" w:type="dxa"/>
              <w:end w:w="120" w:type="dxa"/>
            </w:tcMar>
            <w:vAlign w:val="center"/>
          </w:tcPr>
          <w:p>
            <w:pPr>
              <w:spacing w:after="0" w:line="252" w:lineRule="auto"/>
            </w:pPr>
            <w:r>
              <w:rPr>
                <w:rFonts w:ascii="Calibri" w:hAnsi="Calibri"/>
                <w:color w:val="334155"/>
                <w:sz w:val="17"/>
              </w:rPr>
              <w:t>Allowlist field/operator; server-side validation; no raw query expression.</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334155"/>
                <w:sz w:val="17"/>
              </w:rPr>
              <w:t>Idempotency</w:t>
            </w:r>
          </w:p>
        </w:tc>
        <w:tc>
          <w:tcPr>
            <w:tcW w:type="dxa" w:w="7260"/>
            <w:tcMar>
              <w:top w:w="80" w:type="dxa"/>
              <w:start w:w="120" w:type="dxa"/>
              <w:bottom w:w="80" w:type="dxa"/>
              <w:end w:w="120" w:type="dxa"/>
            </w:tcMar>
            <w:vAlign w:val="center"/>
          </w:tcPr>
          <w:p>
            <w:pPr>
              <w:spacing w:after="0" w:line="252" w:lineRule="auto"/>
            </w:pPr>
            <w:r>
              <w:rPr>
                <w:rFonts w:ascii="Calibri" w:hAnsi="Calibri"/>
                <w:color w:val="334155"/>
                <w:sz w:val="17"/>
              </w:rPr>
              <w:t>Idempotency-Key wajib untuk checkout, refund, booking confirm, payout, dan critical commands.</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334155"/>
                <w:sz w:val="17"/>
              </w:rPr>
              <w:t>Concurrency</w:t>
            </w:r>
          </w:p>
        </w:tc>
        <w:tc>
          <w:tcPr>
            <w:tcW w:type="dxa" w:w="7260"/>
            <w:tcMar>
              <w:top w:w="80" w:type="dxa"/>
              <w:start w:w="120" w:type="dxa"/>
              <w:bottom w:w="80" w:type="dxa"/>
              <w:end w:w="120" w:type="dxa"/>
            </w:tcMar>
            <w:vAlign w:val="center"/>
          </w:tcPr>
          <w:p>
            <w:pPr>
              <w:spacing w:after="0" w:line="252" w:lineRule="auto"/>
            </w:pPr>
            <w:r>
              <w:rPr>
                <w:rFonts w:ascii="Calibri" w:hAnsi="Calibri"/>
                <w:color w:val="334155"/>
                <w:sz w:val="17"/>
              </w:rPr>
              <w:t>ETag/If-Match atau version untuk edit aggregate; conflict menghasilkan 409.</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334155"/>
                <w:sz w:val="17"/>
              </w:rPr>
              <w:t>Uploads</w:t>
            </w:r>
          </w:p>
        </w:tc>
        <w:tc>
          <w:tcPr>
            <w:tcW w:type="dxa" w:w="7260"/>
            <w:tcMar>
              <w:top w:w="80" w:type="dxa"/>
              <w:start w:w="120" w:type="dxa"/>
              <w:bottom w:w="80" w:type="dxa"/>
              <w:end w:w="120" w:type="dxa"/>
            </w:tcMar>
            <w:vAlign w:val="center"/>
          </w:tcPr>
          <w:p>
            <w:pPr>
              <w:spacing w:after="0" w:line="252" w:lineRule="auto"/>
            </w:pPr>
            <w:r>
              <w:rPr>
                <w:rFonts w:ascii="Calibri" w:hAnsi="Calibri"/>
                <w:color w:val="334155"/>
                <w:sz w:val="17"/>
              </w:rPr>
              <w:t>Request signed upload URL → direct upload private → scan/process → attach object.</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334155"/>
                <w:sz w:val="17"/>
              </w:rPr>
              <w:t>Webhooks</w:t>
            </w:r>
          </w:p>
        </w:tc>
        <w:tc>
          <w:tcPr>
            <w:tcW w:type="dxa" w:w="7260"/>
            <w:tcMar>
              <w:top w:w="80" w:type="dxa"/>
              <w:start w:w="120" w:type="dxa"/>
              <w:bottom w:w="80" w:type="dxa"/>
              <w:end w:w="120" w:type="dxa"/>
            </w:tcMar>
            <w:vAlign w:val="center"/>
          </w:tcPr>
          <w:p>
            <w:pPr>
              <w:spacing w:after="0" w:line="252" w:lineRule="auto"/>
            </w:pPr>
            <w:r>
              <w:rPr>
                <w:rFonts w:ascii="Calibri" w:hAnsi="Calibri"/>
                <w:color w:val="334155"/>
                <w:sz w:val="17"/>
              </w:rPr>
              <w:t>Raw-body signature validation, timestamp tolerance, replay protection, inbox table.</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334155"/>
                <w:sz w:val="17"/>
              </w:rPr>
              <w:t>Versioning</w:t>
            </w:r>
          </w:p>
        </w:tc>
        <w:tc>
          <w:tcPr>
            <w:tcW w:type="dxa" w:w="7260"/>
            <w:tcMar>
              <w:top w:w="80" w:type="dxa"/>
              <w:start w:w="120" w:type="dxa"/>
              <w:bottom w:w="80" w:type="dxa"/>
              <w:end w:w="120" w:type="dxa"/>
            </w:tcMar>
            <w:vAlign w:val="center"/>
          </w:tcPr>
          <w:p>
            <w:pPr>
              <w:spacing w:after="0" w:line="252" w:lineRule="auto"/>
            </w:pPr>
            <w:r>
              <w:rPr>
                <w:rFonts w:ascii="Calibri" w:hAnsi="Calibri"/>
                <w:color w:val="334155"/>
                <w:sz w:val="17"/>
              </w:rPr>
              <w:t>Additive changes default; breaking change via version baru dan deprecation window.</w:t>
            </w:r>
          </w:p>
        </w:tc>
      </w:tr>
    </w:tbl>
    <w:p>
      <w:pPr>
        <w:spacing w:after="40"/>
      </w:pPr>
    </w:p>
    <w:p>
      <w:pPr>
        <w:pStyle w:val="Heading3"/>
        <w:keepNext/>
      </w:pPr>
      <w:r>
        <w:rPr>
          <w:rFonts w:ascii="Calibri" w:hAnsi="Calibri"/>
          <w:b/>
          <w:color w:val="172033"/>
          <w:sz w:val="24"/>
        </w:rPr>
        <w:t>16.1 Endpoint groups awal</w:t>
      </w:r>
    </w:p>
    <w:p>
      <w:pPr>
        <w:numPr>
          <w:ilvl w:val="0"/>
          <w:numId w:val="10"/>
        </w:numPr>
        <w:spacing w:after="160" w:line="280" w:lineRule="auto"/>
        <w:keepLines/>
      </w:pPr>
      <w:r>
        <w:rPr>
          <w:rFonts w:ascii="Calibri" w:hAnsi="Calibri"/>
          <w:color w:val="334155"/>
          <w:sz w:val="22"/>
        </w:rPr>
        <w:t>/auth, /me, /sessions, /mfa</w:t>
      </w:r>
    </w:p>
    <w:p>
      <w:pPr>
        <w:numPr>
          <w:ilvl w:val="0"/>
          <w:numId w:val="10"/>
        </w:numPr>
        <w:spacing w:after="160" w:line="280" w:lineRule="auto"/>
        <w:keepLines/>
      </w:pPr>
      <w:r>
        <w:rPr>
          <w:rFonts w:ascii="Calibri" w:hAnsi="Calibri"/>
          <w:color w:val="334155"/>
          <w:sz w:val="22"/>
        </w:rPr>
        <w:t>/partners, /partner-applications, /verifications, /memberships</w:t>
      </w:r>
    </w:p>
    <w:p>
      <w:pPr>
        <w:numPr>
          <w:ilvl w:val="0"/>
          <w:numId w:val="10"/>
        </w:numPr>
        <w:spacing w:after="160" w:line="280" w:lineRule="auto"/>
        <w:keepLines/>
      </w:pPr>
      <w:r>
        <w:rPr>
          <w:rFonts w:ascii="Calibri" w:hAnsi="Calibri"/>
          <w:color w:val="334155"/>
          <w:sz w:val="22"/>
        </w:rPr>
        <w:t>/products, /variants, /services, /professionals, /availability</w:t>
      </w:r>
    </w:p>
    <w:p>
      <w:pPr>
        <w:numPr>
          <w:ilvl w:val="0"/>
          <w:numId w:val="10"/>
        </w:numPr>
        <w:spacing w:after="160" w:line="280" w:lineRule="auto"/>
        <w:keepLines/>
      </w:pPr>
      <w:r>
        <w:rPr>
          <w:rFonts w:ascii="Calibri" w:hAnsi="Calibri"/>
          <w:color w:val="334155"/>
          <w:sz w:val="22"/>
        </w:rPr>
        <w:t>/carts, /quotes, /checkouts, /orders, /bookings</w:t>
      </w:r>
    </w:p>
    <w:p>
      <w:pPr>
        <w:numPr>
          <w:ilvl w:val="0"/>
          <w:numId w:val="10"/>
        </w:numPr>
        <w:spacing w:after="160" w:line="280" w:lineRule="auto"/>
        <w:keepLines/>
      </w:pPr>
      <w:r>
        <w:rPr>
          <w:rFonts w:ascii="Calibri" w:hAnsi="Calibri"/>
          <w:color w:val="334155"/>
          <w:sz w:val="22"/>
        </w:rPr>
        <w:t>/payments, /refunds, /ledger, /settlements, /payouts</w:t>
      </w:r>
    </w:p>
    <w:p>
      <w:pPr>
        <w:numPr>
          <w:ilvl w:val="0"/>
          <w:numId w:val="10"/>
        </w:numPr>
        <w:spacing w:after="160" w:line="280" w:lineRule="auto"/>
        <w:keepLines/>
      </w:pPr>
      <w:r>
        <w:rPr>
          <w:rFonts w:ascii="Calibri" w:hAnsi="Calibri"/>
          <w:color w:val="334155"/>
          <w:sz w:val="22"/>
        </w:rPr>
        <w:t>/tracking/shipments, /tracking/location-sessions</w:t>
      </w:r>
    </w:p>
    <w:p>
      <w:pPr>
        <w:numPr>
          <w:ilvl w:val="0"/>
          <w:numId w:val="10"/>
        </w:numPr>
        <w:spacing w:after="160" w:line="280" w:lineRule="auto"/>
        <w:keepLines/>
      </w:pPr>
      <w:r>
        <w:rPr>
          <w:rFonts w:ascii="Calibri" w:hAnsi="Calibri"/>
          <w:color w:val="334155"/>
          <w:sz w:val="22"/>
        </w:rPr>
        <w:t>/ai/recommendations, /ai/conversations, /ai/partner-insights</w:t>
      </w:r>
    </w:p>
    <w:p>
      <w:pPr>
        <w:numPr>
          <w:ilvl w:val="0"/>
          <w:numId w:val="10"/>
        </w:numPr>
        <w:spacing w:after="160" w:line="280" w:lineRule="auto"/>
        <w:keepLines/>
      </w:pPr>
      <w:r>
        <w:rPr>
          <w:rFonts w:ascii="Calibri" w:hAnsi="Calibri"/>
          <w:color w:val="334155"/>
          <w:sz w:val="22"/>
        </w:rPr>
        <w:t>/reviews, /disputes, /support-cases, /notifications</w:t>
      </w:r>
    </w:p>
    <w:p>
      <w:pPr>
        <w:numPr>
          <w:ilvl w:val="0"/>
          <w:numId w:val="10"/>
        </w:numPr>
        <w:spacing w:after="160" w:line="280" w:lineRule="auto"/>
        <w:keepLines/>
      </w:pPr>
      <w:r>
        <w:rPr>
          <w:rFonts w:ascii="Calibri" w:hAnsi="Calibri"/>
          <w:color w:val="334155"/>
          <w:sz w:val="22"/>
        </w:rPr>
        <w:t>/admin/*, /audit-logs, /feature-flags, /webhooks/{provider}</w:t>
      </w:r>
    </w:p>
    <w:p>
      <w:pPr>
        <w:pStyle w:val="Heading2"/>
        <w:keepNext/>
      </w:pPr>
      <w:r>
        <w:rPr>
          <w:rFonts w:ascii="Calibri" w:hAnsi="Calibri"/>
          <w:b/>
          <w:color w:val="4F46E5"/>
          <w:sz w:val="26"/>
        </w:rPr>
        <w:t>17. Authentication dan authorization design</w:t>
      </w:r>
    </w:p>
    <w:p>
      <w:pPr>
        <w:pStyle w:val="Heading3"/>
        <w:keepNext/>
      </w:pPr>
      <w:r>
        <w:rPr>
          <w:rFonts w:ascii="Calibri" w:hAnsi="Calibri"/>
          <w:b/>
          <w:color w:val="172033"/>
          <w:sz w:val="24"/>
        </w:rPr>
        <w:t>17.1 Session pattern</w:t>
      </w:r>
    </w:p>
    <w:p>
      <w:pPr>
        <w:numPr>
          <w:ilvl w:val="0"/>
          <w:numId w:val="10"/>
        </w:numPr>
        <w:spacing w:after="160" w:line="280" w:lineRule="auto"/>
        <w:keepLines/>
      </w:pPr>
      <w:r>
        <w:rPr>
          <w:rFonts w:ascii="Calibri" w:hAnsi="Calibri"/>
          <w:color w:val="334155"/>
          <w:sz w:val="22"/>
        </w:rPr>
        <w:t>Password di-hash menggunakan Argon2id dengan parameter yang di-benchmark; password reset token single-use dan short-lived.</w:t>
      </w:r>
    </w:p>
    <w:p>
      <w:pPr>
        <w:numPr>
          <w:ilvl w:val="0"/>
          <w:numId w:val="10"/>
        </w:numPr>
        <w:spacing w:after="160" w:line="280" w:lineRule="auto"/>
        <w:keepLines/>
      </w:pPr>
      <w:r>
        <w:rPr>
          <w:rFonts w:ascii="Calibri" w:hAnsi="Calibri"/>
          <w:color w:val="334155"/>
          <w:sz w:val="22"/>
        </w:rPr>
        <w:t>Browser menyimpan session/refresh token hanya di HttpOnly Secure cookie; access token tidak disimpan di localStorage.</w:t>
      </w:r>
    </w:p>
    <w:p>
      <w:pPr>
        <w:numPr>
          <w:ilvl w:val="0"/>
          <w:numId w:val="10"/>
        </w:numPr>
        <w:spacing w:after="160" w:line="280" w:lineRule="auto"/>
        <w:keepLines/>
      </w:pPr>
      <w:r>
        <w:rPr>
          <w:rFonts w:ascii="Calibri" w:hAnsi="Calibri"/>
          <w:color w:val="334155"/>
          <w:sz w:val="22"/>
        </w:rPr>
        <w:t>Refresh token dirotasi; reuse detection mencabut token family dan memicu alert.</w:t>
      </w:r>
    </w:p>
    <w:p>
      <w:pPr>
        <w:numPr>
          <w:ilvl w:val="0"/>
          <w:numId w:val="10"/>
        </w:numPr>
        <w:spacing w:after="160" w:line="280" w:lineRule="auto"/>
        <w:keepLines/>
      </w:pPr>
      <w:r>
        <w:rPr>
          <w:rFonts w:ascii="Calibri" w:hAnsi="Calibri"/>
          <w:color w:val="334155"/>
          <w:sz w:val="22"/>
        </w:rPr>
        <w:t>CSRF protection menggunakan same-site policy + anti-CSRF token untuk unsafe methods.</w:t>
      </w:r>
    </w:p>
    <w:p>
      <w:pPr>
        <w:numPr>
          <w:ilvl w:val="0"/>
          <w:numId w:val="10"/>
        </w:numPr>
        <w:spacing w:after="160" w:line="280" w:lineRule="auto"/>
        <w:keepLines/>
      </w:pPr>
      <w:r>
        <w:rPr>
          <w:rFonts w:ascii="Calibri" w:hAnsi="Calibri"/>
          <w:color w:val="334155"/>
          <w:sz w:val="22"/>
        </w:rPr>
        <w:t>Session menyimpan selected partner context yang divalidasi terhadap active membership pada setiap request.</w:t>
      </w:r>
    </w:p>
    <w:p>
      <w:pPr>
        <w:numPr>
          <w:ilvl w:val="0"/>
          <w:numId w:val="10"/>
        </w:numPr>
        <w:spacing w:after="160" w:line="280" w:lineRule="auto"/>
        <w:keepLines/>
      </w:pPr>
      <w:r>
        <w:rPr>
          <w:rFonts w:ascii="Calibri" w:hAnsi="Calibri"/>
          <w:color w:val="334155"/>
          <w:sz w:val="22"/>
        </w:rPr>
        <w:t>Admin dan partner privileged roles menggunakan MFA; WebAuthn/passkey dapat menjadi target setelah MVP.</w:t>
      </w:r>
    </w:p>
    <w:p>
      <w:pPr>
        <w:pStyle w:val="Heading3"/>
        <w:keepNext/>
      </w:pPr>
      <w:r>
        <w:rPr>
          <w:rFonts w:ascii="Calibri" w:hAnsi="Calibri"/>
          <w:b/>
          <w:color w:val="172033"/>
          <w:sz w:val="24"/>
        </w:rPr>
        <w:t>17.2 Authorization layers</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700"/>
        <w:gridCol w:w="4100"/>
        <w:gridCol w:w="3560"/>
      </w:tblGrid>
      <w:tr>
        <w:trPr>
          <w:tblHeader w:val="true"/>
          <w:cantSplit/>
        </w:trPr>
        <w:tc>
          <w:tcPr>
            <w:tcW w:type="dxa" w:w="17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Layer</w:t>
            </w:r>
          </w:p>
        </w:tc>
        <w:tc>
          <w:tcPr>
            <w:tcW w:type="dxa" w:w="41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Control</w:t>
            </w:r>
          </w:p>
        </w:tc>
        <w:tc>
          <w:tcPr>
            <w:tcW w:type="dxa" w:w="35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Contoh</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color w:val="334155"/>
                <w:sz w:val="17"/>
              </w:rPr>
              <w:t>Route</w:t>
            </w:r>
          </w:p>
        </w:tc>
        <w:tc>
          <w:tcPr>
            <w:tcW w:type="dxa" w:w="4100"/>
            <w:tcMar>
              <w:top w:w="80" w:type="dxa"/>
              <w:start w:w="120" w:type="dxa"/>
              <w:bottom w:w="80" w:type="dxa"/>
              <w:end w:w="120" w:type="dxa"/>
            </w:tcMar>
            <w:vAlign w:val="center"/>
          </w:tcPr>
          <w:p>
            <w:pPr>
              <w:spacing w:after="0" w:line="252" w:lineRule="auto"/>
            </w:pPr>
            <w:r>
              <w:rPr>
                <w:rFonts w:ascii="Calibri" w:hAnsi="Calibri"/>
                <w:color w:val="334155"/>
                <w:sz w:val="17"/>
              </w:rPr>
              <w:t>Permission/capability requirement.</w:t>
            </w:r>
          </w:p>
        </w:tc>
        <w:tc>
          <w:tcPr>
            <w:tcW w:type="dxa" w:w="3560"/>
            <w:tcMar>
              <w:top w:w="80" w:type="dxa"/>
              <w:start w:w="120" w:type="dxa"/>
              <w:bottom w:w="80" w:type="dxa"/>
              <w:end w:w="120" w:type="dxa"/>
            </w:tcMar>
            <w:vAlign w:val="center"/>
          </w:tcPr>
          <w:p>
            <w:pPr>
              <w:spacing w:after="0" w:line="252" w:lineRule="auto"/>
            </w:pPr>
            <w:r>
              <w:rPr>
                <w:rFonts w:ascii="Calibri" w:hAnsi="Calibri"/>
                <w:color w:val="334155"/>
                <w:sz w:val="17"/>
              </w:rPr>
              <w:t>catalog.product.publish</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color w:val="334155"/>
                <w:sz w:val="17"/>
              </w:rPr>
              <w:t>Service</w:t>
            </w:r>
          </w:p>
        </w:tc>
        <w:tc>
          <w:tcPr>
            <w:tcW w:type="dxa" w:w="4100"/>
            <w:tcMar>
              <w:top w:w="80" w:type="dxa"/>
              <w:start w:w="120" w:type="dxa"/>
              <w:bottom w:w="80" w:type="dxa"/>
              <w:end w:w="120" w:type="dxa"/>
            </w:tcMar>
            <w:vAlign w:val="center"/>
          </w:tcPr>
          <w:p>
            <w:pPr>
              <w:spacing w:after="0" w:line="252" w:lineRule="auto"/>
            </w:pPr>
            <w:r>
              <w:rPr>
                <w:rFonts w:ascii="Calibri" w:hAnsi="Calibri"/>
                <w:color w:val="334155"/>
                <w:sz w:val="17"/>
              </w:rPr>
              <w:t>Business rule + state + ownership.</w:t>
            </w:r>
          </w:p>
        </w:tc>
        <w:tc>
          <w:tcPr>
            <w:tcW w:type="dxa" w:w="3560"/>
            <w:tcMar>
              <w:top w:w="80" w:type="dxa"/>
              <w:start w:w="120" w:type="dxa"/>
              <w:bottom w:w="80" w:type="dxa"/>
              <w:end w:w="120" w:type="dxa"/>
            </w:tcMar>
            <w:vAlign w:val="center"/>
          </w:tcPr>
          <w:p>
            <w:pPr>
              <w:spacing w:after="0" w:line="252" w:lineRule="auto"/>
            </w:pPr>
            <w:r>
              <w:rPr>
                <w:rFonts w:ascii="Calibri" w:hAnsi="Calibri"/>
                <w:color w:val="334155"/>
                <w:sz w:val="17"/>
              </w:rPr>
              <w:t>Hanya approved partner boleh publish.</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color w:val="334155"/>
                <w:sz w:val="17"/>
              </w:rPr>
              <w:t>Repository</w:t>
            </w:r>
          </w:p>
        </w:tc>
        <w:tc>
          <w:tcPr>
            <w:tcW w:type="dxa" w:w="4100"/>
            <w:tcMar>
              <w:top w:w="80" w:type="dxa"/>
              <w:start w:w="120" w:type="dxa"/>
              <w:bottom w:w="80" w:type="dxa"/>
              <w:end w:w="120" w:type="dxa"/>
            </w:tcMar>
            <w:vAlign w:val="center"/>
          </w:tcPr>
          <w:p>
            <w:pPr>
              <w:spacing w:after="0" w:line="252" w:lineRule="auto"/>
            </w:pPr>
            <w:r>
              <w:rPr>
                <w:rFonts w:ascii="Calibri" w:hAnsi="Calibri"/>
                <w:color w:val="334155"/>
                <w:sz w:val="17"/>
              </w:rPr>
              <w:t>Mandatory tenant predicate.</w:t>
            </w:r>
          </w:p>
        </w:tc>
        <w:tc>
          <w:tcPr>
            <w:tcW w:type="dxa" w:w="3560"/>
            <w:tcMar>
              <w:top w:w="80" w:type="dxa"/>
              <w:start w:w="120" w:type="dxa"/>
              <w:bottom w:w="80" w:type="dxa"/>
              <w:end w:w="120" w:type="dxa"/>
            </w:tcMar>
            <w:vAlign w:val="center"/>
          </w:tcPr>
          <w:p>
            <w:pPr>
              <w:spacing w:after="0" w:line="252" w:lineRule="auto"/>
            </w:pPr>
            <w:r>
              <w:rPr>
                <w:rFonts w:ascii="Calibri" w:hAnsi="Calibri"/>
                <w:color w:val="334155"/>
                <w:sz w:val="17"/>
              </w:rPr>
              <w:t>WHERE partner_id = context.partner_id.</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color w:val="334155"/>
                <w:sz w:val="17"/>
              </w:rPr>
              <w:t>Database</w:t>
            </w:r>
          </w:p>
        </w:tc>
        <w:tc>
          <w:tcPr>
            <w:tcW w:type="dxa" w:w="4100"/>
            <w:tcMar>
              <w:top w:w="80" w:type="dxa"/>
              <w:start w:w="120" w:type="dxa"/>
              <w:bottom w:w="80" w:type="dxa"/>
              <w:end w:w="120" w:type="dxa"/>
            </w:tcMar>
            <w:vAlign w:val="center"/>
          </w:tcPr>
          <w:p>
            <w:pPr>
              <w:spacing w:after="0" w:line="252" w:lineRule="auto"/>
            </w:pPr>
            <w:r>
              <w:rPr>
                <w:rFonts w:ascii="Calibri" w:hAnsi="Calibri"/>
                <w:color w:val="334155"/>
                <w:sz w:val="17"/>
              </w:rPr>
              <w:t>Row-Level Security defense-in-depth.</w:t>
            </w:r>
          </w:p>
        </w:tc>
        <w:tc>
          <w:tcPr>
            <w:tcW w:type="dxa" w:w="3560"/>
            <w:tcMar>
              <w:top w:w="80" w:type="dxa"/>
              <w:start w:w="120" w:type="dxa"/>
              <w:bottom w:w="80" w:type="dxa"/>
              <w:end w:w="120" w:type="dxa"/>
            </w:tcMar>
            <w:vAlign w:val="center"/>
          </w:tcPr>
          <w:p>
            <w:pPr>
              <w:spacing w:after="0" w:line="252" w:lineRule="auto"/>
            </w:pPr>
            <w:r>
              <w:rPr>
                <w:rFonts w:ascii="Calibri" w:hAnsi="Calibri"/>
                <w:color w:val="334155"/>
                <w:sz w:val="17"/>
              </w:rPr>
              <w:t>Policy membership / session tenant.</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color w:val="334155"/>
                <w:sz w:val="17"/>
              </w:rPr>
              <w:t>Object storage</w:t>
            </w:r>
          </w:p>
        </w:tc>
        <w:tc>
          <w:tcPr>
            <w:tcW w:type="dxa" w:w="4100"/>
            <w:tcMar>
              <w:top w:w="80" w:type="dxa"/>
              <w:start w:w="120" w:type="dxa"/>
              <w:bottom w:w="80" w:type="dxa"/>
              <w:end w:w="120" w:type="dxa"/>
            </w:tcMar>
            <w:vAlign w:val="center"/>
          </w:tcPr>
          <w:p>
            <w:pPr>
              <w:spacing w:after="0" w:line="252" w:lineRule="auto"/>
            </w:pPr>
            <w:r>
              <w:rPr>
                <w:rFonts w:ascii="Calibri" w:hAnsi="Calibri"/>
                <w:color w:val="334155"/>
                <w:sz w:val="17"/>
              </w:rPr>
              <w:t>Prefix + signed URL + owner/classification.</w:t>
            </w:r>
          </w:p>
        </w:tc>
        <w:tc>
          <w:tcPr>
            <w:tcW w:type="dxa" w:w="3560"/>
            <w:tcMar>
              <w:top w:w="80" w:type="dxa"/>
              <w:start w:w="120" w:type="dxa"/>
              <w:bottom w:w="80" w:type="dxa"/>
              <w:end w:w="120" w:type="dxa"/>
            </w:tcMar>
            <w:vAlign w:val="center"/>
          </w:tcPr>
          <w:p>
            <w:pPr>
              <w:spacing w:after="0" w:line="252" w:lineRule="auto"/>
            </w:pPr>
            <w:r>
              <w:rPr>
                <w:rFonts w:ascii="Calibri" w:hAnsi="Calibri"/>
                <w:color w:val="334155"/>
                <w:sz w:val="17"/>
              </w:rPr>
              <w:t>partner/{id}/private/credential.</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color w:val="334155"/>
                <w:sz w:val="17"/>
              </w:rPr>
              <w:t>Qdrant</w:t>
            </w:r>
          </w:p>
        </w:tc>
        <w:tc>
          <w:tcPr>
            <w:tcW w:type="dxa" w:w="4100"/>
            <w:tcMar>
              <w:top w:w="80" w:type="dxa"/>
              <w:start w:w="120" w:type="dxa"/>
              <w:bottom w:w="80" w:type="dxa"/>
              <w:end w:w="120" w:type="dxa"/>
            </w:tcMar>
            <w:vAlign w:val="center"/>
          </w:tcPr>
          <w:p>
            <w:pPr>
              <w:spacing w:after="0" w:line="252" w:lineRule="auto"/>
            </w:pPr>
            <w:r>
              <w:rPr>
                <w:rFonts w:ascii="Calibri" w:hAnsi="Calibri"/>
                <w:color w:val="334155"/>
                <w:sz w:val="17"/>
              </w:rPr>
              <w:t>Mandatory payload filter / separate data class collection.</w:t>
            </w:r>
          </w:p>
        </w:tc>
        <w:tc>
          <w:tcPr>
            <w:tcW w:type="dxa" w:w="3560"/>
            <w:tcMar>
              <w:top w:w="80" w:type="dxa"/>
              <w:start w:w="120" w:type="dxa"/>
              <w:bottom w:w="80" w:type="dxa"/>
              <w:end w:w="120" w:type="dxa"/>
            </w:tcMar>
            <w:vAlign w:val="center"/>
          </w:tcPr>
          <w:p>
            <w:pPr>
              <w:spacing w:after="0" w:line="252" w:lineRule="auto"/>
            </w:pPr>
            <w:r>
              <w:rPr>
                <w:rFonts w:ascii="Calibri" w:hAnsi="Calibri"/>
                <w:color w:val="334155"/>
                <w:sz w:val="17"/>
              </w:rPr>
              <w:t>partner_id dan visibility.</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color w:val="334155"/>
                <w:sz w:val="17"/>
              </w:rPr>
              <w:t>Audit</w:t>
            </w:r>
          </w:p>
        </w:tc>
        <w:tc>
          <w:tcPr>
            <w:tcW w:type="dxa" w:w="4100"/>
            <w:tcMar>
              <w:top w:w="80" w:type="dxa"/>
              <w:start w:w="120" w:type="dxa"/>
              <w:bottom w:w="80" w:type="dxa"/>
              <w:end w:w="120" w:type="dxa"/>
            </w:tcMar>
            <w:vAlign w:val="center"/>
          </w:tcPr>
          <w:p>
            <w:pPr>
              <w:spacing w:after="0" w:line="252" w:lineRule="auto"/>
            </w:pPr>
            <w:r>
              <w:rPr>
                <w:rFonts w:ascii="Calibri" w:hAnsi="Calibri"/>
                <w:color w:val="334155"/>
                <w:sz w:val="17"/>
              </w:rPr>
              <w:t>Reasoned privileged action.</w:t>
            </w:r>
          </w:p>
        </w:tc>
        <w:tc>
          <w:tcPr>
            <w:tcW w:type="dxa" w:w="3560"/>
            <w:tcMar>
              <w:top w:w="80" w:type="dxa"/>
              <w:start w:w="120" w:type="dxa"/>
              <w:bottom w:w="80" w:type="dxa"/>
              <w:end w:w="120" w:type="dxa"/>
            </w:tcMar>
            <w:vAlign w:val="center"/>
          </w:tcPr>
          <w:p>
            <w:pPr>
              <w:spacing w:after="0" w:line="252" w:lineRule="auto"/>
            </w:pPr>
            <w:r>
              <w:rPr>
                <w:rFonts w:ascii="Calibri" w:hAnsi="Calibri"/>
                <w:color w:val="334155"/>
                <w:sz w:val="17"/>
              </w:rPr>
              <w:t>Admin unmask payout beneficiary.</w:t>
            </w:r>
          </w:p>
        </w:tc>
      </w:tr>
    </w:tbl>
    <w:p>
      <w:pPr>
        <w:spacing w:after="40"/>
      </w:pPr>
    </w:p>
    <w:p>
      <w:pPr>
        <w:pStyle w:val="Heading2"/>
        <w:keepNext/>
      </w:pPr>
      <w:r>
        <w:rPr>
          <w:rFonts w:ascii="Calibri" w:hAnsi="Calibri"/>
          <w:b/>
          <w:color w:val="4F46E5"/>
          <w:sz w:val="26"/>
        </w:rPr>
        <w:t>18. Security dan privacy architecture</w:t>
      </w:r>
    </w:p>
    <w:p>
      <w:pPr>
        <w:spacing w:after="120" w:line="264" w:lineRule="auto"/>
      </w:pPr>
      <w:r>
        <w:rPr>
          <w:rFonts w:ascii="Calibri" w:hAnsi="Calibri"/>
          <w:i w:val="0"/>
          <w:color w:val="334155"/>
          <w:sz w:val="22"/>
        </w:rPr>
        <w:t>Target verifikasi disarankan OWASP ASVS Level 2 untuk aplikasi internet-facing dengan kontrol tambahan bagi payment, location, health-like data, dan admin. Security harus menjadi acceptance criterion, bukan hardening setelah fitur selesai.</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000"/>
        <w:gridCol w:w="7360"/>
      </w:tblGrid>
      <w:tr>
        <w:trPr>
          <w:tblHeader w:val="true"/>
          <w:cantSplit/>
        </w:trPr>
        <w:tc>
          <w:tcPr>
            <w:tcW w:type="dxa" w:w="20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6"/>
              </w:rPr>
              <w:t>Ancaman</w:t>
            </w:r>
          </w:p>
        </w:tc>
        <w:tc>
          <w:tcPr>
            <w:tcW w:type="dxa" w:w="73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6"/>
              </w:rPr>
              <w:t>Control wajib</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6"/>
              </w:rPr>
              <w:t>CORS</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6"/>
              </w:rPr>
              <w:t>Exact allowlist per environment; credentials hanya origin tepercaya; tanpa wildcard di production; preflight diuji.</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6"/>
              </w:rPr>
              <w:t>XSS</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6"/>
              </w:rPr>
              <w:t>React escaping, no unsafe HTML by default, sanitization bila rich text, CSP nonce, Trusted Types jika feasible, secure headers.</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6"/>
              </w:rPr>
              <w:t>CSRF</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6"/>
              </w:rPr>
              <w:t>SameSite cookie, anti-CSRF token, origin/referer checks pada unsafe request.</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6"/>
              </w:rPr>
              <w:t>SQL injection</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6"/>
              </w:rPr>
              <w:t>ORM/parameterized query, allowlisted sort/filter, no string-built SQL dari user/LLM.</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6"/>
              </w:rPr>
              <w:t>BOLA/IDOR</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6"/>
              </w:rPr>
              <w:t>Server-derived tenant/owner, resource policy, negative authorization tests.</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6"/>
              </w:rPr>
              <w:t>SSRF</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6"/>
              </w:rPr>
              <w:t>Allowlist outbound destinations, block private/link-local metadata IP, safe URL fetch service.</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6"/>
              </w:rPr>
              <w:t>File upload</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6"/>
              </w:rPr>
              <w:t>Signed private upload, size/type allowlist, magic-byte check, AV scan, image re-encode, metadata strip, random object key.</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6"/>
              </w:rPr>
              <w:t>Credential stuffing</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6"/>
              </w:rPr>
              <w:t>Rate limit, IP/device risk, breached password check, MFA, generic auth error.</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6"/>
              </w:rPr>
              <w:t>Webhook forgery</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6"/>
              </w:rPr>
              <w:t>Signature on raw body, timestamp window, event dedupe, secret rotation.</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6"/>
              </w:rPr>
              <w:t>Secrets</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6"/>
              </w:rPr>
              <w:t>Managed secret store, least privilege, rotation, no secret in frontend/log/repo.</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6"/>
              </w:rPr>
              <w:t>Data exfiltration</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6"/>
              </w:rPr>
              <w:t>Classification, encryption, masking, DLP/log redaction, scoped service accounts, egress controls.</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6"/>
              </w:rPr>
              <w:t>Supply chain</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6"/>
              </w:rPr>
              <w:t>Lockfiles, SCA, SBOM, signed build artifact, dependency update process.</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6"/>
              </w:rPr>
              <w:t>Admin abuse</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6"/>
              </w:rPr>
              <w:t>Least privilege, MFA, reason code, dual control, session recording/audit for critical action.</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6"/>
              </w:rPr>
              <w:t>AI prompt injection</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6"/>
              </w:rPr>
              <w:t>Untrusted context separation, tool allowlist, structured outputs, tenant filters, no direct secret/tool exposure.</w:t>
            </w:r>
          </w:p>
        </w:tc>
      </w:tr>
    </w:tbl>
    <w:p>
      <w:pPr>
        <w:spacing w:after="40"/>
      </w:pPr>
    </w:p>
    <w:p>
      <w:pPr>
        <w:pStyle w:val="Heading3"/>
        <w:keepNext/>
      </w:pPr>
      <w:r>
        <w:rPr>
          <w:rFonts w:ascii="Calibri" w:hAnsi="Calibri"/>
          <w:b/>
          <w:color w:val="172033"/>
          <w:sz w:val="24"/>
        </w:rPr>
        <w:t>18.1 Data protection lifecycle</w:t>
      </w:r>
    </w:p>
    <w:p>
      <w:pPr>
        <w:numPr>
          <w:ilvl w:val="0"/>
          <w:numId w:val="16"/>
        </w:numPr>
        <w:spacing w:after="160" w:line="280" w:lineRule="auto"/>
        <w:keepLines/>
      </w:pPr>
      <w:r>
        <w:rPr>
          <w:rFonts w:ascii="Calibri" w:hAnsi="Calibri"/>
          <w:color w:val="334155"/>
          <w:sz w:val="22"/>
        </w:rPr>
        <w:t>Collect: purpose, lawful basis/consent, minimum fields, age/eligibility rules.</w:t>
      </w:r>
    </w:p>
    <w:p>
      <w:pPr>
        <w:numPr>
          <w:ilvl w:val="0"/>
          <w:numId w:val="16"/>
        </w:numPr>
        <w:spacing w:after="160" w:line="280" w:lineRule="auto"/>
        <w:keepLines/>
      </w:pPr>
      <w:r>
        <w:rPr>
          <w:rFonts w:ascii="Calibri" w:hAnsi="Calibri"/>
          <w:color w:val="334155"/>
          <w:sz w:val="22"/>
        </w:rPr>
        <w:t>Store: TLS, encryption at rest, field-level encryption untuk beneficiary/health-like fields, separate keys, private buckets.</w:t>
      </w:r>
    </w:p>
    <w:p>
      <w:pPr>
        <w:numPr>
          <w:ilvl w:val="0"/>
          <w:numId w:val="16"/>
        </w:numPr>
        <w:spacing w:after="160" w:line="280" w:lineRule="auto"/>
        <w:keepLines/>
      </w:pPr>
      <w:r>
        <w:rPr>
          <w:rFonts w:ascii="Calibri" w:hAnsi="Calibri"/>
          <w:color w:val="334155"/>
          <w:sz w:val="22"/>
        </w:rPr>
        <w:t>Use: access by purpose, masking, audit, no production data in development.</w:t>
      </w:r>
    </w:p>
    <w:p>
      <w:pPr>
        <w:numPr>
          <w:ilvl w:val="0"/>
          <w:numId w:val="16"/>
        </w:numPr>
        <w:spacing w:after="160" w:line="280" w:lineRule="auto"/>
        <w:keepLines/>
      </w:pPr>
      <w:r>
        <w:rPr>
          <w:rFonts w:ascii="Calibri" w:hAnsi="Calibri"/>
          <w:color w:val="334155"/>
          <w:sz w:val="22"/>
        </w:rPr>
        <w:t>Share: processor inventory, DPA/contract, minimum payload, regional/legal transfer review.</w:t>
      </w:r>
    </w:p>
    <w:p>
      <w:pPr>
        <w:numPr>
          <w:ilvl w:val="0"/>
          <w:numId w:val="16"/>
        </w:numPr>
        <w:spacing w:after="160" w:line="280" w:lineRule="auto"/>
        <w:keepLines/>
      </w:pPr>
      <w:r>
        <w:rPr>
          <w:rFonts w:ascii="Calibri" w:hAnsi="Calibri"/>
          <w:color w:val="334155"/>
          <w:sz w:val="22"/>
        </w:rPr>
        <w:t>Retain: configurable policy by classification; raw AI photo dan location menggunakan retensi pendek.</w:t>
      </w:r>
    </w:p>
    <w:p>
      <w:pPr>
        <w:numPr>
          <w:ilvl w:val="0"/>
          <w:numId w:val="16"/>
        </w:numPr>
        <w:spacing w:after="160" w:line="280" w:lineRule="auto"/>
        <w:keepLines/>
      </w:pPr>
      <w:r>
        <w:rPr>
          <w:rFonts w:ascii="Calibri" w:hAnsi="Calibri"/>
          <w:color w:val="334155"/>
          <w:sz w:val="22"/>
        </w:rPr>
        <w:t>Delete: queued deletion/anonymization, backup lifecycle, legal hold handling, proof of completion.</w:t>
      </w:r>
    </w:p>
    <w:p>
      <w:pPr>
        <w:numPr>
          <w:ilvl w:val="0"/>
          <w:numId w:val="16"/>
        </w:numPr>
        <w:spacing w:after="160" w:line="280" w:lineRule="auto"/>
        <w:keepLines/>
      </w:pPr>
      <w:r>
        <w:rPr>
          <w:rFonts w:ascii="Calibri" w:hAnsi="Calibri"/>
          <w:color w:val="334155"/>
          <w:sz w:val="22"/>
        </w:rPr>
        <w:t>Respond: data subject access/correction/deletion/export workflow dan breach response runbook.</w:t>
      </w:r>
    </w:p>
    <w:p>
      <w:pPr>
        <w:pStyle w:val="Heading3"/>
        <w:keepNext/>
      </w:pPr>
      <w:r>
        <w:rPr>
          <w:rFonts w:ascii="Calibri" w:hAnsi="Calibri"/>
          <w:b/>
          <w:color w:val="172033"/>
          <w:sz w:val="24"/>
        </w:rPr>
        <w:t>18.2 Regulasi dan batas domain</w:t>
      </w:r>
    </w:p>
    <w:p>
      <w:pPr>
        <w:spacing w:after="120" w:line="264" w:lineRule="auto"/>
      </w:pPr>
      <w:r>
        <w:rPr>
          <w:rFonts w:ascii="Calibri" w:hAnsi="Calibri"/>
          <w:i w:val="0"/>
          <w:color w:val="334155"/>
          <w:sz w:val="22"/>
        </w:rPr>
        <w:t>Untuk operasi di Indonesia, desain harus ditinjau terhadap UU No. 27 Tahun 2022 tentang Pelindungan Data Pribadi, PP No. 71 Tahun 2019 tentang Penyelenggaraan Sistem dan Transaksi Elektronik, ketentuan PSE Lingkup Privat, perlindungan konsumen, perdagangan elektronik, pajak, serta aturan sektoral kesehatan/dental. Dokumen ini bukan pendapat hukum.</w:t>
      </w:r>
    </w:p>
    <w:tbl>
      <w:tblPr>
        <w:tblW w:type="dxa" w:w="9360"/>
        <w:jc w:val="left"/>
        <w:tblLayout w:type="fixed"/>
        <w:tblLook w:firstColumn="1" w:firstRow="1" w:lastColumn="0" w:lastRow="0" w:noHBand="0" w:noVBand="1" w:val="04A0"/>
        <w:tblInd w:w="120" w:type="dxa"/>
        <w:tblBorders>
          <w:top w:val="single" w:sz="8" w:space="0" w:color="FFF7ED"/>
          <w:left w:val="single" w:sz="8" w:space="0" w:color="FFF7ED"/>
          <w:bottom w:val="single" w:sz="8" w:space="0" w:color="FFF7ED"/>
          <w:right w:val="single" w:sz="8" w:space="0" w:color="FFF7ED"/>
          <w:insideH w:val="single" w:sz="8" w:space="0" w:color="FFF7ED"/>
          <w:insideV w:val="single" w:sz="8" w:space="0" w:color="FFF7ED"/>
        </w:tblBorders>
      </w:tblPr>
      <w:tblGrid>
        <w:gridCol w:w="9360"/>
      </w:tblGrid>
      <w:tr>
        <w:tc>
          <w:tcPr>
            <w:tcW w:type="dxa" w:w="9360"/>
            <w:tcMar>
              <w:top w:w="80" w:type="dxa"/>
              <w:start w:w="120" w:type="dxa"/>
              <w:bottom w:w="80" w:type="dxa"/>
              <w:end w:w="120" w:type="dxa"/>
            </w:tcMar>
            <w:vAlign w:val="center"/>
            <w:shd w:fill="FFF7ED"/>
          </w:tcPr>
          <w:p>
            <w:pPr>
              <w:spacing w:after="0" w:line="264" w:lineRule="auto"/>
            </w:pPr>
            <w:r>
              <w:rPr>
                <w:rFonts w:ascii="Calibri" w:hAnsi="Calibri"/>
                <w:b/>
                <w:color w:val="3730A3"/>
                <w:sz w:val="22"/>
              </w:rPr>
              <w:t xml:space="preserve">Keputusan sebelum pilot. </w:t>
            </w:r>
            <w:r>
              <w:rPr>
                <w:rFonts w:ascii="Calibri" w:hAnsi="Calibri"/>
                <w:color w:val="172033"/>
                <w:sz w:val="22"/>
              </w:rPr>
              <w:t>Definisikan kategori layanan yang diizinkan, persyaratan credential, SOP keselamatan, asuransi/tanggung jawab, adverse-event handling, batas klaim skincare, dan apakah platform hanya marketplace atau ikut menjadi penyedia layanan.</w:t>
            </w:r>
          </w:p>
        </w:tc>
      </w:tr>
    </w:tbl>
    <w:p>
      <w:pPr>
        <w:spacing w:after="40"/>
      </w:pPr>
    </w:p>
    <w:p>
      <w:pPr>
        <w:pStyle w:val="Heading2"/>
        <w:keepNext/>
      </w:pPr>
      <w:r>
        <w:rPr>
          <w:rFonts w:ascii="Calibri" w:hAnsi="Calibri"/>
          <w:b/>
          <w:color w:val="4F46E5"/>
          <w:sz w:val="26"/>
        </w:rPr>
        <w:t>19. AI system design</w:t>
      </w:r>
    </w:p>
    <w:p>
      <w:pPr>
        <w:pStyle w:val="Heading3"/>
        <w:keepNext/>
      </w:pPr>
      <w:r>
        <w:rPr>
          <w:rFonts w:ascii="Calibri" w:hAnsi="Calibri"/>
          <w:b/>
          <w:color w:val="172033"/>
          <w:sz w:val="24"/>
        </w:rPr>
        <w:t>19.1 Data plane</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900"/>
        <w:gridCol w:w="4400"/>
        <w:gridCol w:w="3060"/>
      </w:tblGrid>
      <w:tr>
        <w:trPr>
          <w:tblHeader w:val="true"/>
          <w:cantSplit/>
        </w:trPr>
        <w:tc>
          <w:tcPr>
            <w:tcW w:type="dxa" w:w="19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Store</w:t>
            </w:r>
          </w:p>
        </w:tc>
        <w:tc>
          <w:tcPr>
            <w:tcW w:type="dxa" w:w="44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Isi</w:t>
            </w:r>
          </w:p>
        </w:tc>
        <w:tc>
          <w:tcPr>
            <w:tcW w:type="dxa" w:w="30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Isolation / retention</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7"/>
              </w:rPr>
              <w:t>PostgreSQL</w:t>
            </w:r>
          </w:p>
        </w:tc>
        <w:tc>
          <w:tcPr>
            <w:tcW w:type="dxa" w:w="4400"/>
            <w:tcMar>
              <w:top w:w="80" w:type="dxa"/>
              <w:start w:w="120" w:type="dxa"/>
              <w:bottom w:w="80" w:type="dxa"/>
              <w:end w:w="120" w:type="dxa"/>
            </w:tcMar>
            <w:vAlign w:val="center"/>
          </w:tcPr>
          <w:p>
            <w:pPr>
              <w:spacing w:after="0" w:line="252" w:lineRule="auto"/>
            </w:pPr>
            <w:r>
              <w:rPr>
                <w:rFonts w:ascii="Calibri" w:hAnsi="Calibri"/>
                <w:color w:val="334155"/>
                <w:sz w:val="17"/>
              </w:rPr>
              <w:t>Catalog canonical, constraints, recommendation trace metadata, feedback, metrics.</w:t>
            </w:r>
          </w:p>
        </w:tc>
        <w:tc>
          <w:tcPr>
            <w:tcW w:type="dxa" w:w="3060"/>
            <w:tcMar>
              <w:top w:w="80" w:type="dxa"/>
              <w:start w:w="120" w:type="dxa"/>
              <w:bottom w:w="80" w:type="dxa"/>
              <w:end w:w="120" w:type="dxa"/>
            </w:tcMar>
            <w:vAlign w:val="center"/>
          </w:tcPr>
          <w:p>
            <w:pPr>
              <w:spacing w:after="0" w:line="252" w:lineRule="auto"/>
            </w:pPr>
            <w:r>
              <w:rPr>
                <w:rFonts w:ascii="Calibri" w:hAnsi="Calibri"/>
                <w:color w:val="334155"/>
                <w:sz w:val="17"/>
              </w:rPr>
              <w:t>RLS + tenant predicates; retention by class.</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7"/>
              </w:rPr>
              <w:t>Qdrant public catalog</w:t>
            </w:r>
          </w:p>
        </w:tc>
        <w:tc>
          <w:tcPr>
            <w:tcW w:type="dxa" w:w="4400"/>
            <w:tcMar>
              <w:top w:w="80" w:type="dxa"/>
              <w:start w:w="120" w:type="dxa"/>
              <w:bottom w:w="80" w:type="dxa"/>
              <w:end w:w="120" w:type="dxa"/>
            </w:tcMar>
            <w:vAlign w:val="center"/>
          </w:tcPr>
          <w:p>
            <w:pPr>
              <w:spacing w:after="0" w:line="252" w:lineRule="auto"/>
            </w:pPr>
            <w:r>
              <w:rPr>
                <w:rFonts w:ascii="Calibri" w:hAnsi="Calibri"/>
                <w:color w:val="334155"/>
                <w:sz w:val="17"/>
              </w:rPr>
              <w:t>Product/service embeddings + public metadata minimum.</w:t>
            </w:r>
          </w:p>
        </w:tc>
        <w:tc>
          <w:tcPr>
            <w:tcW w:type="dxa" w:w="3060"/>
            <w:tcMar>
              <w:top w:w="80" w:type="dxa"/>
              <w:start w:w="120" w:type="dxa"/>
              <w:bottom w:w="80" w:type="dxa"/>
              <w:end w:w="120" w:type="dxa"/>
            </w:tcMar>
            <w:vAlign w:val="center"/>
          </w:tcPr>
          <w:p>
            <w:pPr>
              <w:spacing w:after="0" w:line="252" w:lineRule="auto"/>
            </w:pPr>
            <w:r>
              <w:rPr>
                <w:rFonts w:ascii="Calibri" w:hAnsi="Calibri"/>
                <w:color w:val="334155"/>
                <w:sz w:val="17"/>
              </w:rPr>
              <w:t>Visibility filters; no raw PII.</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7"/>
              </w:rPr>
              <w:t>Qdrant partner knowledge</w:t>
            </w:r>
          </w:p>
        </w:tc>
        <w:tc>
          <w:tcPr>
            <w:tcW w:type="dxa" w:w="4400"/>
            <w:tcMar>
              <w:top w:w="80" w:type="dxa"/>
              <w:start w:w="120" w:type="dxa"/>
              <w:bottom w:w="80" w:type="dxa"/>
              <w:end w:w="120" w:type="dxa"/>
            </w:tcMar>
            <w:vAlign w:val="center"/>
          </w:tcPr>
          <w:p>
            <w:pPr>
              <w:spacing w:after="0" w:line="252" w:lineRule="auto"/>
            </w:pPr>
            <w:r>
              <w:rPr>
                <w:rFonts w:ascii="Calibri" w:hAnsi="Calibri"/>
                <w:color w:val="334155"/>
                <w:sz w:val="17"/>
              </w:rPr>
              <w:t>Playbooks atau approved partner documents.</w:t>
            </w:r>
          </w:p>
        </w:tc>
        <w:tc>
          <w:tcPr>
            <w:tcW w:type="dxa" w:w="3060"/>
            <w:tcMar>
              <w:top w:w="80" w:type="dxa"/>
              <w:start w:w="120" w:type="dxa"/>
              <w:bottom w:w="80" w:type="dxa"/>
              <w:end w:w="120" w:type="dxa"/>
            </w:tcMar>
            <w:vAlign w:val="center"/>
          </w:tcPr>
          <w:p>
            <w:pPr>
              <w:spacing w:after="0" w:line="252" w:lineRule="auto"/>
            </w:pPr>
            <w:r>
              <w:rPr>
                <w:rFonts w:ascii="Calibri" w:hAnsi="Calibri"/>
                <w:color w:val="334155"/>
                <w:sz w:val="17"/>
              </w:rPr>
              <w:t>partner_id payload index; strict filter; dapat dipisah dari public.</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7"/>
              </w:rPr>
              <w:t>Object storage</w:t>
            </w:r>
          </w:p>
        </w:tc>
        <w:tc>
          <w:tcPr>
            <w:tcW w:type="dxa" w:w="4400"/>
            <w:tcMar>
              <w:top w:w="80" w:type="dxa"/>
              <w:start w:w="120" w:type="dxa"/>
              <w:bottom w:w="80" w:type="dxa"/>
              <w:end w:w="120" w:type="dxa"/>
            </w:tcMar>
            <w:vAlign w:val="center"/>
          </w:tcPr>
          <w:p>
            <w:pPr>
              <w:spacing w:after="0" w:line="252" w:lineRule="auto"/>
            </w:pPr>
            <w:r>
              <w:rPr>
                <w:rFonts w:ascii="Calibri" w:hAnsi="Calibri"/>
                <w:color w:val="334155"/>
                <w:sz w:val="17"/>
              </w:rPr>
              <w:t>Temporary customer photo, product media, private verification documents.</w:t>
            </w:r>
          </w:p>
        </w:tc>
        <w:tc>
          <w:tcPr>
            <w:tcW w:type="dxa" w:w="3060"/>
            <w:tcMar>
              <w:top w:w="80" w:type="dxa"/>
              <w:start w:w="120" w:type="dxa"/>
              <w:bottom w:w="80" w:type="dxa"/>
              <w:end w:w="120" w:type="dxa"/>
            </w:tcMar>
            <w:vAlign w:val="center"/>
          </w:tcPr>
          <w:p>
            <w:pPr>
              <w:spacing w:after="0" w:line="252" w:lineRule="auto"/>
            </w:pPr>
            <w:r>
              <w:rPr>
                <w:rFonts w:ascii="Calibri" w:hAnsi="Calibri"/>
                <w:color w:val="334155"/>
                <w:sz w:val="17"/>
              </w:rPr>
              <w:t>Private; signed URL; quarantine; TTL; malware scan.</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7"/>
              </w:rPr>
              <w:t>Redis</w:t>
            </w:r>
          </w:p>
        </w:tc>
        <w:tc>
          <w:tcPr>
            <w:tcW w:type="dxa" w:w="4400"/>
            <w:tcMar>
              <w:top w:w="80" w:type="dxa"/>
              <w:start w:w="120" w:type="dxa"/>
              <w:bottom w:w="80" w:type="dxa"/>
              <w:end w:w="120" w:type="dxa"/>
            </w:tcMar>
            <w:vAlign w:val="center"/>
          </w:tcPr>
          <w:p>
            <w:pPr>
              <w:spacing w:after="0" w:line="252" w:lineRule="auto"/>
            </w:pPr>
            <w:r>
              <w:rPr>
                <w:rFonts w:ascii="Calibri" w:hAnsi="Calibri"/>
                <w:color w:val="334155"/>
                <w:sz w:val="17"/>
              </w:rPr>
              <w:t>Short-lived conversation/cache/locks.</w:t>
            </w:r>
          </w:p>
        </w:tc>
        <w:tc>
          <w:tcPr>
            <w:tcW w:type="dxa" w:w="3060"/>
            <w:tcMar>
              <w:top w:w="80" w:type="dxa"/>
              <w:start w:w="120" w:type="dxa"/>
              <w:bottom w:w="80" w:type="dxa"/>
              <w:end w:w="120" w:type="dxa"/>
            </w:tcMar>
            <w:vAlign w:val="center"/>
          </w:tcPr>
          <w:p>
            <w:pPr>
              <w:spacing w:after="0" w:line="252" w:lineRule="auto"/>
            </w:pPr>
            <w:r>
              <w:rPr>
                <w:rFonts w:ascii="Calibri" w:hAnsi="Calibri"/>
                <w:color w:val="334155"/>
                <w:sz w:val="17"/>
              </w:rPr>
              <w:t>Namespaced keys; TTL; no durable sensitive history.</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334155"/>
                <w:sz w:val="17"/>
              </w:rPr>
              <w:t>Analytics views</w:t>
            </w:r>
          </w:p>
        </w:tc>
        <w:tc>
          <w:tcPr>
            <w:tcW w:type="dxa" w:w="4400"/>
            <w:tcMar>
              <w:top w:w="80" w:type="dxa"/>
              <w:start w:w="120" w:type="dxa"/>
              <w:bottom w:w="80" w:type="dxa"/>
              <w:end w:w="120" w:type="dxa"/>
            </w:tcMar>
            <w:vAlign w:val="center"/>
          </w:tcPr>
          <w:p>
            <w:pPr>
              <w:spacing w:after="0" w:line="252" w:lineRule="auto"/>
            </w:pPr>
            <w:r>
              <w:rPr>
                <w:rFonts w:ascii="Calibri" w:hAnsi="Calibri"/>
                <w:color w:val="334155"/>
                <w:sz w:val="17"/>
              </w:rPr>
              <w:t>Trusted aggregated metrics.</w:t>
            </w:r>
          </w:p>
        </w:tc>
        <w:tc>
          <w:tcPr>
            <w:tcW w:type="dxa" w:w="3060"/>
            <w:tcMar>
              <w:top w:w="80" w:type="dxa"/>
              <w:start w:w="120" w:type="dxa"/>
              <w:bottom w:w="80" w:type="dxa"/>
              <w:end w:w="120" w:type="dxa"/>
            </w:tcMar>
            <w:vAlign w:val="center"/>
          </w:tcPr>
          <w:p>
            <w:pPr>
              <w:spacing w:after="0" w:line="252" w:lineRule="auto"/>
            </w:pPr>
            <w:r>
              <w:rPr>
                <w:rFonts w:ascii="Calibri" w:hAnsi="Calibri"/>
                <w:color w:val="334155"/>
                <w:sz w:val="17"/>
              </w:rPr>
              <w:t>Partner scoped; period and source version stored.</w:t>
            </w:r>
          </w:p>
        </w:tc>
      </w:tr>
    </w:tbl>
    <w:p>
      <w:pPr>
        <w:spacing w:after="40"/>
      </w:pPr>
    </w:p>
    <w:p>
      <w:pPr>
        <w:pStyle w:val="Heading3"/>
        <w:keepNext/>
      </w:pPr>
      <w:r>
        <w:rPr>
          <w:rFonts w:ascii="Calibri" w:hAnsi="Calibri"/>
          <w:b/>
          <w:color w:val="172033"/>
          <w:sz w:val="24"/>
        </w:rPr>
        <w:t>19.2 Customer recommendation algorithm — baseline</w:t>
      </w:r>
    </w:p>
    <w:p>
      <w:pPr>
        <w:numPr>
          <w:ilvl w:val="0"/>
          <w:numId w:val="17"/>
        </w:numPr>
        <w:spacing w:after="160" w:line="280" w:lineRule="auto"/>
        <w:keepLines/>
      </w:pPr>
      <w:r>
        <w:rPr>
          <w:rFonts w:ascii="Calibri" w:hAnsi="Calibri"/>
          <w:color w:val="334155"/>
          <w:sz w:val="22"/>
        </w:rPr>
        <w:t>Normalize constraints: category, concern, allergy, ingredient avoidance, skin/hair preference, location, budget, time.</w:t>
      </w:r>
    </w:p>
    <w:p>
      <w:pPr>
        <w:numPr>
          <w:ilvl w:val="0"/>
          <w:numId w:val="17"/>
        </w:numPr>
        <w:spacing w:after="160" w:line="280" w:lineRule="auto"/>
        <w:keepLines/>
      </w:pPr>
      <w:r>
        <w:rPr>
          <w:rFonts w:ascii="Calibri" w:hAnsi="Calibri"/>
          <w:color w:val="334155"/>
          <w:sz w:val="22"/>
        </w:rPr>
        <w:t>Run safety triage and input moderation; stop or escalate on red flags.</w:t>
      </w:r>
    </w:p>
    <w:p>
      <w:pPr>
        <w:numPr>
          <w:ilvl w:val="0"/>
          <w:numId w:val="17"/>
        </w:numPr>
        <w:spacing w:after="160" w:line="280" w:lineRule="auto"/>
        <w:keepLines/>
      </w:pPr>
      <w:r>
        <w:rPr>
          <w:rFonts w:ascii="Calibri" w:hAnsi="Calibri"/>
          <w:color w:val="334155"/>
          <w:sz w:val="22"/>
        </w:rPr>
        <w:t>If photo exists, extract bounded attributes with confidence and discard unsupported conclusions.</w:t>
      </w:r>
    </w:p>
    <w:p>
      <w:pPr>
        <w:numPr>
          <w:ilvl w:val="0"/>
          <w:numId w:val="17"/>
        </w:numPr>
        <w:spacing w:after="160" w:line="280" w:lineRule="auto"/>
        <w:keepLines/>
      </w:pPr>
      <w:r>
        <w:rPr>
          <w:rFonts w:ascii="Calibri" w:hAnsi="Calibri"/>
          <w:color w:val="334155"/>
          <w:sz w:val="22"/>
        </w:rPr>
        <w:t>Generate query embedding and retrieve top-N semantic candidates from eligible catalog.</w:t>
      </w:r>
    </w:p>
    <w:p>
      <w:pPr>
        <w:numPr>
          <w:ilvl w:val="0"/>
          <w:numId w:val="17"/>
        </w:numPr>
        <w:spacing w:after="160" w:line="280" w:lineRule="auto"/>
        <w:keepLines/>
      </w:pPr>
      <w:r>
        <w:rPr>
          <w:rFonts w:ascii="Calibri" w:hAnsi="Calibri"/>
          <w:color w:val="334155"/>
          <w:sz w:val="22"/>
        </w:rPr>
        <w:t>Fetch canonical candidate records from PostgreSQL; filter inactive, out-of-stock, out-of-area, over-budget, unverified, unsafe, or conflicting items.</w:t>
      </w:r>
    </w:p>
    <w:p>
      <w:pPr>
        <w:numPr>
          <w:ilvl w:val="0"/>
          <w:numId w:val="17"/>
        </w:numPr>
        <w:spacing w:after="160" w:line="280" w:lineRule="auto"/>
        <w:keepLines/>
      </w:pPr>
      <w:r>
        <w:rPr>
          <w:rFonts w:ascii="Calibri" w:hAnsi="Calibri"/>
          <w:color w:val="334155"/>
          <w:sz w:val="22"/>
        </w:rPr>
        <w:t>Rank with explainable weighted score: relevance, constraint match, quality, availability, price fit, partner trust, and diversification.</w:t>
      </w:r>
    </w:p>
    <w:p>
      <w:pPr>
        <w:numPr>
          <w:ilvl w:val="0"/>
          <w:numId w:val="17"/>
        </w:numPr>
        <w:spacing w:after="160" w:line="280" w:lineRule="auto"/>
        <w:keepLines/>
      </w:pPr>
      <w:r>
        <w:rPr>
          <w:rFonts w:ascii="Calibri" w:hAnsi="Calibri"/>
          <w:color w:val="334155"/>
          <w:sz w:val="22"/>
        </w:rPr>
        <w:t>LLM generates a structured explanation only from validated fields; API validates schema and IDs again.</w:t>
      </w:r>
    </w:p>
    <w:p>
      <w:pPr>
        <w:numPr>
          <w:ilvl w:val="0"/>
          <w:numId w:val="17"/>
        </w:numPr>
        <w:spacing w:after="160" w:line="280" w:lineRule="auto"/>
        <w:keepLines/>
      </w:pPr>
      <w:r>
        <w:rPr>
          <w:rFonts w:ascii="Calibri" w:hAnsi="Calibri"/>
          <w:color w:val="334155"/>
          <w:sz w:val="22"/>
        </w:rPr>
        <w:t>Log trace metadata and collect feedback; do not train on private data by default.</w:t>
      </w:r>
    </w:p>
    <w:p>
      <w:pPr>
        <w:pStyle w:val="Heading3"/>
        <w:keepNext/>
      </w:pPr>
      <w:r>
        <w:rPr>
          <w:rFonts w:ascii="Calibri" w:hAnsi="Calibri"/>
          <w:b/>
          <w:color w:val="172033"/>
          <w:sz w:val="24"/>
        </w:rPr>
        <w:t>19.3 Partner insight algorithm — baseline</w:t>
      </w:r>
    </w:p>
    <w:p>
      <w:pPr>
        <w:numPr>
          <w:ilvl w:val="0"/>
          <w:numId w:val="18"/>
        </w:numPr>
        <w:spacing w:after="160" w:line="280" w:lineRule="auto"/>
        <w:keepLines/>
      </w:pPr>
      <w:r>
        <w:rPr>
          <w:rFonts w:ascii="Calibri" w:hAnsi="Calibri"/>
          <w:color w:val="334155"/>
          <w:sz w:val="22"/>
        </w:rPr>
        <w:t>Scheduled job builds partner-period metric snapshot from SQL views.</w:t>
      </w:r>
    </w:p>
    <w:p>
      <w:pPr>
        <w:numPr>
          <w:ilvl w:val="0"/>
          <w:numId w:val="18"/>
        </w:numPr>
        <w:spacing w:after="160" w:line="280" w:lineRule="auto"/>
        <w:keepLines/>
      </w:pPr>
      <w:r>
        <w:rPr>
          <w:rFonts w:ascii="Calibri" w:hAnsi="Calibri"/>
          <w:color w:val="334155"/>
          <w:sz w:val="22"/>
        </w:rPr>
        <w:t>Rules detect anomalies: revenue drop, stockout, cancel spike, low conversion, underutilized slots, concentration risk.</w:t>
      </w:r>
    </w:p>
    <w:p>
      <w:pPr>
        <w:numPr>
          <w:ilvl w:val="0"/>
          <w:numId w:val="18"/>
        </w:numPr>
        <w:spacing w:after="160" w:line="280" w:lineRule="auto"/>
        <w:keepLines/>
      </w:pPr>
      <w:r>
        <w:rPr>
          <w:rFonts w:ascii="Calibri" w:hAnsi="Calibri"/>
          <w:color w:val="334155"/>
          <w:sz w:val="22"/>
        </w:rPr>
        <w:t>Retriever adds approved growth playbook snippets relevant to the detected pattern.</w:t>
      </w:r>
    </w:p>
    <w:p>
      <w:pPr>
        <w:numPr>
          <w:ilvl w:val="0"/>
          <w:numId w:val="18"/>
        </w:numPr>
        <w:spacing w:after="160" w:line="280" w:lineRule="auto"/>
        <w:keepLines/>
      </w:pPr>
      <w:r>
        <w:rPr>
          <w:rFonts w:ascii="Calibri" w:hAnsi="Calibri"/>
          <w:color w:val="334155"/>
          <w:sz w:val="22"/>
        </w:rPr>
        <w:t>LLM receives metric JSON, definitions, period, allowed recommendations, and evidence; no direct SQL credential.</w:t>
      </w:r>
    </w:p>
    <w:p>
      <w:pPr>
        <w:numPr>
          <w:ilvl w:val="0"/>
          <w:numId w:val="18"/>
        </w:numPr>
        <w:spacing w:after="160" w:line="280" w:lineRule="auto"/>
        <w:keepLines/>
      </w:pPr>
      <w:r>
        <w:rPr>
          <w:rFonts w:ascii="Calibri" w:hAnsi="Calibri"/>
          <w:color w:val="334155"/>
          <w:sz w:val="22"/>
        </w:rPr>
        <w:t>Response schema contains summary, facts, opportunities, actions, confidence, evidence keys, and caveats.</w:t>
      </w:r>
    </w:p>
    <w:p>
      <w:pPr>
        <w:numPr>
          <w:ilvl w:val="0"/>
          <w:numId w:val="18"/>
        </w:numPr>
        <w:spacing w:after="160" w:line="280" w:lineRule="auto"/>
        <w:keepLines/>
      </w:pPr>
      <w:r>
        <w:rPr>
          <w:rFonts w:ascii="Calibri" w:hAnsi="Calibri"/>
          <w:color w:val="334155"/>
          <w:sz w:val="22"/>
        </w:rPr>
        <w:t>Backend verifies every numeric claim and removes unsupported statements.</w:t>
      </w:r>
    </w:p>
    <w:p>
      <w:pPr>
        <w:numPr>
          <w:ilvl w:val="0"/>
          <w:numId w:val="18"/>
        </w:numPr>
        <w:spacing w:after="160" w:line="280" w:lineRule="auto"/>
        <w:keepLines/>
      </w:pPr>
      <w:r>
        <w:rPr>
          <w:rFonts w:ascii="Calibri" w:hAnsi="Calibri"/>
          <w:color w:val="334155"/>
          <w:sz w:val="22"/>
        </w:rPr>
        <w:t>Partner can mark helpful/not helpful, dismiss, or create a draft action requiring confirmation.</w:t>
      </w:r>
    </w:p>
    <w:p>
      <w:pPr>
        <w:pStyle w:val="Heading3"/>
        <w:keepNext/>
      </w:pPr>
      <w:r>
        <w:rPr>
          <w:rFonts w:ascii="Calibri" w:hAnsi="Calibri"/>
          <w:b/>
          <w:color w:val="172033"/>
          <w:sz w:val="24"/>
        </w:rPr>
        <w:t>19.4 Model/provider abstraction</w:t>
      </w:r>
    </w:p>
    <w:p>
      <w:pPr>
        <w:numPr>
          <w:ilvl w:val="0"/>
          <w:numId w:val="10"/>
        </w:numPr>
        <w:spacing w:after="160" w:line="280" w:lineRule="auto"/>
        <w:keepLines/>
      </w:pPr>
      <w:r>
        <w:rPr>
          <w:rFonts w:ascii="Calibri" w:hAnsi="Calibri"/>
          <w:color w:val="334155"/>
          <w:sz w:val="22"/>
        </w:rPr>
        <w:t>Define interfaces: vision_analyzer, embedding_provider, generation_provider, moderation_provider.</w:t>
      </w:r>
    </w:p>
    <w:p>
      <w:pPr>
        <w:numPr>
          <w:ilvl w:val="0"/>
          <w:numId w:val="10"/>
        </w:numPr>
        <w:spacing w:after="160" w:line="280" w:lineRule="auto"/>
        <w:keepLines/>
      </w:pPr>
      <w:r>
        <w:rPr>
          <w:rFonts w:ascii="Calibri" w:hAnsi="Calibri"/>
          <w:color w:val="334155"/>
          <w:sz w:val="22"/>
        </w:rPr>
        <w:t>Model configuration is versioned and environment-specific; secrets remain server-side.</w:t>
      </w:r>
    </w:p>
    <w:p>
      <w:pPr>
        <w:numPr>
          <w:ilvl w:val="0"/>
          <w:numId w:val="10"/>
        </w:numPr>
        <w:spacing w:after="160" w:line="280" w:lineRule="auto"/>
        <w:keepLines/>
      </w:pPr>
      <w:r>
        <w:rPr>
          <w:rFonts w:ascii="Calibri" w:hAnsi="Calibri"/>
          <w:color w:val="334155"/>
          <w:sz w:val="22"/>
        </w:rPr>
        <w:t>Fallback path returns deterministic catalog filters or analytics summary when model unavailable.</w:t>
      </w:r>
    </w:p>
    <w:p>
      <w:pPr>
        <w:numPr>
          <w:ilvl w:val="0"/>
          <w:numId w:val="10"/>
        </w:numPr>
        <w:spacing w:after="160" w:line="280" w:lineRule="auto"/>
        <w:keepLines/>
      </w:pPr>
      <w:r>
        <w:rPr>
          <w:rFonts w:ascii="Calibri" w:hAnsi="Calibri"/>
          <w:color w:val="334155"/>
          <w:sz w:val="22"/>
        </w:rPr>
        <w:t>Budget controls: token cap, image size cap, cache, timeout, retry policy, circuit breaker, per-user quota.</w:t>
      </w:r>
    </w:p>
    <w:p>
      <w:pPr>
        <w:numPr>
          <w:ilvl w:val="0"/>
          <w:numId w:val="10"/>
        </w:numPr>
        <w:spacing w:after="160" w:line="280" w:lineRule="auto"/>
        <w:keepLines/>
      </w:pPr>
      <w:r>
        <w:rPr>
          <w:rFonts w:ascii="Calibri" w:hAnsi="Calibri"/>
          <w:color w:val="334155"/>
          <w:sz w:val="22"/>
        </w:rPr>
        <w:t>Provider request excludes unnecessary PII; contractual data use and retention must be reviewed.</w:t>
      </w:r>
    </w:p>
    <w:p>
      <w:pPr>
        <w:pStyle w:val="Heading2"/>
        <w:keepNext/>
      </w:pPr>
      <w:r>
        <w:rPr>
          <w:rFonts w:ascii="Calibri" w:hAnsi="Calibri"/>
          <w:b/>
          <w:color w:val="4F46E5"/>
          <w:sz w:val="26"/>
        </w:rPr>
        <w:t>20. Frontend architecture dan optimasi</w:t>
      </w:r>
    </w:p>
    <w:p>
      <w:pPr>
        <w:spacing w:after="120" w:line="264" w:lineRule="auto"/>
      </w:pPr>
      <w:r>
        <w:rPr>
          <w:rFonts w:ascii="Calibri" w:hAnsi="Calibri"/>
          <w:i w:val="0"/>
          <w:color w:val="334155"/>
          <w:sz w:val="22"/>
        </w:rPr>
        <w:t>Optimasi React harus berbasis pengukuran. useMemo bukan cache data dan tidak boleh dipasang di semua komponen; gunakan hanya untuk komputasi mahal atau menjaga referential equality yang memang memengaruhi render child.</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000"/>
        <w:gridCol w:w="7360"/>
      </w:tblGrid>
      <w:tr>
        <w:trPr>
          <w:tblHeader w:val="true"/>
          <w:cantSplit/>
        </w:trPr>
        <w:tc>
          <w:tcPr>
            <w:tcW w:type="dxa" w:w="20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Area</w:t>
            </w:r>
          </w:p>
        </w:tc>
        <w:tc>
          <w:tcPr>
            <w:tcW w:type="dxa" w:w="73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Baseline</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7"/>
              </w:rPr>
              <w:t>Rendering</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7"/>
              </w:rPr>
              <w:t>Server Components untuk content/catalog; Client Components hanya untuk interaksi.</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7"/>
              </w:rPr>
              <w:t>Data fetching</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7"/>
              </w:rPr>
              <w:t>Server fetch untuk SEO pages; query cache client untuk dashboard/interaksi; request dedupe.</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7"/>
              </w:rPr>
              <w:t>Search</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7"/>
              </w:rPr>
              <w:t>Debounce 300–500 ms, abort request lama, minimum query length, server-side filtering.</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7"/>
              </w:rPr>
              <w:t>Memoization</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7"/>
              </w:rPr>
              <w:t>useMemo/useCallback hanya setelah profiling; stable props; React.memo untuk expensive leaf.</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7"/>
              </w:rPr>
              <w:t>Tables</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7"/>
              </w:rPr>
              <w:t>Server pagination/sort/filter; virtualization untuk row besar; column visibility; skeleton.</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7"/>
              </w:rPr>
              <w:t>Images</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7"/>
              </w:rPr>
              <w:t>Next Image, responsive sizes, modern formats, CDN, lazy loading, blur placeholder.</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7"/>
              </w:rPr>
              <w:t>Bundles</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7"/>
              </w:rPr>
              <w:t>Route-level code splitting, dynamic import heavy widgets/maps, bundle budget.</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7"/>
              </w:rPr>
              <w:t>Forms</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7"/>
              </w:rPr>
              <w:t>Schema validation client + server; optimistic UI hanya untuk reversible action.</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7"/>
              </w:rPr>
              <w:t>Accessibility</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7"/>
              </w:rPr>
              <w:t>Keyboard, focus management, semantic forms, contrast, reduced motion, screen-reader status.</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334155"/>
                <w:sz w:val="17"/>
              </w:rPr>
              <w:t>Resilience</w:t>
            </w:r>
          </w:p>
        </w:tc>
        <w:tc>
          <w:tcPr>
            <w:tcW w:type="dxa" w:w="7360"/>
            <w:tcMar>
              <w:top w:w="80" w:type="dxa"/>
              <w:start w:w="120" w:type="dxa"/>
              <w:bottom w:w="80" w:type="dxa"/>
              <w:end w:w="120" w:type="dxa"/>
            </w:tcMar>
            <w:vAlign w:val="center"/>
          </w:tcPr>
          <w:p>
            <w:pPr>
              <w:spacing w:after="0" w:line="252" w:lineRule="auto"/>
            </w:pPr>
            <w:r>
              <w:rPr>
                <w:rFonts w:ascii="Calibri" w:hAnsi="Calibri"/>
                <w:color w:val="334155"/>
                <w:sz w:val="17"/>
              </w:rPr>
              <w:t>Error boundaries, retry policy, offline/poor-network messaging, no duplicated submit.</w:t>
            </w:r>
          </w:p>
        </w:tc>
      </w:tr>
    </w:tbl>
    <w:p>
      <w:pPr>
        <w:spacing w:after="40"/>
      </w:pPr>
    </w:p>
    <w:p>
      <w:pPr>
        <w:pStyle w:val="Heading3"/>
        <w:keepNext/>
      </w:pPr>
      <w:r>
        <w:rPr>
          <w:rFonts w:ascii="Calibri" w:hAnsi="Calibri"/>
          <w:b/>
          <w:color w:val="172033"/>
          <w:sz w:val="24"/>
        </w:rPr>
        <w:t>20.1 Cache policy</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400"/>
        <w:gridCol w:w="3000"/>
        <w:gridCol w:w="3960"/>
      </w:tblGrid>
      <w:tr>
        <w:trPr>
          <w:tblHeader w:val="true"/>
          <w:cantSplit/>
        </w:trPr>
        <w:tc>
          <w:tcPr>
            <w:tcW w:type="dxa" w:w="24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Data</w:t>
            </w:r>
          </w:p>
        </w:tc>
        <w:tc>
          <w:tcPr>
            <w:tcW w:type="dxa" w:w="30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Cache</w:t>
            </w:r>
          </w:p>
        </w:tc>
        <w:tc>
          <w:tcPr>
            <w:tcW w:type="dxa" w:w="39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Invalidation</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color w:val="334155"/>
                <w:sz w:val="17"/>
              </w:rPr>
              <w:t>Public categories/brands</w:t>
            </w:r>
          </w:p>
        </w:tc>
        <w:tc>
          <w:tcPr>
            <w:tcW w:type="dxa" w:w="3000"/>
            <w:tcMar>
              <w:top w:w="80" w:type="dxa"/>
              <w:start w:w="120" w:type="dxa"/>
              <w:bottom w:w="80" w:type="dxa"/>
              <w:end w:w="120" w:type="dxa"/>
            </w:tcMar>
            <w:vAlign w:val="center"/>
          </w:tcPr>
          <w:p>
            <w:pPr>
              <w:spacing w:after="0" w:line="252" w:lineRule="auto"/>
            </w:pPr>
            <w:r>
              <w:rPr>
                <w:rFonts w:ascii="Calibri" w:hAnsi="Calibri"/>
                <w:color w:val="334155"/>
                <w:sz w:val="17"/>
              </w:rPr>
              <w:t>CDN/Next cache menit–jam.</w:t>
            </w:r>
          </w:p>
        </w:tc>
        <w:tc>
          <w:tcPr>
            <w:tcW w:type="dxa" w:w="3960"/>
            <w:tcMar>
              <w:top w:w="80" w:type="dxa"/>
              <w:start w:w="120" w:type="dxa"/>
              <w:bottom w:w="80" w:type="dxa"/>
              <w:end w:w="120" w:type="dxa"/>
            </w:tcMar>
            <w:vAlign w:val="center"/>
          </w:tcPr>
          <w:p>
            <w:pPr>
              <w:spacing w:after="0" w:line="252" w:lineRule="auto"/>
            </w:pPr>
            <w:r>
              <w:rPr>
                <w:rFonts w:ascii="Calibri" w:hAnsi="Calibri"/>
                <w:color w:val="334155"/>
                <w:sz w:val="17"/>
              </w:rPr>
              <w:t>Admin publish event or tag revalidation.</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color w:val="334155"/>
                <w:sz w:val="17"/>
              </w:rPr>
              <w:t>Product detail</w:t>
            </w:r>
          </w:p>
        </w:tc>
        <w:tc>
          <w:tcPr>
            <w:tcW w:type="dxa" w:w="3000"/>
            <w:tcMar>
              <w:top w:w="80" w:type="dxa"/>
              <w:start w:w="120" w:type="dxa"/>
              <w:bottom w:w="80" w:type="dxa"/>
              <w:end w:w="120" w:type="dxa"/>
            </w:tcMar>
            <w:vAlign w:val="center"/>
          </w:tcPr>
          <w:p>
            <w:pPr>
              <w:spacing w:after="0" w:line="252" w:lineRule="auto"/>
            </w:pPr>
            <w:r>
              <w:rPr>
                <w:rFonts w:ascii="Calibri" w:hAnsi="Calibri"/>
                <w:color w:val="334155"/>
                <w:sz w:val="17"/>
              </w:rPr>
              <w:t>Short CDN cache + stale-while-revalidate.</w:t>
            </w:r>
          </w:p>
        </w:tc>
        <w:tc>
          <w:tcPr>
            <w:tcW w:type="dxa" w:w="3960"/>
            <w:tcMar>
              <w:top w:w="80" w:type="dxa"/>
              <w:start w:w="120" w:type="dxa"/>
              <w:bottom w:w="80" w:type="dxa"/>
              <w:end w:w="120" w:type="dxa"/>
            </w:tcMar>
            <w:vAlign w:val="center"/>
          </w:tcPr>
          <w:p>
            <w:pPr>
              <w:spacing w:after="0" w:line="252" w:lineRule="auto"/>
            </w:pPr>
            <w:r>
              <w:rPr>
                <w:rFonts w:ascii="Calibri" w:hAnsi="Calibri"/>
                <w:color w:val="334155"/>
                <w:sz w:val="17"/>
              </w:rPr>
              <w:t>Price/stock/listing event.</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color w:val="334155"/>
                <w:sz w:val="17"/>
              </w:rPr>
              <w:t>Stock/slot</w:t>
            </w:r>
          </w:p>
        </w:tc>
        <w:tc>
          <w:tcPr>
            <w:tcW w:type="dxa" w:w="3000"/>
            <w:tcMar>
              <w:top w:w="80" w:type="dxa"/>
              <w:start w:w="120" w:type="dxa"/>
              <w:bottom w:w="80" w:type="dxa"/>
              <w:end w:w="120" w:type="dxa"/>
            </w:tcMar>
            <w:vAlign w:val="center"/>
          </w:tcPr>
          <w:p>
            <w:pPr>
              <w:spacing w:after="0" w:line="252" w:lineRule="auto"/>
            </w:pPr>
            <w:r>
              <w:rPr>
                <w:rFonts w:ascii="Calibri" w:hAnsi="Calibri"/>
                <w:color w:val="334155"/>
                <w:sz w:val="17"/>
              </w:rPr>
              <w:t>Very short or no shared cache.</w:t>
            </w:r>
          </w:p>
        </w:tc>
        <w:tc>
          <w:tcPr>
            <w:tcW w:type="dxa" w:w="3960"/>
            <w:tcMar>
              <w:top w:w="80" w:type="dxa"/>
              <w:start w:w="120" w:type="dxa"/>
              <w:bottom w:w="80" w:type="dxa"/>
              <w:end w:w="120" w:type="dxa"/>
            </w:tcMar>
            <w:vAlign w:val="center"/>
          </w:tcPr>
          <w:p>
            <w:pPr>
              <w:spacing w:after="0" w:line="252" w:lineRule="auto"/>
            </w:pPr>
            <w:r>
              <w:rPr>
                <w:rFonts w:ascii="Calibri" w:hAnsi="Calibri"/>
                <w:color w:val="334155"/>
                <w:sz w:val="17"/>
              </w:rPr>
              <w:t>Reservation and update event.</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color w:val="334155"/>
                <w:sz w:val="17"/>
              </w:rPr>
              <w:t>Partner dashboard</w:t>
            </w:r>
          </w:p>
        </w:tc>
        <w:tc>
          <w:tcPr>
            <w:tcW w:type="dxa" w:w="3000"/>
            <w:tcMar>
              <w:top w:w="80" w:type="dxa"/>
              <w:start w:w="120" w:type="dxa"/>
              <w:bottom w:w="80" w:type="dxa"/>
              <w:end w:w="120" w:type="dxa"/>
            </w:tcMar>
            <w:vAlign w:val="center"/>
          </w:tcPr>
          <w:p>
            <w:pPr>
              <w:spacing w:after="0" w:line="252" w:lineRule="auto"/>
            </w:pPr>
            <w:r>
              <w:rPr>
                <w:rFonts w:ascii="Calibri" w:hAnsi="Calibri"/>
                <w:color w:val="334155"/>
                <w:sz w:val="17"/>
              </w:rPr>
              <w:t>Private query cache; short TTL.</w:t>
            </w:r>
          </w:p>
        </w:tc>
        <w:tc>
          <w:tcPr>
            <w:tcW w:type="dxa" w:w="3960"/>
            <w:tcMar>
              <w:top w:w="80" w:type="dxa"/>
              <w:start w:w="120" w:type="dxa"/>
              <w:bottom w:w="80" w:type="dxa"/>
              <w:end w:w="120" w:type="dxa"/>
            </w:tcMar>
            <w:vAlign w:val="center"/>
          </w:tcPr>
          <w:p>
            <w:pPr>
              <w:spacing w:after="0" w:line="252" w:lineRule="auto"/>
            </w:pPr>
            <w:r>
              <w:rPr>
                <w:rFonts w:ascii="Calibri" w:hAnsi="Calibri"/>
                <w:color w:val="334155"/>
                <w:sz w:val="17"/>
              </w:rPr>
              <w:t>Order/payment/booking events.</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color w:val="334155"/>
                <w:sz w:val="17"/>
              </w:rPr>
              <w:t>AI result</w:t>
            </w:r>
          </w:p>
        </w:tc>
        <w:tc>
          <w:tcPr>
            <w:tcW w:type="dxa" w:w="3000"/>
            <w:tcMar>
              <w:top w:w="80" w:type="dxa"/>
              <w:start w:w="120" w:type="dxa"/>
              <w:bottom w:w="80" w:type="dxa"/>
              <w:end w:w="120" w:type="dxa"/>
            </w:tcMar>
            <w:vAlign w:val="center"/>
          </w:tcPr>
          <w:p>
            <w:pPr>
              <w:spacing w:after="0" w:line="252" w:lineRule="auto"/>
            </w:pPr>
            <w:r>
              <w:rPr>
                <w:rFonts w:ascii="Calibri" w:hAnsi="Calibri"/>
                <w:color w:val="334155"/>
                <w:sz w:val="17"/>
              </w:rPr>
              <w:t>Hash of sanitized constraints + catalog version where safe.</w:t>
            </w:r>
          </w:p>
        </w:tc>
        <w:tc>
          <w:tcPr>
            <w:tcW w:type="dxa" w:w="3960"/>
            <w:tcMar>
              <w:top w:w="80" w:type="dxa"/>
              <w:start w:w="120" w:type="dxa"/>
              <w:bottom w:w="80" w:type="dxa"/>
              <w:end w:w="120" w:type="dxa"/>
            </w:tcMar>
            <w:vAlign w:val="center"/>
          </w:tcPr>
          <w:p>
            <w:pPr>
              <w:spacing w:after="0" w:line="252" w:lineRule="auto"/>
            </w:pPr>
            <w:r>
              <w:rPr>
                <w:rFonts w:ascii="Calibri" w:hAnsi="Calibri"/>
                <w:color w:val="334155"/>
                <w:sz w:val="17"/>
              </w:rPr>
              <w:t>Catalog/model/prompt version change.</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color w:val="334155"/>
                <w:sz w:val="17"/>
              </w:rPr>
              <w:t>Auth/permissions</w:t>
            </w:r>
          </w:p>
        </w:tc>
        <w:tc>
          <w:tcPr>
            <w:tcW w:type="dxa" w:w="3000"/>
            <w:tcMar>
              <w:top w:w="80" w:type="dxa"/>
              <w:start w:w="120" w:type="dxa"/>
              <w:bottom w:w="80" w:type="dxa"/>
              <w:end w:w="120" w:type="dxa"/>
            </w:tcMar>
            <w:vAlign w:val="center"/>
          </w:tcPr>
          <w:p>
            <w:pPr>
              <w:spacing w:after="0" w:line="252" w:lineRule="auto"/>
            </w:pPr>
            <w:r>
              <w:rPr>
                <w:rFonts w:ascii="Calibri" w:hAnsi="Calibri"/>
                <w:color w:val="334155"/>
                <w:sz w:val="17"/>
              </w:rPr>
              <w:t>Short session cache.</w:t>
            </w:r>
          </w:p>
        </w:tc>
        <w:tc>
          <w:tcPr>
            <w:tcW w:type="dxa" w:w="3960"/>
            <w:tcMar>
              <w:top w:w="80" w:type="dxa"/>
              <w:start w:w="120" w:type="dxa"/>
              <w:bottom w:w="80" w:type="dxa"/>
              <w:end w:w="120" w:type="dxa"/>
            </w:tcMar>
            <w:vAlign w:val="center"/>
          </w:tcPr>
          <w:p>
            <w:pPr>
              <w:spacing w:after="0" w:line="252" w:lineRule="auto"/>
            </w:pPr>
            <w:r>
              <w:rPr>
                <w:rFonts w:ascii="Calibri" w:hAnsi="Calibri"/>
                <w:color w:val="334155"/>
                <w:sz w:val="17"/>
              </w:rPr>
              <w:t>Membership/role/session revoke event.</w:t>
            </w:r>
          </w:p>
        </w:tc>
      </w:tr>
    </w:tbl>
    <w:p>
      <w:pPr>
        <w:spacing w:after="40"/>
      </w:pPr>
    </w:p>
    <w:p>
      <w:pPr>
        <w:pStyle w:val="Heading2"/>
        <w:keepNext/>
      </w:pPr>
      <w:r>
        <w:rPr>
          <w:rFonts w:ascii="Calibri" w:hAnsi="Calibri"/>
          <w:b/>
          <w:color w:val="4F46E5"/>
          <w:sz w:val="26"/>
        </w:rPr>
        <w:t>21. Non-functional requirements</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800"/>
        <w:gridCol w:w="4300"/>
        <w:gridCol w:w="3260"/>
      </w:tblGrid>
      <w:tr>
        <w:trPr>
          <w:tblHeader w:val="true"/>
          <w:cantSplit/>
        </w:trPr>
        <w:tc>
          <w:tcPr>
            <w:tcW w:type="dxa" w:w="18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Attribute</w:t>
            </w:r>
          </w:p>
        </w:tc>
        <w:tc>
          <w:tcPr>
            <w:tcW w:type="dxa" w:w="43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Target awal</w:t>
            </w:r>
          </w:p>
        </w:tc>
        <w:tc>
          <w:tcPr>
            <w:tcW w:type="dxa" w:w="32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Cara ukur</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7"/>
              </w:rPr>
              <w:t>Availability</w:t>
            </w:r>
          </w:p>
        </w:tc>
        <w:tc>
          <w:tcPr>
            <w:tcW w:type="dxa" w:w="4300"/>
            <w:tcMar>
              <w:top w:w="80" w:type="dxa"/>
              <w:start w:w="120" w:type="dxa"/>
              <w:bottom w:w="80" w:type="dxa"/>
              <w:end w:w="120" w:type="dxa"/>
            </w:tcMar>
            <w:vAlign w:val="center"/>
          </w:tcPr>
          <w:p>
            <w:pPr>
              <w:spacing w:after="0" w:line="252" w:lineRule="auto"/>
            </w:pPr>
            <w:r>
              <w:rPr>
                <w:rFonts w:ascii="Calibri" w:hAnsi="Calibri"/>
                <w:color w:val="334155"/>
                <w:sz w:val="17"/>
              </w:rPr>
              <w:t>99.9% monthly untuk checkout/API core; provider outage degraded gracefully.</w:t>
            </w:r>
          </w:p>
        </w:tc>
        <w:tc>
          <w:tcPr>
            <w:tcW w:type="dxa" w:w="3260"/>
            <w:tcMar>
              <w:top w:w="80" w:type="dxa"/>
              <w:start w:w="120" w:type="dxa"/>
              <w:bottom w:w="80" w:type="dxa"/>
              <w:end w:w="120" w:type="dxa"/>
            </w:tcMar>
            <w:vAlign w:val="center"/>
          </w:tcPr>
          <w:p>
            <w:pPr>
              <w:spacing w:after="0" w:line="252" w:lineRule="auto"/>
            </w:pPr>
            <w:r>
              <w:rPr>
                <w:rFonts w:ascii="Calibri" w:hAnsi="Calibri"/>
                <w:color w:val="334155"/>
                <w:sz w:val="17"/>
              </w:rPr>
              <w:t>Synthetic checks + SLO burn alerts.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7"/>
              </w:rPr>
              <w:t>API latency</w:t>
            </w:r>
          </w:p>
        </w:tc>
        <w:tc>
          <w:tcPr>
            <w:tcW w:type="dxa" w:w="4300"/>
            <w:tcMar>
              <w:top w:w="80" w:type="dxa"/>
              <w:start w:w="120" w:type="dxa"/>
              <w:bottom w:w="80" w:type="dxa"/>
              <w:end w:w="120" w:type="dxa"/>
            </w:tcMar>
            <w:vAlign w:val="center"/>
          </w:tcPr>
          <w:p>
            <w:pPr>
              <w:spacing w:after="0" w:line="252" w:lineRule="auto"/>
            </w:pPr>
            <w:r>
              <w:rPr>
                <w:rFonts w:ascii="Calibri" w:hAnsi="Calibri"/>
                <w:color w:val="334155"/>
                <w:sz w:val="17"/>
              </w:rPr>
              <w:t>p95 read &lt;300 ms; write core &lt;700 ms excluding provider.</w:t>
            </w:r>
          </w:p>
        </w:tc>
        <w:tc>
          <w:tcPr>
            <w:tcW w:type="dxa" w:w="3260"/>
            <w:tcMar>
              <w:top w:w="80" w:type="dxa"/>
              <w:start w:w="120" w:type="dxa"/>
              <w:bottom w:w="80" w:type="dxa"/>
              <w:end w:w="120" w:type="dxa"/>
            </w:tcMar>
            <w:vAlign w:val="center"/>
          </w:tcPr>
          <w:p>
            <w:pPr>
              <w:spacing w:after="0" w:line="252" w:lineRule="auto"/>
            </w:pPr>
            <w:r>
              <w:rPr>
                <w:rFonts w:ascii="Calibri" w:hAnsi="Calibri"/>
                <w:color w:val="334155"/>
                <w:sz w:val="17"/>
              </w:rPr>
              <w:t>Tracing per route/domain.</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7"/>
              </w:rPr>
              <w:t>Storefront</w:t>
            </w:r>
          </w:p>
        </w:tc>
        <w:tc>
          <w:tcPr>
            <w:tcW w:type="dxa" w:w="4300"/>
            <w:tcMar>
              <w:top w:w="80" w:type="dxa"/>
              <w:start w:w="120" w:type="dxa"/>
              <w:bottom w:w="80" w:type="dxa"/>
              <w:end w:w="120" w:type="dxa"/>
            </w:tcMar>
            <w:vAlign w:val="center"/>
          </w:tcPr>
          <w:p>
            <w:pPr>
              <w:spacing w:after="0" w:line="252" w:lineRule="auto"/>
            </w:pPr>
            <w:r>
              <w:rPr>
                <w:rFonts w:ascii="Calibri" w:hAnsi="Calibri"/>
                <w:color w:val="334155"/>
                <w:sz w:val="17"/>
              </w:rPr>
              <w:t>Core Web Vitals good pada device/network target.</w:t>
            </w:r>
          </w:p>
        </w:tc>
        <w:tc>
          <w:tcPr>
            <w:tcW w:type="dxa" w:w="3260"/>
            <w:tcMar>
              <w:top w:w="80" w:type="dxa"/>
              <w:start w:w="120" w:type="dxa"/>
              <w:bottom w:w="80" w:type="dxa"/>
              <w:end w:w="120" w:type="dxa"/>
            </w:tcMar>
            <w:vAlign w:val="center"/>
          </w:tcPr>
          <w:p>
            <w:pPr>
              <w:spacing w:after="0" w:line="252" w:lineRule="auto"/>
            </w:pPr>
            <w:r>
              <w:rPr>
                <w:rFonts w:ascii="Calibri" w:hAnsi="Calibri"/>
                <w:color w:val="334155"/>
                <w:sz w:val="17"/>
              </w:rPr>
              <w:t>RUM + lab budget.</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7"/>
              </w:rPr>
              <w:t>AI latency</w:t>
            </w:r>
          </w:p>
        </w:tc>
        <w:tc>
          <w:tcPr>
            <w:tcW w:type="dxa" w:w="4300"/>
            <w:tcMar>
              <w:top w:w="80" w:type="dxa"/>
              <w:start w:w="120" w:type="dxa"/>
              <w:bottom w:w="80" w:type="dxa"/>
              <w:end w:w="120" w:type="dxa"/>
            </w:tcMar>
            <w:vAlign w:val="center"/>
          </w:tcPr>
          <w:p>
            <w:pPr>
              <w:spacing w:after="0" w:line="252" w:lineRule="auto"/>
            </w:pPr>
            <w:r>
              <w:rPr>
                <w:rFonts w:ascii="Calibri" w:hAnsi="Calibri"/>
                <w:color w:val="334155"/>
                <w:sz w:val="17"/>
              </w:rPr>
              <w:t>Text p95 &lt;8 s; photo p95 &lt;15 s; streaming/status progress.</w:t>
            </w:r>
          </w:p>
        </w:tc>
        <w:tc>
          <w:tcPr>
            <w:tcW w:type="dxa" w:w="3260"/>
            <w:tcMar>
              <w:top w:w="80" w:type="dxa"/>
              <w:start w:w="120" w:type="dxa"/>
              <w:bottom w:w="80" w:type="dxa"/>
              <w:end w:w="120" w:type="dxa"/>
            </w:tcMar>
            <w:vAlign w:val="center"/>
          </w:tcPr>
          <w:p>
            <w:pPr>
              <w:spacing w:after="0" w:line="252" w:lineRule="auto"/>
            </w:pPr>
            <w:r>
              <w:rPr>
                <w:rFonts w:ascii="Calibri" w:hAnsi="Calibri"/>
                <w:color w:val="334155"/>
                <w:sz w:val="17"/>
              </w:rPr>
              <w:t>Model/provider traces.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7"/>
              </w:rPr>
              <w:t>Scalability</w:t>
            </w:r>
          </w:p>
        </w:tc>
        <w:tc>
          <w:tcPr>
            <w:tcW w:type="dxa" w:w="4300"/>
            <w:tcMar>
              <w:top w:w="80" w:type="dxa"/>
              <w:start w:w="120" w:type="dxa"/>
              <w:bottom w:w="80" w:type="dxa"/>
              <w:end w:w="120" w:type="dxa"/>
            </w:tcMar>
            <w:vAlign w:val="center"/>
          </w:tcPr>
          <w:p>
            <w:pPr>
              <w:spacing w:after="0" w:line="252" w:lineRule="auto"/>
            </w:pPr>
            <w:r>
              <w:rPr>
                <w:rFonts w:ascii="Calibri" w:hAnsi="Calibri"/>
                <w:color w:val="334155"/>
                <w:sz w:val="17"/>
              </w:rPr>
              <w:t>Stateless API/worker horizontal scale; DB/cache/vector independently scaled.</w:t>
            </w:r>
          </w:p>
        </w:tc>
        <w:tc>
          <w:tcPr>
            <w:tcW w:type="dxa" w:w="3260"/>
            <w:tcMar>
              <w:top w:w="80" w:type="dxa"/>
              <w:start w:w="120" w:type="dxa"/>
              <w:bottom w:w="80" w:type="dxa"/>
              <w:end w:w="120" w:type="dxa"/>
            </w:tcMar>
            <w:vAlign w:val="center"/>
          </w:tcPr>
          <w:p>
            <w:pPr>
              <w:spacing w:after="0" w:line="252" w:lineRule="auto"/>
            </w:pPr>
            <w:r>
              <w:rPr>
                <w:rFonts w:ascii="Calibri" w:hAnsi="Calibri"/>
                <w:color w:val="334155"/>
                <w:sz w:val="17"/>
              </w:rPr>
              <w:t>Load test + capacity model.</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7"/>
              </w:rPr>
              <w:t>Durability</w:t>
            </w:r>
          </w:p>
        </w:tc>
        <w:tc>
          <w:tcPr>
            <w:tcW w:type="dxa" w:w="4300"/>
            <w:tcMar>
              <w:top w:w="80" w:type="dxa"/>
              <w:start w:w="120" w:type="dxa"/>
              <w:bottom w:w="80" w:type="dxa"/>
              <w:end w:w="120" w:type="dxa"/>
            </w:tcMar>
            <w:vAlign w:val="center"/>
          </w:tcPr>
          <w:p>
            <w:pPr>
              <w:spacing w:after="0" w:line="252" w:lineRule="auto"/>
            </w:pPr>
            <w:r>
              <w:rPr>
                <w:rFonts w:ascii="Calibri" w:hAnsi="Calibri"/>
                <w:color w:val="334155"/>
                <w:sz w:val="17"/>
              </w:rPr>
              <w:t>Financial/order data ACID; encrypted backups; restore tested.</w:t>
            </w:r>
          </w:p>
        </w:tc>
        <w:tc>
          <w:tcPr>
            <w:tcW w:type="dxa" w:w="3260"/>
            <w:tcMar>
              <w:top w:w="80" w:type="dxa"/>
              <w:start w:w="120" w:type="dxa"/>
              <w:bottom w:w="80" w:type="dxa"/>
              <w:end w:w="120" w:type="dxa"/>
            </w:tcMar>
            <w:vAlign w:val="center"/>
          </w:tcPr>
          <w:p>
            <w:pPr>
              <w:spacing w:after="0" w:line="252" w:lineRule="auto"/>
            </w:pPr>
            <w:r>
              <w:rPr>
                <w:rFonts w:ascii="Calibri" w:hAnsi="Calibri"/>
                <w:color w:val="334155"/>
                <w:sz w:val="17"/>
              </w:rPr>
              <w:t>Backup job + restore drill.</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7"/>
              </w:rPr>
              <w:t>RPO/RTO</w:t>
            </w:r>
          </w:p>
        </w:tc>
        <w:tc>
          <w:tcPr>
            <w:tcW w:type="dxa" w:w="4300"/>
            <w:tcMar>
              <w:top w:w="80" w:type="dxa"/>
              <w:start w:w="120" w:type="dxa"/>
              <w:bottom w:w="80" w:type="dxa"/>
              <w:end w:w="120" w:type="dxa"/>
            </w:tcMar>
            <w:vAlign w:val="center"/>
          </w:tcPr>
          <w:p>
            <w:pPr>
              <w:spacing w:after="0" w:line="252" w:lineRule="auto"/>
            </w:pPr>
            <w:r>
              <w:rPr>
                <w:rFonts w:ascii="Calibri" w:hAnsi="Calibri"/>
                <w:color w:val="334155"/>
                <w:sz w:val="17"/>
              </w:rPr>
              <w:t>Usulan RPO ≤15 menit, RTO ≤2 jam untuk core.</w:t>
            </w:r>
          </w:p>
        </w:tc>
        <w:tc>
          <w:tcPr>
            <w:tcW w:type="dxa" w:w="3260"/>
            <w:tcMar>
              <w:top w:w="80" w:type="dxa"/>
              <w:start w:w="120" w:type="dxa"/>
              <w:bottom w:w="80" w:type="dxa"/>
              <w:end w:w="120" w:type="dxa"/>
            </w:tcMar>
            <w:vAlign w:val="center"/>
          </w:tcPr>
          <w:p>
            <w:pPr>
              <w:spacing w:after="0" w:line="252" w:lineRule="auto"/>
            </w:pPr>
            <w:r>
              <w:rPr>
                <w:rFonts w:ascii="Calibri" w:hAnsi="Calibri"/>
                <w:color w:val="334155"/>
                <w:sz w:val="17"/>
              </w:rPr>
              <w:t>Quarterly recovery exercise.</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7"/>
              </w:rPr>
              <w:t>Security</w:t>
            </w:r>
          </w:p>
        </w:tc>
        <w:tc>
          <w:tcPr>
            <w:tcW w:type="dxa" w:w="4300"/>
            <w:tcMar>
              <w:top w:w="80" w:type="dxa"/>
              <w:start w:w="120" w:type="dxa"/>
              <w:bottom w:w="80" w:type="dxa"/>
              <w:end w:w="120" w:type="dxa"/>
            </w:tcMar>
            <w:vAlign w:val="center"/>
          </w:tcPr>
          <w:p>
            <w:pPr>
              <w:spacing w:after="0" w:line="252" w:lineRule="auto"/>
            </w:pPr>
            <w:r>
              <w:rPr>
                <w:rFonts w:ascii="Calibri" w:hAnsi="Calibri"/>
                <w:color w:val="334155"/>
                <w:sz w:val="17"/>
              </w:rPr>
              <w:t>OWASP ASVS L2 baseline; zero critical/high open at release.</w:t>
            </w:r>
          </w:p>
        </w:tc>
        <w:tc>
          <w:tcPr>
            <w:tcW w:type="dxa" w:w="3260"/>
            <w:tcMar>
              <w:top w:w="80" w:type="dxa"/>
              <w:start w:w="120" w:type="dxa"/>
              <w:bottom w:w="80" w:type="dxa"/>
              <w:end w:w="120" w:type="dxa"/>
            </w:tcMar>
            <w:vAlign w:val="center"/>
          </w:tcPr>
          <w:p>
            <w:pPr>
              <w:spacing w:after="0" w:line="252" w:lineRule="auto"/>
            </w:pPr>
            <w:r>
              <w:rPr>
                <w:rFonts w:ascii="Calibri" w:hAnsi="Calibri"/>
                <w:color w:val="334155"/>
                <w:sz w:val="17"/>
              </w:rPr>
              <w:t>SAST/SCA/DAST/pentest gates.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7"/>
              </w:rPr>
              <w:t>Privacy</w:t>
            </w:r>
          </w:p>
        </w:tc>
        <w:tc>
          <w:tcPr>
            <w:tcW w:type="dxa" w:w="4300"/>
            <w:tcMar>
              <w:top w:w="80" w:type="dxa"/>
              <w:start w:w="120" w:type="dxa"/>
              <w:bottom w:w="80" w:type="dxa"/>
              <w:end w:w="120" w:type="dxa"/>
            </w:tcMar>
            <w:vAlign w:val="center"/>
          </w:tcPr>
          <w:p>
            <w:pPr>
              <w:spacing w:after="0" w:line="252" w:lineRule="auto"/>
            </w:pPr>
            <w:r>
              <w:rPr>
                <w:rFonts w:ascii="Calibri" w:hAnsi="Calibri"/>
                <w:color w:val="334155"/>
                <w:sz w:val="17"/>
              </w:rPr>
              <w:t>Purpose/consent/retention enforced by classification.</w:t>
            </w:r>
          </w:p>
        </w:tc>
        <w:tc>
          <w:tcPr>
            <w:tcW w:type="dxa" w:w="3260"/>
            <w:tcMar>
              <w:top w:w="80" w:type="dxa"/>
              <w:start w:w="120" w:type="dxa"/>
              <w:bottom w:w="80" w:type="dxa"/>
              <w:end w:w="120" w:type="dxa"/>
            </w:tcMar>
            <w:vAlign w:val="center"/>
          </w:tcPr>
          <w:p>
            <w:pPr>
              <w:spacing w:after="0" w:line="252" w:lineRule="auto"/>
            </w:pPr>
            <w:r>
              <w:rPr>
                <w:rFonts w:ascii="Calibri" w:hAnsi="Calibri"/>
                <w:color w:val="334155"/>
                <w:sz w:val="17"/>
              </w:rPr>
              <w:t>Automated retention and access audits.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334155"/>
                <w:sz w:val="17"/>
              </w:rPr>
              <w:t>Observability</w:t>
            </w:r>
          </w:p>
        </w:tc>
        <w:tc>
          <w:tcPr>
            <w:tcW w:type="dxa" w:w="4300"/>
            <w:tcMar>
              <w:top w:w="80" w:type="dxa"/>
              <w:start w:w="120" w:type="dxa"/>
              <w:bottom w:w="80" w:type="dxa"/>
              <w:end w:w="120" w:type="dxa"/>
            </w:tcMar>
            <w:vAlign w:val="center"/>
          </w:tcPr>
          <w:p>
            <w:pPr>
              <w:spacing w:after="0" w:line="252" w:lineRule="auto"/>
            </w:pPr>
            <w:r>
              <w:rPr>
                <w:rFonts w:ascii="Calibri" w:hAnsi="Calibri"/>
                <w:color w:val="334155"/>
                <w:sz w:val="17"/>
              </w:rPr>
              <w:t>Correlation ID across web/API/worker/provider; no sensitive logs.</w:t>
            </w:r>
          </w:p>
        </w:tc>
        <w:tc>
          <w:tcPr>
            <w:tcW w:type="dxa" w:w="3260"/>
            <w:tcMar>
              <w:top w:w="80" w:type="dxa"/>
              <w:start w:w="120" w:type="dxa"/>
              <w:bottom w:w="80" w:type="dxa"/>
              <w:end w:w="120" w:type="dxa"/>
            </w:tcMar>
            <w:vAlign w:val="center"/>
          </w:tcPr>
          <w:p>
            <w:pPr>
              <w:spacing w:after="0" w:line="252" w:lineRule="auto"/>
            </w:pPr>
            <w:r>
              <w:rPr>
                <w:rFonts w:ascii="Calibri" w:hAnsi="Calibri"/>
                <w:color w:val="334155"/>
                <w:sz w:val="17"/>
              </w:rPr>
              <w:t>Logs, metrics, traces, alert drills.</w:t>
            </w:r>
          </w:p>
        </w:tc>
      </w:tr>
    </w:tbl>
    <w:p>
      <w:pPr>
        <w:spacing w:after="40"/>
      </w:pPr>
    </w:p>
    <w:p>
      <w:pPr>
        <w:pStyle w:val="Heading2"/>
        <w:keepNext/>
      </w:pPr>
      <w:r>
        <w:rPr>
          <w:rFonts w:ascii="Calibri" w:hAnsi="Calibri"/>
          <w:b/>
          <w:color w:val="4F46E5"/>
          <w:sz w:val="26"/>
        </w:rPr>
        <w:t>22. Deployment dan environment</w:t>
      </w:r>
    </w:p>
    <w:p>
      <w:pPr>
        <w:numPr>
          <w:ilvl w:val="0"/>
          <w:numId w:val="10"/>
        </w:numPr>
        <w:spacing w:after="160" w:line="280" w:lineRule="auto"/>
        <w:keepLines/>
      </w:pPr>
      <w:r>
        <w:rPr>
          <w:rFonts w:ascii="Calibri" w:hAnsi="Calibri"/>
          <w:color w:val="334155"/>
          <w:sz w:val="22"/>
        </w:rPr>
        <w:t>Environment terpisah: local, test/CI, staging, production; tidak berbagi credentials atau database.</w:t>
      </w:r>
    </w:p>
    <w:p>
      <w:pPr>
        <w:numPr>
          <w:ilvl w:val="0"/>
          <w:numId w:val="10"/>
        </w:numPr>
        <w:spacing w:after="160" w:line="280" w:lineRule="auto"/>
        <w:keepLines/>
      </w:pPr>
      <w:r>
        <w:rPr>
          <w:rFonts w:ascii="Calibri" w:hAnsi="Calibri"/>
          <w:color w:val="334155"/>
          <w:sz w:val="22"/>
        </w:rPr>
        <w:t>Docker Compose untuk local; production menggunakan managed PostgreSQL, Redis, Qdrant, object storage, dan secret manager.</w:t>
      </w:r>
    </w:p>
    <w:p>
      <w:pPr>
        <w:numPr>
          <w:ilvl w:val="0"/>
          <w:numId w:val="10"/>
        </w:numPr>
        <w:spacing w:after="160" w:line="280" w:lineRule="auto"/>
        <w:keepLines/>
      </w:pPr>
      <w:r>
        <w:rPr>
          <w:rFonts w:ascii="Calibri" w:hAnsi="Calibri"/>
          <w:color w:val="334155"/>
          <w:sz w:val="22"/>
        </w:rPr>
        <w:t>Migrations forward-only dengan expand/contract pattern; backup sebelum risky migration.</w:t>
      </w:r>
    </w:p>
    <w:p>
      <w:pPr>
        <w:numPr>
          <w:ilvl w:val="0"/>
          <w:numId w:val="10"/>
        </w:numPr>
        <w:spacing w:after="160" w:line="280" w:lineRule="auto"/>
        <w:keepLines/>
      </w:pPr>
      <w:r>
        <w:rPr>
          <w:rFonts w:ascii="Calibri" w:hAnsi="Calibri"/>
          <w:color w:val="334155"/>
          <w:sz w:val="22"/>
        </w:rPr>
        <w:t>CI: lint, typecheck, unit, integration, migration test, security scan, build, contract test, artifact signing.</w:t>
      </w:r>
    </w:p>
    <w:p>
      <w:pPr>
        <w:numPr>
          <w:ilvl w:val="0"/>
          <w:numId w:val="10"/>
        </w:numPr>
        <w:spacing w:after="160" w:line="280" w:lineRule="auto"/>
        <w:keepLines/>
      </w:pPr>
      <w:r>
        <w:rPr>
          <w:rFonts w:ascii="Calibri" w:hAnsi="Calibri"/>
          <w:color w:val="334155"/>
          <w:sz w:val="22"/>
        </w:rPr>
        <w:t>CD: staging deploy, smoke/E2E, manual gate untuk finance/security-sensitive changes, canary/rolling deploy, rollback.</w:t>
      </w:r>
    </w:p>
    <w:p>
      <w:pPr>
        <w:numPr>
          <w:ilvl w:val="0"/>
          <w:numId w:val="10"/>
        </w:numPr>
        <w:spacing w:after="160" w:line="280" w:lineRule="auto"/>
        <w:keepLines/>
      </w:pPr>
      <w:r>
        <w:rPr>
          <w:rFonts w:ascii="Calibri" w:hAnsi="Calibri"/>
          <w:color w:val="334155"/>
          <w:sz w:val="22"/>
        </w:rPr>
        <w:t>Feature flags untuk AI, category high-risk, provider routing, dan operational rollout.</w:t>
      </w:r>
    </w:p>
    <w:p>
      <w:pPr>
        <w:numPr>
          <w:ilvl w:val="0"/>
          <w:numId w:val="10"/>
        </w:numPr>
        <w:spacing w:after="160" w:line="280" w:lineRule="auto"/>
        <w:keepLines/>
      </w:pPr>
      <w:r>
        <w:rPr>
          <w:rFonts w:ascii="Calibri" w:hAnsi="Calibri"/>
          <w:color w:val="334155"/>
          <w:sz w:val="22"/>
        </w:rPr>
        <w:t>Infrastructure as code; least-privilege service identities; network segmentation; production access time-bound dan audited.</w:t>
      </w:r>
    </w:p>
    <w:p>
      <w:r>
        <w:br w:type="page"/>
      </w:r>
    </w:p>
    <w:p>
      <w:pPr>
        <w:pStyle w:val="Heading1"/>
        <w:keepNext/>
      </w:pPr>
      <w:r>
        <w:rPr>
          <w:rFonts w:ascii="Calibri" w:hAnsi="Calibri"/>
          <w:b/>
          <w:color w:val="3730A3"/>
          <w:sz w:val="32"/>
        </w:rPr>
        <w:t>D. Delivery, Testing, dan Roadmap</w:t>
      </w:r>
    </w:p>
    <w:p>
      <w:pPr>
        <w:pStyle w:val="Heading2"/>
        <w:keepNext/>
      </w:pPr>
      <w:r>
        <w:rPr>
          <w:rFonts w:ascii="Calibri" w:hAnsi="Calibri"/>
          <w:b/>
          <w:color w:val="4F46E5"/>
          <w:sz w:val="26"/>
        </w:rPr>
        <w:t>23. Testing strategy</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600"/>
        <w:gridCol w:w="2900"/>
        <w:gridCol w:w="4860"/>
      </w:tblGrid>
      <w:tr>
        <w:trPr>
          <w:tblHeader w:val="true"/>
          <w:cantSplit/>
        </w:trPr>
        <w:tc>
          <w:tcPr>
            <w:tcW w:type="dxa" w:w="16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Layer</w:t>
            </w:r>
          </w:p>
        </w:tc>
        <w:tc>
          <w:tcPr>
            <w:tcW w:type="dxa" w:w="29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Fokus</w:t>
            </w:r>
          </w:p>
        </w:tc>
        <w:tc>
          <w:tcPr>
            <w:tcW w:type="dxa" w:w="48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Contoh wajib</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334155"/>
                <w:sz w:val="17"/>
              </w:rPr>
              <w:t>Unit</w:t>
            </w:r>
          </w:p>
        </w:tc>
        <w:tc>
          <w:tcPr>
            <w:tcW w:type="dxa" w:w="2900"/>
            <w:tcMar>
              <w:top w:w="80" w:type="dxa"/>
              <w:start w:w="120" w:type="dxa"/>
              <w:bottom w:w="80" w:type="dxa"/>
              <w:end w:w="120" w:type="dxa"/>
            </w:tcMar>
            <w:vAlign w:val="center"/>
          </w:tcPr>
          <w:p>
            <w:pPr>
              <w:spacing w:after="0" w:line="252" w:lineRule="auto"/>
            </w:pPr>
            <w:r>
              <w:rPr>
                <w:rFonts w:ascii="Calibri" w:hAnsi="Calibri"/>
                <w:color w:val="334155"/>
                <w:sz w:val="17"/>
              </w:rPr>
              <w:t>Rules murni.</w:t>
            </w:r>
          </w:p>
        </w:tc>
        <w:tc>
          <w:tcPr>
            <w:tcW w:type="dxa" w:w="4860"/>
            <w:tcMar>
              <w:top w:w="80" w:type="dxa"/>
              <w:start w:w="120" w:type="dxa"/>
              <w:bottom w:w="80" w:type="dxa"/>
              <w:end w:w="120" w:type="dxa"/>
            </w:tcMar>
            <w:vAlign w:val="center"/>
          </w:tcPr>
          <w:p>
            <w:pPr>
              <w:spacing w:after="0" w:line="252" w:lineRule="auto"/>
            </w:pPr>
            <w:r>
              <w:rPr>
                <w:rFonts w:ascii="Calibri" w:hAnsi="Calibri"/>
                <w:color w:val="334155"/>
                <w:sz w:val="17"/>
              </w:rPr>
              <w:t>Commission, cancel fee, state transition, ranking score.</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334155"/>
                <w:sz w:val="17"/>
              </w:rPr>
              <w:t>Integration</w:t>
            </w:r>
          </w:p>
        </w:tc>
        <w:tc>
          <w:tcPr>
            <w:tcW w:type="dxa" w:w="2900"/>
            <w:tcMar>
              <w:top w:w="80" w:type="dxa"/>
              <w:start w:w="120" w:type="dxa"/>
              <w:bottom w:w="80" w:type="dxa"/>
              <w:end w:w="120" w:type="dxa"/>
            </w:tcMar>
            <w:vAlign w:val="center"/>
          </w:tcPr>
          <w:p>
            <w:pPr>
              <w:spacing w:after="0" w:line="252" w:lineRule="auto"/>
            </w:pPr>
            <w:r>
              <w:rPr>
                <w:rFonts w:ascii="Calibri" w:hAnsi="Calibri"/>
                <w:color w:val="334155"/>
                <w:sz w:val="17"/>
              </w:rPr>
              <w:t>DB/cache/vector/provider adapter.</w:t>
            </w:r>
          </w:p>
        </w:tc>
        <w:tc>
          <w:tcPr>
            <w:tcW w:type="dxa" w:w="4860"/>
            <w:tcMar>
              <w:top w:w="80" w:type="dxa"/>
              <w:start w:w="120" w:type="dxa"/>
              <w:bottom w:w="80" w:type="dxa"/>
              <w:end w:w="120" w:type="dxa"/>
            </w:tcMar>
            <w:vAlign w:val="center"/>
          </w:tcPr>
          <w:p>
            <w:pPr>
              <w:spacing w:after="0" w:line="252" w:lineRule="auto"/>
            </w:pPr>
            <w:r>
              <w:rPr>
                <w:rFonts w:ascii="Calibri" w:hAnsi="Calibri"/>
                <w:color w:val="334155"/>
                <w:sz w:val="17"/>
              </w:rPr>
              <w:t>RLS, reservation race, webhook inbox, outbox.</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334155"/>
                <w:sz w:val="17"/>
              </w:rPr>
              <w:t>Contract</w:t>
            </w:r>
          </w:p>
        </w:tc>
        <w:tc>
          <w:tcPr>
            <w:tcW w:type="dxa" w:w="2900"/>
            <w:tcMar>
              <w:top w:w="80" w:type="dxa"/>
              <w:start w:w="120" w:type="dxa"/>
              <w:bottom w:w="80" w:type="dxa"/>
              <w:end w:w="120" w:type="dxa"/>
            </w:tcMar>
            <w:vAlign w:val="center"/>
          </w:tcPr>
          <w:p>
            <w:pPr>
              <w:spacing w:after="0" w:line="252" w:lineRule="auto"/>
            </w:pPr>
            <w:r>
              <w:rPr>
                <w:rFonts w:ascii="Calibri" w:hAnsi="Calibri"/>
                <w:color w:val="334155"/>
                <w:sz w:val="17"/>
              </w:rPr>
              <w:t>OpenAPI dan external provider.</w:t>
            </w:r>
          </w:p>
        </w:tc>
        <w:tc>
          <w:tcPr>
            <w:tcW w:type="dxa" w:w="4860"/>
            <w:tcMar>
              <w:top w:w="80" w:type="dxa"/>
              <w:start w:w="120" w:type="dxa"/>
              <w:bottom w:w="80" w:type="dxa"/>
              <w:end w:w="120" w:type="dxa"/>
            </w:tcMar>
            <w:vAlign w:val="center"/>
          </w:tcPr>
          <w:p>
            <w:pPr>
              <w:spacing w:after="0" w:line="252" w:lineRule="auto"/>
            </w:pPr>
            <w:r>
              <w:rPr>
                <w:rFonts w:ascii="Calibri" w:hAnsi="Calibri"/>
                <w:color w:val="334155"/>
                <w:sz w:val="17"/>
              </w:rPr>
              <w:t>Payment/courier webhook schemas, typed client.</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334155"/>
                <w:sz w:val="17"/>
              </w:rPr>
              <w:t>E2E</w:t>
            </w:r>
          </w:p>
        </w:tc>
        <w:tc>
          <w:tcPr>
            <w:tcW w:type="dxa" w:w="2900"/>
            <w:tcMar>
              <w:top w:w="80" w:type="dxa"/>
              <w:start w:w="120" w:type="dxa"/>
              <w:bottom w:w="80" w:type="dxa"/>
              <w:end w:w="120" w:type="dxa"/>
            </w:tcMar>
            <w:vAlign w:val="center"/>
          </w:tcPr>
          <w:p>
            <w:pPr>
              <w:spacing w:after="0" w:line="252" w:lineRule="auto"/>
            </w:pPr>
            <w:r>
              <w:rPr>
                <w:rFonts w:ascii="Calibri" w:hAnsi="Calibri"/>
                <w:color w:val="334155"/>
                <w:sz w:val="17"/>
              </w:rPr>
              <w:t>Critical journeys.</w:t>
            </w:r>
          </w:p>
        </w:tc>
        <w:tc>
          <w:tcPr>
            <w:tcW w:type="dxa" w:w="4860"/>
            <w:tcMar>
              <w:top w:w="80" w:type="dxa"/>
              <w:start w:w="120" w:type="dxa"/>
              <w:bottom w:w="80" w:type="dxa"/>
              <w:end w:w="120" w:type="dxa"/>
            </w:tcMar>
            <w:vAlign w:val="center"/>
          </w:tcPr>
          <w:p>
            <w:pPr>
              <w:spacing w:after="0" w:line="252" w:lineRule="auto"/>
            </w:pPr>
            <w:r>
              <w:rPr>
                <w:rFonts w:ascii="Calibri" w:hAnsi="Calibri"/>
                <w:color w:val="334155"/>
                <w:sz w:val="17"/>
              </w:rPr>
              <w:t>Register, product checkout, booking, partner fulfillment, refund.</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334155"/>
                <w:sz w:val="17"/>
              </w:rPr>
              <w:t>Concurrency</w:t>
            </w:r>
          </w:p>
        </w:tc>
        <w:tc>
          <w:tcPr>
            <w:tcW w:type="dxa" w:w="2900"/>
            <w:tcMar>
              <w:top w:w="80" w:type="dxa"/>
              <w:start w:w="120" w:type="dxa"/>
              <w:bottom w:w="80" w:type="dxa"/>
              <w:end w:w="120" w:type="dxa"/>
            </w:tcMar>
            <w:vAlign w:val="center"/>
          </w:tcPr>
          <w:p>
            <w:pPr>
              <w:spacing w:after="0" w:line="252" w:lineRule="auto"/>
            </w:pPr>
            <w:r>
              <w:rPr>
                <w:rFonts w:ascii="Calibri" w:hAnsi="Calibri"/>
                <w:color w:val="334155"/>
                <w:sz w:val="17"/>
              </w:rPr>
              <w:t>Race dan retry.</w:t>
            </w:r>
          </w:p>
        </w:tc>
        <w:tc>
          <w:tcPr>
            <w:tcW w:type="dxa" w:w="4860"/>
            <w:tcMar>
              <w:top w:w="80" w:type="dxa"/>
              <w:start w:w="120" w:type="dxa"/>
              <w:bottom w:w="80" w:type="dxa"/>
              <w:end w:w="120" w:type="dxa"/>
            </w:tcMar>
            <w:vAlign w:val="center"/>
          </w:tcPr>
          <w:p>
            <w:pPr>
              <w:spacing w:after="0" w:line="252" w:lineRule="auto"/>
            </w:pPr>
            <w:r>
              <w:rPr>
                <w:rFonts w:ascii="Calibri" w:hAnsi="Calibri"/>
                <w:color w:val="334155"/>
                <w:sz w:val="17"/>
              </w:rPr>
              <w:t>Oversell, double booking, duplicate payment/payout.</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334155"/>
                <w:sz w:val="17"/>
              </w:rPr>
              <w:t>Security</w:t>
            </w:r>
          </w:p>
        </w:tc>
        <w:tc>
          <w:tcPr>
            <w:tcW w:type="dxa" w:w="2900"/>
            <w:tcMar>
              <w:top w:w="80" w:type="dxa"/>
              <w:start w:w="120" w:type="dxa"/>
              <w:bottom w:w="80" w:type="dxa"/>
              <w:end w:w="120" w:type="dxa"/>
            </w:tcMar>
            <w:vAlign w:val="center"/>
          </w:tcPr>
          <w:p>
            <w:pPr>
              <w:spacing w:after="0" w:line="252" w:lineRule="auto"/>
            </w:pPr>
            <w:r>
              <w:rPr>
                <w:rFonts w:ascii="Calibri" w:hAnsi="Calibri"/>
                <w:color w:val="334155"/>
                <w:sz w:val="17"/>
              </w:rPr>
              <w:t>AuthN/Z dan abuse.</w:t>
            </w:r>
          </w:p>
        </w:tc>
        <w:tc>
          <w:tcPr>
            <w:tcW w:type="dxa" w:w="4860"/>
            <w:tcMar>
              <w:top w:w="80" w:type="dxa"/>
              <w:start w:w="120" w:type="dxa"/>
              <w:bottom w:w="80" w:type="dxa"/>
              <w:end w:w="120" w:type="dxa"/>
            </w:tcMar>
            <w:vAlign w:val="center"/>
          </w:tcPr>
          <w:p>
            <w:pPr>
              <w:spacing w:after="0" w:line="252" w:lineRule="auto"/>
            </w:pPr>
            <w:r>
              <w:rPr>
                <w:rFonts w:ascii="Calibri" w:hAnsi="Calibri"/>
                <w:color w:val="334155"/>
                <w:sz w:val="17"/>
              </w:rPr>
              <w:t>BOLA, CSRF, XSS, upload, rate limit, cross-tenant.</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334155"/>
                <w:sz w:val="17"/>
              </w:rPr>
              <w:t>Performance</w:t>
            </w:r>
          </w:p>
        </w:tc>
        <w:tc>
          <w:tcPr>
            <w:tcW w:type="dxa" w:w="2900"/>
            <w:tcMar>
              <w:top w:w="80" w:type="dxa"/>
              <w:start w:w="120" w:type="dxa"/>
              <w:bottom w:w="80" w:type="dxa"/>
              <w:end w:w="120" w:type="dxa"/>
            </w:tcMar>
            <w:vAlign w:val="center"/>
          </w:tcPr>
          <w:p>
            <w:pPr>
              <w:spacing w:after="0" w:line="252" w:lineRule="auto"/>
            </w:pPr>
            <w:r>
              <w:rPr>
                <w:rFonts w:ascii="Calibri" w:hAnsi="Calibri"/>
                <w:color w:val="334155"/>
                <w:sz w:val="17"/>
              </w:rPr>
              <w:t>Capacity dan regression.</w:t>
            </w:r>
          </w:p>
        </w:tc>
        <w:tc>
          <w:tcPr>
            <w:tcW w:type="dxa" w:w="4860"/>
            <w:tcMar>
              <w:top w:w="80" w:type="dxa"/>
              <w:start w:w="120" w:type="dxa"/>
              <w:bottom w:w="80" w:type="dxa"/>
              <w:end w:w="120" w:type="dxa"/>
            </w:tcMar>
            <w:vAlign w:val="center"/>
          </w:tcPr>
          <w:p>
            <w:pPr>
              <w:spacing w:after="0" w:line="252" w:lineRule="auto"/>
            </w:pPr>
            <w:r>
              <w:rPr>
                <w:rFonts w:ascii="Calibri" w:hAnsi="Calibri"/>
                <w:color w:val="334155"/>
                <w:sz w:val="17"/>
              </w:rPr>
              <w:t>Catalog read, checkout write, dashboard query, websocket.</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334155"/>
                <w:sz w:val="17"/>
              </w:rPr>
              <w:t>AI evaluation</w:t>
            </w:r>
          </w:p>
        </w:tc>
        <w:tc>
          <w:tcPr>
            <w:tcW w:type="dxa" w:w="2900"/>
            <w:tcMar>
              <w:top w:w="80" w:type="dxa"/>
              <w:start w:w="120" w:type="dxa"/>
              <w:bottom w:w="80" w:type="dxa"/>
              <w:end w:w="120" w:type="dxa"/>
            </w:tcMar>
            <w:vAlign w:val="center"/>
          </w:tcPr>
          <w:p>
            <w:pPr>
              <w:spacing w:after="0" w:line="252" w:lineRule="auto"/>
            </w:pPr>
            <w:r>
              <w:rPr>
                <w:rFonts w:ascii="Calibri" w:hAnsi="Calibri"/>
                <w:color w:val="334155"/>
                <w:sz w:val="17"/>
              </w:rPr>
              <w:t>Relevance, safety, factuality, isolation.</w:t>
            </w:r>
          </w:p>
        </w:tc>
        <w:tc>
          <w:tcPr>
            <w:tcW w:type="dxa" w:w="4860"/>
            <w:tcMar>
              <w:top w:w="80" w:type="dxa"/>
              <w:start w:w="120" w:type="dxa"/>
              <w:bottom w:w="80" w:type="dxa"/>
              <w:end w:w="120" w:type="dxa"/>
            </w:tcMar>
            <w:vAlign w:val="center"/>
          </w:tcPr>
          <w:p>
            <w:pPr>
              <w:spacing w:after="0" w:line="252" w:lineRule="auto"/>
            </w:pPr>
            <w:r>
              <w:rPr>
                <w:rFonts w:ascii="Calibri" w:hAnsi="Calibri"/>
                <w:color w:val="334155"/>
                <w:sz w:val="17"/>
              </w:rPr>
              <w:t>Golden set, red-team, segmented metrics, provider regression.</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334155"/>
                <w:sz w:val="17"/>
              </w:rPr>
              <w:t>Disaster recovery</w:t>
            </w:r>
          </w:p>
        </w:tc>
        <w:tc>
          <w:tcPr>
            <w:tcW w:type="dxa" w:w="2900"/>
            <w:tcMar>
              <w:top w:w="80" w:type="dxa"/>
              <w:start w:w="120" w:type="dxa"/>
              <w:bottom w:w="80" w:type="dxa"/>
              <w:end w:w="120" w:type="dxa"/>
            </w:tcMar>
            <w:vAlign w:val="center"/>
          </w:tcPr>
          <w:p>
            <w:pPr>
              <w:spacing w:after="0" w:line="252" w:lineRule="auto"/>
            </w:pPr>
            <w:r>
              <w:rPr>
                <w:rFonts w:ascii="Calibri" w:hAnsi="Calibri"/>
                <w:color w:val="334155"/>
                <w:sz w:val="17"/>
              </w:rPr>
              <w:t>Backup/restore dan failover.</w:t>
            </w:r>
          </w:p>
        </w:tc>
        <w:tc>
          <w:tcPr>
            <w:tcW w:type="dxa" w:w="4860"/>
            <w:tcMar>
              <w:top w:w="80" w:type="dxa"/>
              <w:start w:w="120" w:type="dxa"/>
              <w:bottom w:w="80" w:type="dxa"/>
              <w:end w:w="120" w:type="dxa"/>
            </w:tcMar>
            <w:vAlign w:val="center"/>
          </w:tcPr>
          <w:p>
            <w:pPr>
              <w:spacing w:after="0" w:line="252" w:lineRule="auto"/>
            </w:pPr>
            <w:r>
              <w:rPr>
                <w:rFonts w:ascii="Calibri" w:hAnsi="Calibri"/>
                <w:color w:val="334155"/>
                <w:sz w:val="17"/>
              </w:rPr>
              <w:t>Restore sampled production-like backup; verify ledger.</w:t>
            </w:r>
          </w:p>
        </w:tc>
      </w:tr>
    </w:tbl>
    <w:p>
      <w:pPr>
        <w:spacing w:after="40"/>
      </w:pPr>
    </w:p>
    <w:p>
      <w:pPr>
        <w:pStyle w:val="Heading3"/>
        <w:keepNext/>
      </w:pPr>
      <w:r>
        <w:rPr>
          <w:rFonts w:ascii="Calibri" w:hAnsi="Calibri"/>
          <w:b/>
          <w:color w:val="172033"/>
          <w:sz w:val="24"/>
        </w:rPr>
        <w:t>23.1 Test data rules</w:t>
      </w:r>
    </w:p>
    <w:p>
      <w:pPr>
        <w:numPr>
          <w:ilvl w:val="0"/>
          <w:numId w:val="10"/>
        </w:numPr>
        <w:spacing w:after="160" w:line="280" w:lineRule="auto"/>
        <w:keepLines/>
      </w:pPr>
      <w:r>
        <w:rPr>
          <w:rFonts w:ascii="Calibri" w:hAnsi="Calibri"/>
          <w:color w:val="334155"/>
          <w:sz w:val="22"/>
        </w:rPr>
        <w:t>Synthetic data only di CI/staging; production PII tidak disalin.</w:t>
      </w:r>
    </w:p>
    <w:p>
      <w:pPr>
        <w:numPr>
          <w:ilvl w:val="0"/>
          <w:numId w:val="10"/>
        </w:numPr>
        <w:spacing w:after="160" w:line="280" w:lineRule="auto"/>
        <w:keepLines/>
      </w:pPr>
      <w:r>
        <w:rPr>
          <w:rFonts w:ascii="Calibri" w:hAnsi="Calibri"/>
          <w:color w:val="334155"/>
          <w:sz w:val="22"/>
        </w:rPr>
        <w:t>Fixture multi-tenant wajib menyertakan negative access assertions.</w:t>
      </w:r>
    </w:p>
    <w:p>
      <w:pPr>
        <w:numPr>
          <w:ilvl w:val="0"/>
          <w:numId w:val="10"/>
        </w:numPr>
        <w:spacing w:after="160" w:line="280" w:lineRule="auto"/>
        <w:keepLines/>
      </w:pPr>
      <w:r>
        <w:rPr>
          <w:rFonts w:ascii="Calibri" w:hAnsi="Calibri"/>
          <w:color w:val="334155"/>
          <w:sz w:val="22"/>
        </w:rPr>
        <w:t>Payment/courier menggunakan sandbox dan signed webhook fixtures.</w:t>
      </w:r>
    </w:p>
    <w:p>
      <w:pPr>
        <w:numPr>
          <w:ilvl w:val="0"/>
          <w:numId w:val="10"/>
        </w:numPr>
        <w:spacing w:after="160" w:line="280" w:lineRule="auto"/>
        <w:keepLines/>
      </w:pPr>
      <w:r>
        <w:rPr>
          <w:rFonts w:ascii="Calibri" w:hAnsi="Calibri"/>
          <w:color w:val="334155"/>
          <w:sz w:val="22"/>
        </w:rPr>
        <w:t>AI golden dataset menggunakan consented/synthetic examples, category coverage, red flags, budget constraints, dan adversarial injection.</w:t>
      </w:r>
    </w:p>
    <w:p>
      <w:pPr>
        <w:numPr>
          <w:ilvl w:val="0"/>
          <w:numId w:val="10"/>
        </w:numPr>
        <w:spacing w:after="160" w:line="280" w:lineRule="auto"/>
        <w:keepLines/>
      </w:pPr>
      <w:r>
        <w:rPr>
          <w:rFonts w:ascii="Calibri" w:hAnsi="Calibri"/>
          <w:color w:val="334155"/>
          <w:sz w:val="22"/>
        </w:rPr>
        <w:t>Financial property tests memastikan ledger balance, refund reversal, dan commission invariants.</w:t>
      </w:r>
    </w:p>
    <w:p>
      <w:pPr>
        <w:pStyle w:val="Heading2"/>
        <w:keepNext/>
      </w:pPr>
      <w:r>
        <w:rPr>
          <w:rFonts w:ascii="Calibri" w:hAnsi="Calibri"/>
          <w:b/>
          <w:color w:val="4F46E5"/>
          <w:sz w:val="26"/>
        </w:rPr>
        <w:t>24. Observability dan operations</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700"/>
        <w:gridCol w:w="4300"/>
        <w:gridCol w:w="3360"/>
      </w:tblGrid>
      <w:tr>
        <w:trPr>
          <w:tblHeader w:val="true"/>
          <w:cantSplit/>
        </w:trPr>
        <w:tc>
          <w:tcPr>
            <w:tcW w:type="dxa" w:w="17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Signal</w:t>
            </w:r>
          </w:p>
        </w:tc>
        <w:tc>
          <w:tcPr>
            <w:tcW w:type="dxa" w:w="43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Yang dicatat</w:t>
            </w:r>
          </w:p>
        </w:tc>
        <w:tc>
          <w:tcPr>
            <w:tcW w:type="dxa" w:w="33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7"/>
              </w:rPr>
              <w:t>Larangan</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color w:val="334155"/>
                <w:sz w:val="17"/>
              </w:rPr>
              <w:t>Logs</w:t>
            </w:r>
          </w:p>
        </w:tc>
        <w:tc>
          <w:tcPr>
            <w:tcW w:type="dxa" w:w="4300"/>
            <w:tcMar>
              <w:top w:w="80" w:type="dxa"/>
              <w:start w:w="120" w:type="dxa"/>
              <w:bottom w:w="80" w:type="dxa"/>
              <w:end w:w="120" w:type="dxa"/>
            </w:tcMar>
            <w:vAlign w:val="center"/>
          </w:tcPr>
          <w:p>
            <w:pPr>
              <w:spacing w:after="0" w:line="252" w:lineRule="auto"/>
            </w:pPr>
            <w:r>
              <w:rPr>
                <w:rFonts w:ascii="Calibri" w:hAnsi="Calibri"/>
                <w:color w:val="334155"/>
                <w:sz w:val="17"/>
              </w:rPr>
              <w:t>Event name, actor/tenant surrogate, resource, status, correlation ID.</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Password, token, full address, raw photo, health notes, card data.</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color w:val="334155"/>
                <w:sz w:val="17"/>
              </w:rPr>
              <w:t>Metrics</w:t>
            </w:r>
          </w:p>
        </w:tc>
        <w:tc>
          <w:tcPr>
            <w:tcW w:type="dxa" w:w="4300"/>
            <w:tcMar>
              <w:top w:w="80" w:type="dxa"/>
              <w:start w:w="120" w:type="dxa"/>
              <w:bottom w:w="80" w:type="dxa"/>
              <w:end w:w="120" w:type="dxa"/>
            </w:tcMar>
            <w:vAlign w:val="center"/>
          </w:tcPr>
          <w:p>
            <w:pPr>
              <w:spacing w:after="0" w:line="252" w:lineRule="auto"/>
            </w:pPr>
            <w:r>
              <w:rPr>
                <w:rFonts w:ascii="Calibri" w:hAnsi="Calibri"/>
                <w:color w:val="334155"/>
                <w:sz w:val="17"/>
              </w:rPr>
              <w:t>Latency, error, queue lag, cache hit, DB pool, webhook failures, AI cost/quality.</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High-cardinality raw PII labels.</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color w:val="334155"/>
                <w:sz w:val="17"/>
              </w:rPr>
              <w:t>Traces</w:t>
            </w:r>
          </w:p>
        </w:tc>
        <w:tc>
          <w:tcPr>
            <w:tcW w:type="dxa" w:w="4300"/>
            <w:tcMar>
              <w:top w:w="80" w:type="dxa"/>
              <w:start w:w="120" w:type="dxa"/>
              <w:bottom w:w="80" w:type="dxa"/>
              <w:end w:w="120" w:type="dxa"/>
            </w:tcMar>
            <w:vAlign w:val="center"/>
          </w:tcPr>
          <w:p>
            <w:pPr>
              <w:spacing w:after="0" w:line="252" w:lineRule="auto"/>
            </w:pPr>
            <w:r>
              <w:rPr>
                <w:rFonts w:ascii="Calibri" w:hAnsi="Calibri"/>
                <w:color w:val="334155"/>
                <w:sz w:val="17"/>
              </w:rPr>
              <w:t>Storefront→API→DB/worker/provider spans.</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Prompt/image payload sensitif tanpa redaction.</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color w:val="334155"/>
                <w:sz w:val="17"/>
              </w:rPr>
              <w:t>Audit</w:t>
            </w:r>
          </w:p>
        </w:tc>
        <w:tc>
          <w:tcPr>
            <w:tcW w:type="dxa" w:w="4300"/>
            <w:tcMar>
              <w:top w:w="80" w:type="dxa"/>
              <w:start w:w="120" w:type="dxa"/>
              <w:bottom w:w="80" w:type="dxa"/>
              <w:end w:w="120" w:type="dxa"/>
            </w:tcMar>
            <w:vAlign w:val="center"/>
          </w:tcPr>
          <w:p>
            <w:pPr>
              <w:spacing w:after="0" w:line="252" w:lineRule="auto"/>
            </w:pPr>
            <w:r>
              <w:rPr>
                <w:rFonts w:ascii="Calibri" w:hAnsi="Calibri"/>
                <w:color w:val="334155"/>
                <w:sz w:val="17"/>
              </w:rPr>
              <w:t>Privileged action, before/after safe diff, reason, source.</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Mutable deletion by normal admin.</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color w:val="334155"/>
                <w:sz w:val="17"/>
              </w:rPr>
              <w:t>Alerts</w:t>
            </w:r>
          </w:p>
        </w:tc>
        <w:tc>
          <w:tcPr>
            <w:tcW w:type="dxa" w:w="4300"/>
            <w:tcMar>
              <w:top w:w="80" w:type="dxa"/>
              <w:start w:w="120" w:type="dxa"/>
              <w:bottom w:w="80" w:type="dxa"/>
              <w:end w:w="120" w:type="dxa"/>
            </w:tcMar>
            <w:vAlign w:val="center"/>
          </w:tcPr>
          <w:p>
            <w:pPr>
              <w:spacing w:after="0" w:line="252" w:lineRule="auto"/>
            </w:pPr>
            <w:r>
              <w:rPr>
                <w:rFonts w:ascii="Calibri" w:hAnsi="Calibri"/>
                <w:color w:val="334155"/>
                <w:sz w:val="17"/>
              </w:rPr>
              <w:t>SLO burn, payment/payout mismatch, auth abuse, isolation violation, AI safety breach.</w:t>
            </w:r>
          </w:p>
        </w:tc>
        <w:tc>
          <w:tcPr>
            <w:tcW w:type="dxa" w:w="3360"/>
            <w:tcMar>
              <w:top w:w="80" w:type="dxa"/>
              <w:start w:w="120" w:type="dxa"/>
              <w:bottom w:w="80" w:type="dxa"/>
              <w:end w:w="120" w:type="dxa"/>
            </w:tcMar>
            <w:vAlign w:val="center"/>
          </w:tcPr>
          <w:p>
            <w:pPr>
              <w:spacing w:after="0" w:line="252" w:lineRule="auto"/>
            </w:pPr>
            <w:r>
              <w:rPr>
                <w:rFonts w:ascii="Calibri" w:hAnsi="Calibri"/>
                <w:color w:val="334155"/>
                <w:sz w:val="17"/>
              </w:rPr>
              <w:t>Noisy alert tanpa owner/runbook.</w:t>
            </w:r>
          </w:p>
        </w:tc>
      </w:tr>
    </w:tbl>
    <w:p>
      <w:pPr>
        <w:spacing w:after="40"/>
      </w:pPr>
    </w:p>
    <w:p>
      <w:pPr>
        <w:pStyle w:val="Heading2"/>
        <w:keepNext/>
      </w:pPr>
      <w:r>
        <w:rPr>
          <w:rFonts w:ascii="Calibri" w:hAnsi="Calibri"/>
          <w:b/>
          <w:color w:val="4F46E5"/>
          <w:sz w:val="26"/>
        </w:rPr>
        <w:t>25. Roadmap eksekusi</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600"/>
        <w:gridCol w:w="1900"/>
        <w:gridCol w:w="4000"/>
        <w:gridCol w:w="1860"/>
      </w:tblGrid>
      <w:tr>
        <w:trPr>
          <w:tblHeader w:val="true"/>
          <w:cantSplit/>
        </w:trPr>
        <w:tc>
          <w:tcPr>
            <w:tcW w:type="dxa" w:w="16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5"/>
              </w:rPr>
              <w:t>Fase</w:t>
            </w:r>
          </w:p>
        </w:tc>
        <w:tc>
          <w:tcPr>
            <w:tcW w:type="dxa" w:w="19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5"/>
              </w:rPr>
              <w:t>Outcome</w:t>
            </w:r>
          </w:p>
        </w:tc>
        <w:tc>
          <w:tcPr>
            <w:tcW w:type="dxa" w:w="40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5"/>
              </w:rPr>
              <w:t>Cakupan utama</w:t>
            </w:r>
          </w:p>
        </w:tc>
        <w:tc>
          <w:tcPr>
            <w:tcW w:type="dxa" w:w="18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5"/>
              </w:rPr>
              <w:t>Exit gate</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334155"/>
                <w:sz w:val="15"/>
              </w:rPr>
              <w:t>0 — Discovery &amp; risk</w:t>
            </w:r>
          </w:p>
        </w:tc>
        <w:tc>
          <w:tcPr>
            <w:tcW w:type="dxa" w:w="1900"/>
            <w:tcMar>
              <w:top w:w="80" w:type="dxa"/>
              <w:start w:w="120" w:type="dxa"/>
              <w:bottom w:w="80" w:type="dxa"/>
              <w:end w:w="120" w:type="dxa"/>
            </w:tcMar>
            <w:vAlign w:val="center"/>
          </w:tcPr>
          <w:p>
            <w:pPr>
              <w:spacing w:after="0" w:line="252" w:lineRule="auto"/>
            </w:pPr>
            <w:r>
              <w:rPr>
                <w:rFonts w:ascii="Calibri" w:hAnsi="Calibri"/>
                <w:color w:val="334155"/>
                <w:sz w:val="15"/>
              </w:rPr>
              <w:t>Keputusan bisnis/legal terkunci.</w:t>
            </w:r>
          </w:p>
        </w:tc>
        <w:tc>
          <w:tcPr>
            <w:tcW w:type="dxa" w:w="4000"/>
            <w:tcMar>
              <w:top w:w="80" w:type="dxa"/>
              <w:start w:w="120" w:type="dxa"/>
              <w:bottom w:w="80" w:type="dxa"/>
              <w:end w:w="120" w:type="dxa"/>
            </w:tcMar>
            <w:vAlign w:val="center"/>
          </w:tcPr>
          <w:p>
            <w:pPr>
              <w:spacing w:after="0" w:line="252" w:lineRule="auto"/>
            </w:pPr>
            <w:r>
              <w:rPr>
                <w:rFonts w:ascii="Calibri" w:hAnsi="Calibri"/>
                <w:color w:val="334155"/>
                <w:sz w:val="15"/>
              </w:rPr>
              <w:t>Service taxonomy, dental/treatment scope, commission, payout, cancel, data map, provider selection, threat model.</w:t>
            </w:r>
          </w:p>
        </w:tc>
        <w:tc>
          <w:tcPr>
            <w:tcW w:type="dxa" w:w="1860"/>
            <w:tcMar>
              <w:top w:w="80" w:type="dxa"/>
              <w:start w:w="120" w:type="dxa"/>
              <w:bottom w:w="80" w:type="dxa"/>
              <w:end w:w="120" w:type="dxa"/>
            </w:tcMar>
            <w:vAlign w:val="center"/>
          </w:tcPr>
          <w:p>
            <w:pPr>
              <w:spacing w:after="0" w:line="252" w:lineRule="auto"/>
            </w:pPr>
            <w:r>
              <w:rPr>
                <w:rFonts w:ascii="Calibri" w:hAnsi="Calibri"/>
                <w:color w:val="334155"/>
                <w:sz w:val="15"/>
              </w:rPr>
              <w:t>Open decisions critical selesai.</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334155"/>
                <w:sz w:val="15"/>
              </w:rPr>
              <w:t>1 — Foundation</w:t>
            </w:r>
          </w:p>
        </w:tc>
        <w:tc>
          <w:tcPr>
            <w:tcW w:type="dxa" w:w="1900"/>
            <w:tcMar>
              <w:top w:w="80" w:type="dxa"/>
              <w:start w:w="120" w:type="dxa"/>
              <w:bottom w:w="80" w:type="dxa"/>
              <w:end w:w="120" w:type="dxa"/>
            </w:tcMar>
            <w:vAlign w:val="center"/>
          </w:tcPr>
          <w:p>
            <w:pPr>
              <w:spacing w:after="0" w:line="252" w:lineRule="auto"/>
            </w:pPr>
            <w:r>
              <w:rPr>
                <w:rFonts w:ascii="Calibri" w:hAnsi="Calibri"/>
                <w:color w:val="334155"/>
                <w:sz w:val="15"/>
              </w:rPr>
              <w:t>Skeleton production-grade.</w:t>
            </w:r>
          </w:p>
        </w:tc>
        <w:tc>
          <w:tcPr>
            <w:tcW w:type="dxa" w:w="4000"/>
            <w:tcMar>
              <w:top w:w="80" w:type="dxa"/>
              <w:start w:w="120" w:type="dxa"/>
              <w:bottom w:w="80" w:type="dxa"/>
              <w:end w:w="120" w:type="dxa"/>
            </w:tcMar>
            <w:vAlign w:val="center"/>
          </w:tcPr>
          <w:p>
            <w:pPr>
              <w:spacing w:after="0" w:line="252" w:lineRule="auto"/>
            </w:pPr>
            <w:r>
              <w:rPr>
                <w:rFonts w:ascii="Calibri" w:hAnsi="Calibri"/>
                <w:color w:val="334155"/>
                <w:sz w:val="15"/>
              </w:rPr>
              <w:t>Monorepo, FastAPI modules, Postgres/Redis/Qdrant local, CI, auth, RBAC/ABAC, audit, observability.</w:t>
            </w:r>
          </w:p>
        </w:tc>
        <w:tc>
          <w:tcPr>
            <w:tcW w:type="dxa" w:w="1860"/>
            <w:tcMar>
              <w:top w:w="80" w:type="dxa"/>
              <w:start w:w="120" w:type="dxa"/>
              <w:bottom w:w="80" w:type="dxa"/>
              <w:end w:w="120" w:type="dxa"/>
            </w:tcMar>
            <w:vAlign w:val="center"/>
          </w:tcPr>
          <w:p>
            <w:pPr>
              <w:spacing w:after="0" w:line="252" w:lineRule="auto"/>
            </w:pPr>
            <w:r>
              <w:rPr>
                <w:rFonts w:ascii="Calibri" w:hAnsi="Calibri"/>
                <w:color w:val="334155"/>
                <w:sz w:val="15"/>
              </w:rPr>
              <w:t>Tenant isolation + auth tests pass.</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334155"/>
                <w:sz w:val="15"/>
              </w:rPr>
              <w:t>2 — Supply &amp; admin</w:t>
            </w:r>
          </w:p>
        </w:tc>
        <w:tc>
          <w:tcPr>
            <w:tcW w:type="dxa" w:w="1900"/>
            <w:tcMar>
              <w:top w:w="80" w:type="dxa"/>
              <w:start w:w="120" w:type="dxa"/>
              <w:bottom w:w="80" w:type="dxa"/>
              <w:end w:w="120" w:type="dxa"/>
            </w:tcMar>
            <w:vAlign w:val="center"/>
          </w:tcPr>
          <w:p>
            <w:pPr>
              <w:spacing w:after="0" w:line="252" w:lineRule="auto"/>
            </w:pPr>
            <w:r>
              <w:rPr>
                <w:rFonts w:ascii="Calibri" w:hAnsi="Calibri"/>
                <w:color w:val="334155"/>
                <w:sz w:val="15"/>
              </w:rPr>
              <w:t>Partner siap beroperasi.</w:t>
            </w:r>
          </w:p>
        </w:tc>
        <w:tc>
          <w:tcPr>
            <w:tcW w:type="dxa" w:w="4000"/>
            <w:tcMar>
              <w:top w:w="80" w:type="dxa"/>
              <w:start w:w="120" w:type="dxa"/>
              <w:bottom w:w="80" w:type="dxa"/>
              <w:end w:w="120" w:type="dxa"/>
            </w:tcMar>
            <w:vAlign w:val="center"/>
          </w:tcPr>
          <w:p>
            <w:pPr>
              <w:spacing w:after="0" w:line="252" w:lineRule="auto"/>
            </w:pPr>
            <w:r>
              <w:rPr>
                <w:rFonts w:ascii="Calibri" w:hAnsi="Calibri"/>
                <w:color w:val="334155"/>
                <w:sz w:val="15"/>
              </w:rPr>
              <w:t>Onboarding, verification, catalog, service, professional, availability, moderation.</w:t>
            </w:r>
          </w:p>
        </w:tc>
        <w:tc>
          <w:tcPr>
            <w:tcW w:type="dxa" w:w="1860"/>
            <w:tcMar>
              <w:top w:w="80" w:type="dxa"/>
              <w:start w:w="120" w:type="dxa"/>
              <w:bottom w:w="80" w:type="dxa"/>
              <w:end w:w="120" w:type="dxa"/>
            </w:tcMar>
            <w:vAlign w:val="center"/>
          </w:tcPr>
          <w:p>
            <w:pPr>
              <w:spacing w:after="0" w:line="252" w:lineRule="auto"/>
            </w:pPr>
            <w:r>
              <w:rPr>
                <w:rFonts w:ascii="Calibri" w:hAnsi="Calibri"/>
                <w:color w:val="334155"/>
                <w:sz w:val="15"/>
              </w:rPr>
              <w:t>Partner approved dapat publish safely.</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334155"/>
                <w:sz w:val="15"/>
              </w:rPr>
              <w:t>3 — Commerce core</w:t>
            </w:r>
          </w:p>
        </w:tc>
        <w:tc>
          <w:tcPr>
            <w:tcW w:type="dxa" w:w="1900"/>
            <w:tcMar>
              <w:top w:w="80" w:type="dxa"/>
              <w:start w:w="120" w:type="dxa"/>
              <w:bottom w:w="80" w:type="dxa"/>
              <w:end w:w="120" w:type="dxa"/>
            </w:tcMar>
            <w:vAlign w:val="center"/>
          </w:tcPr>
          <w:p>
            <w:pPr>
              <w:spacing w:after="0" w:line="252" w:lineRule="auto"/>
            </w:pPr>
            <w:r>
              <w:rPr>
                <w:rFonts w:ascii="Calibri" w:hAnsi="Calibri"/>
                <w:color w:val="334155"/>
                <w:sz w:val="15"/>
              </w:rPr>
              <w:t>Transaksi produk end-to-end.</w:t>
            </w:r>
          </w:p>
        </w:tc>
        <w:tc>
          <w:tcPr>
            <w:tcW w:type="dxa" w:w="4000"/>
            <w:tcMar>
              <w:top w:w="80" w:type="dxa"/>
              <w:start w:w="120" w:type="dxa"/>
              <w:bottom w:w="80" w:type="dxa"/>
              <w:end w:w="120" w:type="dxa"/>
            </w:tcMar>
            <w:vAlign w:val="center"/>
          </w:tcPr>
          <w:p>
            <w:pPr>
              <w:spacing w:after="0" w:line="252" w:lineRule="auto"/>
            </w:pPr>
            <w:r>
              <w:rPr>
                <w:rFonts w:ascii="Calibri" w:hAnsi="Calibri"/>
                <w:color w:val="334155"/>
                <w:sz w:val="15"/>
              </w:rPr>
              <w:t>Cart, quote, checkout, payment, order, inventory, shipment, ledger, settlement.</w:t>
            </w:r>
          </w:p>
        </w:tc>
        <w:tc>
          <w:tcPr>
            <w:tcW w:type="dxa" w:w="1860"/>
            <w:tcMar>
              <w:top w:w="80" w:type="dxa"/>
              <w:start w:w="120" w:type="dxa"/>
              <w:bottom w:w="80" w:type="dxa"/>
              <w:end w:w="120" w:type="dxa"/>
            </w:tcMar>
            <w:vAlign w:val="center"/>
          </w:tcPr>
          <w:p>
            <w:pPr>
              <w:spacing w:after="0" w:line="252" w:lineRule="auto"/>
            </w:pPr>
            <w:r>
              <w:rPr>
                <w:rFonts w:ascii="Calibri" w:hAnsi="Calibri"/>
                <w:color w:val="334155"/>
                <w:sz w:val="15"/>
              </w:rPr>
              <w:t>Reconciliation dan concurrency pass.</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334155"/>
                <w:sz w:val="15"/>
              </w:rPr>
              <w:t>4 — Home service</w:t>
            </w:r>
          </w:p>
        </w:tc>
        <w:tc>
          <w:tcPr>
            <w:tcW w:type="dxa" w:w="1900"/>
            <w:tcMar>
              <w:top w:w="80" w:type="dxa"/>
              <w:start w:w="120" w:type="dxa"/>
              <w:bottom w:w="80" w:type="dxa"/>
              <w:end w:w="120" w:type="dxa"/>
            </w:tcMar>
            <w:vAlign w:val="center"/>
          </w:tcPr>
          <w:p>
            <w:pPr>
              <w:spacing w:after="0" w:line="252" w:lineRule="auto"/>
            </w:pPr>
            <w:r>
              <w:rPr>
                <w:rFonts w:ascii="Calibri" w:hAnsi="Calibri"/>
                <w:color w:val="334155"/>
                <w:sz w:val="15"/>
              </w:rPr>
              <w:t>Booking end-to-end.</w:t>
            </w:r>
          </w:p>
        </w:tc>
        <w:tc>
          <w:tcPr>
            <w:tcW w:type="dxa" w:w="4000"/>
            <w:tcMar>
              <w:top w:w="80" w:type="dxa"/>
              <w:start w:w="120" w:type="dxa"/>
              <w:bottom w:w="80" w:type="dxa"/>
              <w:end w:w="120" w:type="dxa"/>
            </w:tcMar>
            <w:vAlign w:val="center"/>
          </w:tcPr>
          <w:p>
            <w:pPr>
              <w:spacing w:after="0" w:line="252" w:lineRule="auto"/>
            </w:pPr>
            <w:r>
              <w:rPr>
                <w:rFonts w:ascii="Calibri" w:hAnsi="Calibri"/>
                <w:color w:val="334155"/>
                <w:sz w:val="15"/>
              </w:rPr>
              <w:t>Slot hold, assignment, status, tracking, OTP/evidence, cancel/no-show.</w:t>
            </w:r>
          </w:p>
        </w:tc>
        <w:tc>
          <w:tcPr>
            <w:tcW w:type="dxa" w:w="1860"/>
            <w:tcMar>
              <w:top w:w="80" w:type="dxa"/>
              <w:start w:w="120" w:type="dxa"/>
              <w:bottom w:w="80" w:type="dxa"/>
              <w:end w:w="120" w:type="dxa"/>
            </w:tcMar>
            <w:vAlign w:val="center"/>
          </w:tcPr>
          <w:p>
            <w:pPr>
              <w:spacing w:after="0" w:line="252" w:lineRule="auto"/>
            </w:pPr>
            <w:r>
              <w:rPr>
                <w:rFonts w:ascii="Calibri" w:hAnsi="Calibri"/>
                <w:color w:val="334155"/>
                <w:sz w:val="15"/>
              </w:rPr>
              <w:t>No overlap; location access tests pass.</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334155"/>
                <w:sz w:val="15"/>
              </w:rPr>
              <w:t>5 — AI v1</w:t>
            </w:r>
          </w:p>
        </w:tc>
        <w:tc>
          <w:tcPr>
            <w:tcW w:type="dxa" w:w="1900"/>
            <w:tcMar>
              <w:top w:w="80" w:type="dxa"/>
              <w:start w:w="120" w:type="dxa"/>
              <w:bottom w:w="80" w:type="dxa"/>
              <w:end w:w="120" w:type="dxa"/>
            </w:tcMar>
            <w:vAlign w:val="center"/>
          </w:tcPr>
          <w:p>
            <w:pPr>
              <w:spacing w:after="0" w:line="252" w:lineRule="auto"/>
            </w:pPr>
            <w:r>
              <w:rPr>
                <w:rFonts w:ascii="Calibri" w:hAnsi="Calibri"/>
                <w:color w:val="334155"/>
                <w:sz w:val="15"/>
              </w:rPr>
              <w:t>AI memberi nilai terukur.</w:t>
            </w:r>
          </w:p>
        </w:tc>
        <w:tc>
          <w:tcPr>
            <w:tcW w:type="dxa" w:w="4000"/>
            <w:tcMar>
              <w:top w:w="80" w:type="dxa"/>
              <w:start w:w="120" w:type="dxa"/>
              <w:bottom w:w="80" w:type="dxa"/>
              <w:end w:w="120" w:type="dxa"/>
            </w:tcMar>
            <w:vAlign w:val="center"/>
          </w:tcPr>
          <w:p>
            <w:pPr>
              <w:spacing w:after="0" w:line="252" w:lineRule="auto"/>
            </w:pPr>
            <w:r>
              <w:rPr>
                <w:rFonts w:ascii="Calibri" w:hAnsi="Calibri"/>
                <w:color w:val="334155"/>
                <w:sz w:val="15"/>
              </w:rPr>
              <w:t>Text recommender, RAG catalog, partner SQL summary, traces, eval, fallback.</w:t>
            </w:r>
          </w:p>
        </w:tc>
        <w:tc>
          <w:tcPr>
            <w:tcW w:type="dxa" w:w="1860"/>
            <w:tcMar>
              <w:top w:w="80" w:type="dxa"/>
              <w:start w:w="120" w:type="dxa"/>
              <w:bottom w:w="80" w:type="dxa"/>
              <w:end w:w="120" w:type="dxa"/>
            </w:tcMar>
            <w:vAlign w:val="center"/>
          </w:tcPr>
          <w:p>
            <w:pPr>
              <w:spacing w:after="0" w:line="252" w:lineRule="auto"/>
            </w:pPr>
            <w:r>
              <w:rPr>
                <w:rFonts w:ascii="Calibri" w:hAnsi="Calibri"/>
                <w:color w:val="334155"/>
                <w:sz w:val="15"/>
              </w:rPr>
              <w:t>Safety/factuality/isolation gates pass.</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334155"/>
                <w:sz w:val="15"/>
              </w:rPr>
              <w:t>6 — AI photo &amp; scale</w:t>
            </w:r>
          </w:p>
        </w:tc>
        <w:tc>
          <w:tcPr>
            <w:tcW w:type="dxa" w:w="1900"/>
            <w:tcMar>
              <w:top w:w="80" w:type="dxa"/>
              <w:start w:w="120" w:type="dxa"/>
              <w:bottom w:w="80" w:type="dxa"/>
              <w:end w:w="120" w:type="dxa"/>
            </w:tcMar>
            <w:vAlign w:val="center"/>
          </w:tcPr>
          <w:p>
            <w:pPr>
              <w:spacing w:after="0" w:line="252" w:lineRule="auto"/>
            </w:pPr>
            <w:r>
              <w:rPr>
                <w:rFonts w:ascii="Calibri" w:hAnsi="Calibri"/>
                <w:color w:val="334155"/>
                <w:sz w:val="15"/>
              </w:rPr>
              <w:t>Multimodal + optimization.</w:t>
            </w:r>
          </w:p>
        </w:tc>
        <w:tc>
          <w:tcPr>
            <w:tcW w:type="dxa" w:w="4000"/>
            <w:tcMar>
              <w:top w:w="80" w:type="dxa"/>
              <w:start w:w="120" w:type="dxa"/>
              <w:bottom w:w="80" w:type="dxa"/>
              <w:end w:w="120" w:type="dxa"/>
            </w:tcMar>
            <w:vAlign w:val="center"/>
          </w:tcPr>
          <w:p>
            <w:pPr>
              <w:spacing w:after="0" w:line="252" w:lineRule="auto"/>
            </w:pPr>
            <w:r>
              <w:rPr>
                <w:rFonts w:ascii="Calibri" w:hAnsi="Calibri"/>
                <w:color w:val="334155"/>
                <w:sz w:val="15"/>
              </w:rPr>
              <w:t>Photo consent/TTL, vision pipeline, live GPS, courier, load tuning, advanced analytics.</w:t>
            </w:r>
          </w:p>
        </w:tc>
        <w:tc>
          <w:tcPr>
            <w:tcW w:type="dxa" w:w="1860"/>
            <w:tcMar>
              <w:top w:w="80" w:type="dxa"/>
              <w:start w:w="120" w:type="dxa"/>
              <w:bottom w:w="80" w:type="dxa"/>
              <w:end w:w="120" w:type="dxa"/>
            </w:tcMar>
            <w:vAlign w:val="center"/>
          </w:tcPr>
          <w:p>
            <w:pPr>
              <w:spacing w:after="0" w:line="252" w:lineRule="auto"/>
            </w:pPr>
            <w:r>
              <w:rPr>
                <w:rFonts w:ascii="Calibri" w:hAnsi="Calibri"/>
                <w:color w:val="334155"/>
                <w:sz w:val="15"/>
              </w:rPr>
              <w:t>Privacy review + staged rollout.</w:t>
            </w:r>
          </w:p>
        </w:tc>
      </w:tr>
    </w:tbl>
    <w:p>
      <w:pPr>
        <w:spacing w:after="40"/>
      </w:pPr>
    </w:p>
    <w:p>
      <w:pPr>
        <w:pStyle w:val="Heading3"/>
        <w:keepNext/>
      </w:pPr>
      <w:r>
        <w:rPr>
          <w:rFonts w:ascii="Calibri" w:hAnsi="Calibri"/>
          <w:b/>
          <w:color w:val="172033"/>
          <w:sz w:val="24"/>
        </w:rPr>
        <w:t>25.1 Urutan sprint awal yang direkomendasikan</w:t>
      </w:r>
    </w:p>
    <w:p>
      <w:pPr>
        <w:numPr>
          <w:ilvl w:val="0"/>
          <w:numId w:val="19"/>
        </w:numPr>
        <w:spacing w:after="160" w:line="280" w:lineRule="auto"/>
        <w:keepLines/>
      </w:pPr>
      <w:r>
        <w:rPr>
          <w:rFonts w:ascii="Calibri" w:hAnsi="Calibri"/>
          <w:color w:val="334155"/>
          <w:sz w:val="22"/>
        </w:rPr>
        <w:t>Sprint 0: domain workshop, service risk classification, state machines, commission formula, data classification, architecture decision records.</w:t>
      </w:r>
    </w:p>
    <w:p>
      <w:pPr>
        <w:numPr>
          <w:ilvl w:val="0"/>
          <w:numId w:val="19"/>
        </w:numPr>
        <w:spacing w:after="160" w:line="280" w:lineRule="auto"/>
        <w:keepLines/>
      </w:pPr>
      <w:r>
        <w:rPr>
          <w:rFonts w:ascii="Calibri" w:hAnsi="Calibri"/>
          <w:color w:val="334155"/>
          <w:sz w:val="22"/>
        </w:rPr>
        <w:t>Sprint 1: repository, environments, CI, design system, FastAPI skeleton, migrations, health checks, logging.</w:t>
      </w:r>
    </w:p>
    <w:p>
      <w:pPr>
        <w:numPr>
          <w:ilvl w:val="0"/>
          <w:numId w:val="19"/>
        </w:numPr>
        <w:spacing w:after="160" w:line="280" w:lineRule="auto"/>
        <w:keepLines/>
      </w:pPr>
      <w:r>
        <w:rPr>
          <w:rFonts w:ascii="Calibri" w:hAnsi="Calibri"/>
          <w:color w:val="334155"/>
          <w:sz w:val="22"/>
        </w:rPr>
        <w:t>Sprint 2: users, sessions, MFA foundation, partner organization, membership, RBAC/ABAC, RLS, audit.</w:t>
      </w:r>
    </w:p>
    <w:p>
      <w:pPr>
        <w:numPr>
          <w:ilvl w:val="0"/>
          <w:numId w:val="19"/>
        </w:numPr>
        <w:spacing w:after="160" w:line="280" w:lineRule="auto"/>
        <w:keepLines/>
      </w:pPr>
      <w:r>
        <w:rPr>
          <w:rFonts w:ascii="Calibri" w:hAnsi="Calibri"/>
          <w:color w:val="334155"/>
          <w:sz w:val="22"/>
        </w:rPr>
        <w:t>Sprint 3: partner application, verification, private upload pipeline, product/service/professional catalog.</w:t>
      </w:r>
    </w:p>
    <w:p>
      <w:pPr>
        <w:numPr>
          <w:ilvl w:val="0"/>
          <w:numId w:val="19"/>
        </w:numPr>
        <w:spacing w:after="160" w:line="280" w:lineRule="auto"/>
        <w:keepLines/>
      </w:pPr>
      <w:r>
        <w:rPr>
          <w:rFonts w:ascii="Calibri" w:hAnsi="Calibri"/>
          <w:color w:val="334155"/>
          <w:sz w:val="22"/>
        </w:rPr>
        <w:t>Sprint 4: inventory, availability, customer discovery, cart and quote.</w:t>
      </w:r>
    </w:p>
    <w:p>
      <w:pPr>
        <w:numPr>
          <w:ilvl w:val="0"/>
          <w:numId w:val="19"/>
        </w:numPr>
        <w:spacing w:after="160" w:line="280" w:lineRule="auto"/>
        <w:keepLines/>
      </w:pPr>
      <w:r>
        <w:rPr>
          <w:rFonts w:ascii="Calibri" w:hAnsi="Calibri"/>
          <w:color w:val="334155"/>
          <w:sz w:val="22"/>
        </w:rPr>
        <w:t>Sprint 5: checkout, payment sandbox, order/booking split, webhook inbox/outbox.</w:t>
      </w:r>
    </w:p>
    <w:p>
      <w:pPr>
        <w:numPr>
          <w:ilvl w:val="0"/>
          <w:numId w:val="19"/>
        </w:numPr>
        <w:spacing w:after="160" w:line="280" w:lineRule="auto"/>
        <w:keepLines/>
      </w:pPr>
      <w:r>
        <w:rPr>
          <w:rFonts w:ascii="Calibri" w:hAnsi="Calibri"/>
          <w:color w:val="334155"/>
          <w:sz w:val="22"/>
        </w:rPr>
        <w:t>Sprint 6: fulfillment/tracking, ledger/commission/settlement, partner dashboard.</w:t>
      </w:r>
    </w:p>
    <w:p>
      <w:pPr>
        <w:numPr>
          <w:ilvl w:val="0"/>
          <w:numId w:val="19"/>
        </w:numPr>
        <w:spacing w:after="160" w:line="280" w:lineRule="auto"/>
        <w:keepLines/>
      </w:pPr>
      <w:r>
        <w:rPr>
          <w:rFonts w:ascii="Calibri" w:hAnsi="Calibri"/>
          <w:color w:val="334155"/>
          <w:sz w:val="22"/>
        </w:rPr>
        <w:t>Sprint 7: AI text recommendation + partner insight behind feature flag and evaluation.</w:t>
      </w:r>
    </w:p>
    <w:p>
      <w:pPr>
        <w:pStyle w:val="Heading2"/>
        <w:keepNext/>
      </w:pPr>
      <w:r>
        <w:rPr>
          <w:rFonts w:ascii="Calibri" w:hAnsi="Calibri"/>
          <w:b/>
          <w:color w:val="4F46E5"/>
          <w:sz w:val="26"/>
        </w:rPr>
        <w:t>26. Risiko utama dan mitigasi</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200"/>
        <w:gridCol w:w="2700"/>
        <w:gridCol w:w="4460"/>
      </w:tblGrid>
      <w:tr>
        <w:trPr>
          <w:tblHeader w:val="true"/>
          <w:cantSplit/>
        </w:trPr>
        <w:tc>
          <w:tcPr>
            <w:tcW w:type="dxa" w:w="22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6"/>
              </w:rPr>
              <w:t>Risiko</w:t>
            </w:r>
          </w:p>
        </w:tc>
        <w:tc>
          <w:tcPr>
            <w:tcW w:type="dxa" w:w="27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6"/>
              </w:rPr>
              <w:t>Dampak</w:t>
            </w:r>
          </w:p>
        </w:tc>
        <w:tc>
          <w:tcPr>
            <w:tcW w:type="dxa" w:w="44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6"/>
              </w:rPr>
              <w:t>Mitigasi</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334155"/>
                <w:sz w:val="16"/>
              </w:rPr>
              <w:t>Scope terlalu luas</w:t>
            </w:r>
          </w:p>
        </w:tc>
        <w:tc>
          <w:tcPr>
            <w:tcW w:type="dxa" w:w="2700"/>
            <w:tcMar>
              <w:top w:w="80" w:type="dxa"/>
              <w:start w:w="120" w:type="dxa"/>
              <w:bottom w:w="80" w:type="dxa"/>
              <w:end w:w="120" w:type="dxa"/>
            </w:tcMar>
            <w:vAlign w:val="center"/>
          </w:tcPr>
          <w:p>
            <w:pPr>
              <w:spacing w:after="0" w:line="252" w:lineRule="auto"/>
            </w:pPr>
            <w:r>
              <w:rPr>
                <w:rFonts w:ascii="Calibri" w:hAnsi="Calibri"/>
                <w:color w:val="334155"/>
                <w:sz w:val="16"/>
              </w:rPr>
              <w:t>MVP lambat dan tidak stabil.</w:t>
            </w:r>
          </w:p>
        </w:tc>
        <w:tc>
          <w:tcPr>
            <w:tcW w:type="dxa" w:w="4460"/>
            <w:tcMar>
              <w:top w:w="80" w:type="dxa"/>
              <w:start w:w="120" w:type="dxa"/>
              <w:bottom w:w="80" w:type="dxa"/>
              <w:end w:w="120" w:type="dxa"/>
            </w:tcMar>
            <w:vAlign w:val="center"/>
          </w:tcPr>
          <w:p>
            <w:pPr>
              <w:spacing w:after="0" w:line="252" w:lineRule="auto"/>
            </w:pPr>
            <w:r>
              <w:rPr>
                <w:rFonts w:ascii="Calibri" w:hAnsi="Calibri"/>
                <w:color w:val="334155"/>
                <w:sz w:val="16"/>
              </w:rPr>
              <w:t>Pisahkan product commerce, service booking, AI; gunakan phase gates.</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334155"/>
                <w:sz w:val="16"/>
              </w:rPr>
              <w:t>Dental/treatment compliance</w:t>
            </w:r>
          </w:p>
        </w:tc>
        <w:tc>
          <w:tcPr>
            <w:tcW w:type="dxa" w:w="2700"/>
            <w:tcMar>
              <w:top w:w="80" w:type="dxa"/>
              <w:start w:w="120" w:type="dxa"/>
              <w:bottom w:w="80" w:type="dxa"/>
              <w:end w:w="120" w:type="dxa"/>
            </w:tcMar>
            <w:vAlign w:val="center"/>
          </w:tcPr>
          <w:p>
            <w:pPr>
              <w:spacing w:after="0" w:line="252" w:lineRule="auto"/>
            </w:pPr>
            <w:r>
              <w:rPr>
                <w:rFonts w:ascii="Calibri" w:hAnsi="Calibri"/>
                <w:color w:val="334155"/>
                <w:sz w:val="16"/>
              </w:rPr>
              <w:t>Legal, safety, reputasi.</w:t>
            </w:r>
          </w:p>
        </w:tc>
        <w:tc>
          <w:tcPr>
            <w:tcW w:type="dxa" w:w="4460"/>
            <w:tcMar>
              <w:top w:w="80" w:type="dxa"/>
              <w:start w:w="120" w:type="dxa"/>
              <w:bottom w:w="80" w:type="dxa"/>
              <w:end w:w="120" w:type="dxa"/>
            </w:tcMar>
            <w:vAlign w:val="center"/>
          </w:tcPr>
          <w:p>
            <w:pPr>
              <w:spacing w:after="0" w:line="252" w:lineRule="auto"/>
            </w:pPr>
            <w:r>
              <w:rPr>
                <w:rFonts w:ascii="Calibri" w:hAnsi="Calibri"/>
                <w:color w:val="334155"/>
                <w:sz w:val="16"/>
              </w:rPr>
              <w:t>Batasi kategori, verify credential, legal/clinical review, insurance, SOP.</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334155"/>
                <w:sz w:val="16"/>
              </w:rPr>
              <w:t>Marketplace payments</w:t>
            </w:r>
          </w:p>
        </w:tc>
        <w:tc>
          <w:tcPr>
            <w:tcW w:type="dxa" w:w="2700"/>
            <w:tcMar>
              <w:top w:w="80" w:type="dxa"/>
              <w:start w:w="120" w:type="dxa"/>
              <w:bottom w:w="80" w:type="dxa"/>
              <w:end w:w="120" w:type="dxa"/>
            </w:tcMar>
            <w:vAlign w:val="center"/>
          </w:tcPr>
          <w:p>
            <w:pPr>
              <w:spacing w:after="0" w:line="252" w:lineRule="auto"/>
            </w:pPr>
            <w:r>
              <w:rPr>
                <w:rFonts w:ascii="Calibri" w:hAnsi="Calibri"/>
                <w:color w:val="334155"/>
                <w:sz w:val="16"/>
              </w:rPr>
              <w:t>Reconciliation/payout error.</w:t>
            </w:r>
          </w:p>
        </w:tc>
        <w:tc>
          <w:tcPr>
            <w:tcW w:type="dxa" w:w="4460"/>
            <w:tcMar>
              <w:top w:w="80" w:type="dxa"/>
              <w:start w:w="120" w:type="dxa"/>
              <w:bottom w:w="80" w:type="dxa"/>
              <w:end w:w="120" w:type="dxa"/>
            </w:tcMar>
            <w:vAlign w:val="center"/>
          </w:tcPr>
          <w:p>
            <w:pPr>
              <w:spacing w:after="0" w:line="252" w:lineRule="auto"/>
            </w:pPr>
            <w:r>
              <w:rPr>
                <w:rFonts w:ascii="Calibri" w:hAnsi="Calibri"/>
                <w:color w:val="334155"/>
                <w:sz w:val="16"/>
              </w:rPr>
              <w:t>Provider marketplace, immutable ledger, idempotency, daily reconciliation.</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334155"/>
                <w:sz w:val="16"/>
              </w:rPr>
              <w:t>Fraud / fake partner</w:t>
            </w:r>
          </w:p>
        </w:tc>
        <w:tc>
          <w:tcPr>
            <w:tcW w:type="dxa" w:w="2700"/>
            <w:tcMar>
              <w:top w:w="80" w:type="dxa"/>
              <w:start w:w="120" w:type="dxa"/>
              <w:bottom w:w="80" w:type="dxa"/>
              <w:end w:w="120" w:type="dxa"/>
            </w:tcMar>
            <w:vAlign w:val="center"/>
          </w:tcPr>
          <w:p>
            <w:pPr>
              <w:spacing w:after="0" w:line="252" w:lineRule="auto"/>
            </w:pPr>
            <w:r>
              <w:rPr>
                <w:rFonts w:ascii="Calibri" w:hAnsi="Calibri"/>
                <w:color w:val="334155"/>
                <w:sz w:val="16"/>
              </w:rPr>
              <w:t>Kerugian dan customer harm.</w:t>
            </w:r>
          </w:p>
        </w:tc>
        <w:tc>
          <w:tcPr>
            <w:tcW w:type="dxa" w:w="4460"/>
            <w:tcMar>
              <w:top w:w="80" w:type="dxa"/>
              <w:start w:w="120" w:type="dxa"/>
              <w:bottom w:w="80" w:type="dxa"/>
              <w:end w:w="120" w:type="dxa"/>
            </w:tcMar>
            <w:vAlign w:val="center"/>
          </w:tcPr>
          <w:p>
            <w:pPr>
              <w:spacing w:after="0" w:line="252" w:lineRule="auto"/>
            </w:pPr>
            <w:r>
              <w:rPr>
                <w:rFonts w:ascii="Calibri" w:hAnsi="Calibri"/>
                <w:color w:val="334155"/>
                <w:sz w:val="16"/>
              </w:rPr>
              <w:t>KYB/KYC, credential, risk scoring, reserve/hold, moderation.</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334155"/>
                <w:sz w:val="16"/>
              </w:rPr>
              <w:t>Cross-tenant leakage</w:t>
            </w:r>
          </w:p>
        </w:tc>
        <w:tc>
          <w:tcPr>
            <w:tcW w:type="dxa" w:w="2700"/>
            <w:tcMar>
              <w:top w:w="80" w:type="dxa"/>
              <w:start w:w="120" w:type="dxa"/>
              <w:bottom w:w="80" w:type="dxa"/>
              <w:end w:w="120" w:type="dxa"/>
            </w:tcMar>
            <w:vAlign w:val="center"/>
          </w:tcPr>
          <w:p>
            <w:pPr>
              <w:spacing w:after="0" w:line="252" w:lineRule="auto"/>
            </w:pPr>
            <w:r>
              <w:rPr>
                <w:rFonts w:ascii="Calibri" w:hAnsi="Calibri"/>
                <w:color w:val="334155"/>
                <w:sz w:val="16"/>
              </w:rPr>
              <w:t>Data breach kritis.</w:t>
            </w:r>
          </w:p>
        </w:tc>
        <w:tc>
          <w:tcPr>
            <w:tcW w:type="dxa" w:w="4460"/>
            <w:tcMar>
              <w:top w:w="80" w:type="dxa"/>
              <w:start w:w="120" w:type="dxa"/>
              <w:bottom w:w="80" w:type="dxa"/>
              <w:end w:w="120" w:type="dxa"/>
            </w:tcMar>
            <w:vAlign w:val="center"/>
          </w:tcPr>
          <w:p>
            <w:pPr>
              <w:spacing w:after="0" w:line="252" w:lineRule="auto"/>
            </w:pPr>
            <w:r>
              <w:rPr>
                <w:rFonts w:ascii="Calibri" w:hAnsi="Calibri"/>
                <w:color w:val="334155"/>
                <w:sz w:val="16"/>
              </w:rPr>
              <w:t>Context-derived tenant, RLS, payload filters, isolation suite, least privilege.</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334155"/>
                <w:sz w:val="16"/>
              </w:rPr>
              <w:t>AI overclaim</w:t>
            </w:r>
          </w:p>
        </w:tc>
        <w:tc>
          <w:tcPr>
            <w:tcW w:type="dxa" w:w="2700"/>
            <w:tcMar>
              <w:top w:w="80" w:type="dxa"/>
              <w:start w:w="120" w:type="dxa"/>
              <w:bottom w:w="80" w:type="dxa"/>
              <w:end w:w="120" w:type="dxa"/>
            </w:tcMar>
            <w:vAlign w:val="center"/>
          </w:tcPr>
          <w:p>
            <w:pPr>
              <w:spacing w:after="0" w:line="252" w:lineRule="auto"/>
            </w:pPr>
            <w:r>
              <w:rPr>
                <w:rFonts w:ascii="Calibri" w:hAnsi="Calibri"/>
                <w:color w:val="334155"/>
                <w:sz w:val="16"/>
              </w:rPr>
              <w:t>Customer harm dan liability.</w:t>
            </w:r>
          </w:p>
        </w:tc>
        <w:tc>
          <w:tcPr>
            <w:tcW w:type="dxa" w:w="4460"/>
            <w:tcMar>
              <w:top w:w="80" w:type="dxa"/>
              <w:start w:w="120" w:type="dxa"/>
              <w:bottom w:w="80" w:type="dxa"/>
              <w:end w:w="120" w:type="dxa"/>
            </w:tcMar>
            <w:vAlign w:val="center"/>
          </w:tcPr>
          <w:p>
            <w:pPr>
              <w:spacing w:after="0" w:line="252" w:lineRule="auto"/>
            </w:pPr>
            <w:r>
              <w:rPr>
                <w:rFonts w:ascii="Calibri" w:hAnsi="Calibri"/>
                <w:color w:val="334155"/>
                <w:sz w:val="16"/>
              </w:rPr>
              <w:t>Non-diagnostic policy, hard rules, confidence, escalation, human review.</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334155"/>
                <w:sz w:val="16"/>
              </w:rPr>
              <w:t>Photo/location privacy</w:t>
            </w:r>
          </w:p>
        </w:tc>
        <w:tc>
          <w:tcPr>
            <w:tcW w:type="dxa" w:w="2700"/>
            <w:tcMar>
              <w:top w:w="80" w:type="dxa"/>
              <w:start w:w="120" w:type="dxa"/>
              <w:bottom w:w="80" w:type="dxa"/>
              <w:end w:w="120" w:type="dxa"/>
            </w:tcMar>
            <w:vAlign w:val="center"/>
          </w:tcPr>
          <w:p>
            <w:pPr>
              <w:spacing w:after="0" w:line="252" w:lineRule="auto"/>
            </w:pPr>
            <w:r>
              <w:rPr>
                <w:rFonts w:ascii="Calibri" w:hAnsi="Calibri"/>
                <w:color w:val="334155"/>
                <w:sz w:val="16"/>
              </w:rPr>
              <w:t>Sensitive data exposure.</w:t>
            </w:r>
          </w:p>
        </w:tc>
        <w:tc>
          <w:tcPr>
            <w:tcW w:type="dxa" w:w="4460"/>
            <w:tcMar>
              <w:top w:w="80" w:type="dxa"/>
              <w:start w:w="120" w:type="dxa"/>
              <w:bottom w:w="80" w:type="dxa"/>
              <w:end w:w="120" w:type="dxa"/>
            </w:tcMar>
            <w:vAlign w:val="center"/>
          </w:tcPr>
          <w:p>
            <w:pPr>
              <w:spacing w:after="0" w:line="252" w:lineRule="auto"/>
            </w:pPr>
            <w:r>
              <w:rPr>
                <w:rFonts w:ascii="Calibri" w:hAnsi="Calibri"/>
                <w:color w:val="334155"/>
                <w:sz w:val="16"/>
              </w:rPr>
              <w:t>Explicit consent, short TTL, no raw logs/vectors, access-scoped tokens.</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334155"/>
                <w:sz w:val="16"/>
              </w:rPr>
              <w:t>Oversell/double-book</w:t>
            </w:r>
          </w:p>
        </w:tc>
        <w:tc>
          <w:tcPr>
            <w:tcW w:type="dxa" w:w="2700"/>
            <w:tcMar>
              <w:top w:w="80" w:type="dxa"/>
              <w:start w:w="120" w:type="dxa"/>
              <w:bottom w:w="80" w:type="dxa"/>
              <w:end w:w="120" w:type="dxa"/>
            </w:tcMar>
            <w:vAlign w:val="center"/>
          </w:tcPr>
          <w:p>
            <w:pPr>
              <w:spacing w:after="0" w:line="252" w:lineRule="auto"/>
            </w:pPr>
            <w:r>
              <w:rPr>
                <w:rFonts w:ascii="Calibri" w:hAnsi="Calibri"/>
                <w:color w:val="334155"/>
                <w:sz w:val="16"/>
              </w:rPr>
              <w:t>Cancel dan trust loss.</w:t>
            </w:r>
          </w:p>
        </w:tc>
        <w:tc>
          <w:tcPr>
            <w:tcW w:type="dxa" w:w="4460"/>
            <w:tcMar>
              <w:top w:w="80" w:type="dxa"/>
              <w:start w:w="120" w:type="dxa"/>
              <w:bottom w:w="80" w:type="dxa"/>
              <w:end w:w="120" w:type="dxa"/>
            </w:tcMar>
            <w:vAlign w:val="center"/>
          </w:tcPr>
          <w:p>
            <w:pPr>
              <w:spacing w:after="0" w:line="252" w:lineRule="auto"/>
            </w:pPr>
            <w:r>
              <w:rPr>
                <w:rFonts w:ascii="Calibri" w:hAnsi="Calibri"/>
                <w:color w:val="334155"/>
                <w:sz w:val="16"/>
              </w:rPr>
              <w:t>Reservation, constraints/locks, idempotency, concurrency tests.</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334155"/>
                <w:sz w:val="16"/>
              </w:rPr>
              <w:t>10% economics</w:t>
            </w:r>
          </w:p>
        </w:tc>
        <w:tc>
          <w:tcPr>
            <w:tcW w:type="dxa" w:w="2700"/>
            <w:tcMar>
              <w:top w:w="80" w:type="dxa"/>
              <w:start w:w="120" w:type="dxa"/>
              <w:bottom w:w="80" w:type="dxa"/>
              <w:end w:w="120" w:type="dxa"/>
            </w:tcMar>
            <w:vAlign w:val="center"/>
          </w:tcPr>
          <w:p>
            <w:pPr>
              <w:spacing w:after="0" w:line="252" w:lineRule="auto"/>
            </w:pPr>
            <w:r>
              <w:rPr>
                <w:rFonts w:ascii="Calibri" w:hAnsi="Calibri"/>
                <w:color w:val="334155"/>
                <w:sz w:val="16"/>
              </w:rPr>
              <w:t>Margin negatif.</w:t>
            </w:r>
          </w:p>
        </w:tc>
        <w:tc>
          <w:tcPr>
            <w:tcW w:type="dxa" w:w="4460"/>
            <w:tcMar>
              <w:top w:w="80" w:type="dxa"/>
              <w:start w:w="120" w:type="dxa"/>
              <w:bottom w:w="80" w:type="dxa"/>
              <w:end w:w="120" w:type="dxa"/>
            </w:tcMar>
            <w:vAlign w:val="center"/>
          </w:tcPr>
          <w:p>
            <w:pPr>
              <w:spacing w:after="0" w:line="252" w:lineRule="auto"/>
            </w:pPr>
            <w:r>
              <w:rPr>
                <w:rFonts w:ascii="Calibri" w:hAnsi="Calibri"/>
                <w:color w:val="334155"/>
                <w:sz w:val="16"/>
              </w:rPr>
              <w:t>Model COGS gateway/support/refund/incentive; category-based sensitivity analysis.</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334155"/>
                <w:sz w:val="16"/>
              </w:rPr>
              <w:t>Provider outage</w:t>
            </w:r>
          </w:p>
        </w:tc>
        <w:tc>
          <w:tcPr>
            <w:tcW w:type="dxa" w:w="2700"/>
            <w:tcMar>
              <w:top w:w="80" w:type="dxa"/>
              <w:start w:w="120" w:type="dxa"/>
              <w:bottom w:w="80" w:type="dxa"/>
              <w:end w:w="120" w:type="dxa"/>
            </w:tcMar>
            <w:vAlign w:val="center"/>
          </w:tcPr>
          <w:p>
            <w:pPr>
              <w:spacing w:after="0" w:line="252" w:lineRule="auto"/>
            </w:pPr>
            <w:r>
              <w:rPr>
                <w:rFonts w:ascii="Calibri" w:hAnsi="Calibri"/>
                <w:color w:val="334155"/>
                <w:sz w:val="16"/>
              </w:rPr>
              <w:t>Payment/AI/maps terganggu.</w:t>
            </w:r>
          </w:p>
        </w:tc>
        <w:tc>
          <w:tcPr>
            <w:tcW w:type="dxa" w:w="4460"/>
            <w:tcMar>
              <w:top w:w="80" w:type="dxa"/>
              <w:start w:w="120" w:type="dxa"/>
              <w:bottom w:w="80" w:type="dxa"/>
              <w:end w:w="120" w:type="dxa"/>
            </w:tcMar>
            <w:vAlign w:val="center"/>
          </w:tcPr>
          <w:p>
            <w:pPr>
              <w:spacing w:after="0" w:line="252" w:lineRule="auto"/>
            </w:pPr>
            <w:r>
              <w:rPr>
                <w:rFonts w:ascii="Calibri" w:hAnsi="Calibri"/>
                <w:color w:val="334155"/>
                <w:sz w:val="16"/>
              </w:rPr>
              <w:t>Timeout, retry, circuit breaker, fallback, provider abstraction.</w:t>
            </w:r>
          </w:p>
        </w:tc>
      </w:tr>
    </w:tbl>
    <w:p>
      <w:pPr>
        <w:spacing w:after="40"/>
      </w:pPr>
    </w:p>
    <w:p>
      <w:pPr>
        <w:pStyle w:val="Heading2"/>
        <w:keepNext/>
      </w:pPr>
      <w:r>
        <w:rPr>
          <w:rFonts w:ascii="Calibri" w:hAnsi="Calibri"/>
          <w:b/>
          <w:color w:val="4F46E5"/>
          <w:sz w:val="26"/>
        </w:rPr>
        <w:t>27. Open decisions sebelum coding penuh</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100"/>
        <w:gridCol w:w="8260"/>
      </w:tblGrid>
      <w:tr>
        <w:trPr>
          <w:tblHeader w:val="true"/>
          <w:cantSplit/>
        </w:trPr>
        <w:tc>
          <w:tcPr>
            <w:tcW w:type="dxa" w:w="11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8"/>
              </w:rPr>
              <w:t>ID</w:t>
            </w:r>
          </w:p>
        </w:tc>
        <w:tc>
          <w:tcPr>
            <w:tcW w:type="dxa" w:w="82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8"/>
              </w:rPr>
              <w:t>Keputusan</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color w:val="334155"/>
                <w:sz w:val="18"/>
              </w:rPr>
              <w:t>OD-01</w:t>
            </w:r>
          </w:p>
        </w:tc>
        <w:tc>
          <w:tcPr>
            <w:tcW w:type="dxa" w:w="8260"/>
            <w:tcMar>
              <w:top w:w="80" w:type="dxa"/>
              <w:start w:w="120" w:type="dxa"/>
              <w:bottom w:w="80" w:type="dxa"/>
              <w:end w:w="120" w:type="dxa"/>
            </w:tcMar>
            <w:vAlign w:val="center"/>
          </w:tcPr>
          <w:p>
            <w:pPr>
              <w:spacing w:after="0" w:line="252" w:lineRule="auto"/>
            </w:pPr>
            <w:r>
              <w:rPr>
                <w:rFonts w:ascii="Calibri" w:hAnsi="Calibri"/>
                <w:color w:val="334155"/>
                <w:sz w:val="18"/>
              </w:rPr>
              <w:t>Apakah cart boleh lintas partner dan mencampur produk + service dalam satu payment? Rekomendasi: boleh pada UX, tetapi backend membagi child orders.</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color w:val="334155"/>
                <w:sz w:val="18"/>
              </w:rPr>
              <w:t>OD-02</w:t>
            </w:r>
          </w:p>
        </w:tc>
        <w:tc>
          <w:tcPr>
            <w:tcW w:type="dxa" w:w="8260"/>
            <w:tcMar>
              <w:top w:w="80" w:type="dxa"/>
              <w:start w:w="120" w:type="dxa"/>
              <w:bottom w:w="80" w:type="dxa"/>
              <w:end w:w="120" w:type="dxa"/>
            </w:tcMar>
            <w:vAlign w:val="center"/>
          </w:tcPr>
          <w:p>
            <w:pPr>
              <w:spacing w:after="0" w:line="252" w:lineRule="auto"/>
            </w:pPr>
            <w:r>
              <w:rPr>
                <w:rFonts w:ascii="Calibri" w:hAnsi="Calibri"/>
                <w:color w:val="334155"/>
                <w:sz w:val="18"/>
              </w:rPr>
              <w:t>Dasar komisi 10% dan siapa menanggung diskon, gateway fee, ongkir, travel fee, refund, pajak.</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color w:val="334155"/>
                <w:sz w:val="18"/>
              </w:rPr>
              <w:t>OD-03</w:t>
            </w:r>
          </w:p>
        </w:tc>
        <w:tc>
          <w:tcPr>
            <w:tcW w:type="dxa" w:w="8260"/>
            <w:tcMar>
              <w:top w:w="80" w:type="dxa"/>
              <w:start w:w="120" w:type="dxa"/>
              <w:bottom w:w="80" w:type="dxa"/>
              <w:end w:w="120" w:type="dxa"/>
            </w:tcMar>
            <w:vAlign w:val="center"/>
          </w:tcPr>
          <w:p>
            <w:pPr>
              <w:spacing w:after="0" w:line="252" w:lineRule="auto"/>
            </w:pPr>
            <w:r>
              <w:rPr>
                <w:rFonts w:ascii="Calibri" w:hAnsi="Calibri"/>
                <w:color w:val="334155"/>
                <w:sz w:val="18"/>
              </w:rPr>
              <w:t>Payment gateway, marketplace payout/disbursement, settlement hold, chargeback, dan kebutuhan escrow.</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color w:val="334155"/>
                <w:sz w:val="18"/>
              </w:rPr>
              <w:t>OD-04</w:t>
            </w:r>
          </w:p>
        </w:tc>
        <w:tc>
          <w:tcPr>
            <w:tcW w:type="dxa" w:w="8260"/>
            <w:tcMar>
              <w:top w:w="80" w:type="dxa"/>
              <w:start w:w="120" w:type="dxa"/>
              <w:bottom w:w="80" w:type="dxa"/>
              <w:end w:w="120" w:type="dxa"/>
            </w:tcMar>
            <w:vAlign w:val="center"/>
          </w:tcPr>
          <w:p>
            <w:pPr>
              <w:spacing w:after="0" w:line="252" w:lineRule="auto"/>
            </w:pPr>
            <w:r>
              <w:rPr>
                <w:rFonts w:ascii="Calibri" w:hAnsi="Calibri"/>
                <w:color w:val="334155"/>
                <w:sz w:val="18"/>
              </w:rPr>
              <w:t>Daftar kategori treatment/dental yang diizinkan, credential per kategori, batas layanan rumah, dan clinical escalation.</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color w:val="334155"/>
                <w:sz w:val="18"/>
              </w:rPr>
              <w:t>OD-05</w:t>
            </w:r>
          </w:p>
        </w:tc>
        <w:tc>
          <w:tcPr>
            <w:tcW w:type="dxa" w:w="8260"/>
            <w:tcMar>
              <w:top w:w="80" w:type="dxa"/>
              <w:start w:w="120" w:type="dxa"/>
              <w:bottom w:w="80" w:type="dxa"/>
              <w:end w:w="120" w:type="dxa"/>
            </w:tcMar>
            <w:vAlign w:val="center"/>
          </w:tcPr>
          <w:p>
            <w:pPr>
              <w:spacing w:after="0" w:line="252" w:lineRule="auto"/>
            </w:pPr>
            <w:r>
              <w:rPr>
                <w:rFonts w:ascii="Calibri" w:hAnsi="Calibri"/>
                <w:color w:val="334155"/>
                <w:sz w:val="18"/>
              </w:rPr>
              <w:t>Apakah professional harus accept booking atau auto-confirm berdasarkan availability.</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color w:val="334155"/>
                <w:sz w:val="18"/>
              </w:rPr>
              <w:t>OD-06</w:t>
            </w:r>
          </w:p>
        </w:tc>
        <w:tc>
          <w:tcPr>
            <w:tcW w:type="dxa" w:w="8260"/>
            <w:tcMar>
              <w:top w:w="80" w:type="dxa"/>
              <w:start w:w="120" w:type="dxa"/>
              <w:bottom w:w="80" w:type="dxa"/>
              <w:end w:w="120" w:type="dxa"/>
            </w:tcMar>
            <w:vAlign w:val="center"/>
          </w:tcPr>
          <w:p>
            <w:pPr>
              <w:spacing w:after="0" w:line="252" w:lineRule="auto"/>
            </w:pPr>
            <w:r>
              <w:rPr>
                <w:rFonts w:ascii="Calibri" w:hAnsi="Calibri"/>
                <w:color w:val="334155"/>
                <w:sz w:val="18"/>
              </w:rPr>
              <w:t>Service area: radius, polygon, kota, atau gabungan; aturan travel fee.</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color w:val="334155"/>
                <w:sz w:val="18"/>
              </w:rPr>
              <w:t>OD-07</w:t>
            </w:r>
          </w:p>
        </w:tc>
        <w:tc>
          <w:tcPr>
            <w:tcW w:type="dxa" w:w="8260"/>
            <w:tcMar>
              <w:top w:w="80" w:type="dxa"/>
              <w:start w:w="120" w:type="dxa"/>
              <w:bottom w:w="80" w:type="dxa"/>
              <w:end w:w="120" w:type="dxa"/>
            </w:tcMar>
            <w:vAlign w:val="center"/>
          </w:tcPr>
          <w:p>
            <w:pPr>
              <w:spacing w:after="0" w:line="252" w:lineRule="auto"/>
            </w:pPr>
            <w:r>
              <w:rPr>
                <w:rFonts w:ascii="Calibri" w:hAnsi="Calibri"/>
                <w:color w:val="334155"/>
                <w:sz w:val="18"/>
              </w:rPr>
              <w:t>Kebijakan cancellation/no-show untuk customer, partner, dan professional.</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color w:val="334155"/>
                <w:sz w:val="18"/>
              </w:rPr>
              <w:t>OD-08</w:t>
            </w:r>
          </w:p>
        </w:tc>
        <w:tc>
          <w:tcPr>
            <w:tcW w:type="dxa" w:w="8260"/>
            <w:tcMar>
              <w:top w:w="80" w:type="dxa"/>
              <w:start w:w="120" w:type="dxa"/>
              <w:bottom w:w="80" w:type="dxa"/>
              <w:end w:w="120" w:type="dxa"/>
            </w:tcMar>
            <w:vAlign w:val="center"/>
          </w:tcPr>
          <w:p>
            <w:pPr>
              <w:spacing w:after="0" w:line="252" w:lineRule="auto"/>
            </w:pPr>
            <w:r>
              <w:rPr>
                <w:rFonts w:ascii="Calibri" w:hAnsi="Calibri"/>
                <w:color w:val="334155"/>
                <w:sz w:val="18"/>
              </w:rPr>
              <w:t>Retensi foto AI, lokasi, chat, verification docs, audit, dan finance.</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color w:val="334155"/>
                <w:sz w:val="18"/>
              </w:rPr>
              <w:t>OD-09</w:t>
            </w:r>
          </w:p>
        </w:tc>
        <w:tc>
          <w:tcPr>
            <w:tcW w:type="dxa" w:w="8260"/>
            <w:tcMar>
              <w:top w:w="80" w:type="dxa"/>
              <w:start w:w="120" w:type="dxa"/>
              <w:bottom w:w="80" w:type="dxa"/>
              <w:end w:w="120" w:type="dxa"/>
            </w:tcMar>
            <w:vAlign w:val="center"/>
          </w:tcPr>
          <w:p>
            <w:pPr>
              <w:spacing w:after="0" w:line="252" w:lineRule="auto"/>
            </w:pPr>
            <w:r>
              <w:rPr>
                <w:rFonts w:ascii="Calibri" w:hAnsi="Calibri"/>
                <w:color w:val="334155"/>
                <w:sz w:val="18"/>
              </w:rPr>
              <w:t>Provider AI, model multimodal, region/data-use terms, cost ceiling, dan fallback.</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color w:val="334155"/>
                <w:sz w:val="18"/>
              </w:rPr>
              <w:t>OD-10</w:t>
            </w:r>
          </w:p>
        </w:tc>
        <w:tc>
          <w:tcPr>
            <w:tcW w:type="dxa" w:w="8260"/>
            <w:tcMar>
              <w:top w:w="80" w:type="dxa"/>
              <w:start w:w="120" w:type="dxa"/>
              <w:bottom w:w="80" w:type="dxa"/>
              <w:end w:w="120" w:type="dxa"/>
            </w:tcMar>
            <w:vAlign w:val="center"/>
          </w:tcPr>
          <w:p>
            <w:pPr>
              <w:spacing w:after="0" w:line="252" w:lineRule="auto"/>
            </w:pPr>
            <w:r>
              <w:rPr>
                <w:rFonts w:ascii="Calibri" w:hAnsi="Calibri"/>
                <w:color w:val="334155"/>
                <w:sz w:val="18"/>
              </w:rPr>
              <w:t>Apakah AI hanya merekomendasikan listing sponsor/partner; jika ya harus diberi label dan tidak merusak ranking safety.</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color w:val="334155"/>
                <w:sz w:val="18"/>
              </w:rPr>
              <w:t>OD-11</w:t>
            </w:r>
          </w:p>
        </w:tc>
        <w:tc>
          <w:tcPr>
            <w:tcW w:type="dxa" w:w="8260"/>
            <w:tcMar>
              <w:top w:w="80" w:type="dxa"/>
              <w:start w:w="120" w:type="dxa"/>
              <w:bottom w:w="80" w:type="dxa"/>
              <w:end w:w="120" w:type="dxa"/>
            </w:tcMar>
            <w:vAlign w:val="center"/>
          </w:tcPr>
          <w:p>
            <w:pPr>
              <w:spacing w:after="0" w:line="252" w:lineRule="auto"/>
            </w:pPr>
            <w:r>
              <w:rPr>
                <w:rFonts w:ascii="Calibri" w:hAnsi="Calibri"/>
                <w:color w:val="334155"/>
                <w:sz w:val="18"/>
              </w:rPr>
              <w:t>Customer identity/age requirement dan layanan yang membutuhkan consent tambahan.</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color w:val="334155"/>
                <w:sz w:val="18"/>
              </w:rPr>
              <w:t>OD-12</w:t>
            </w:r>
          </w:p>
        </w:tc>
        <w:tc>
          <w:tcPr>
            <w:tcW w:type="dxa" w:w="8260"/>
            <w:tcMar>
              <w:top w:w="80" w:type="dxa"/>
              <w:start w:w="120" w:type="dxa"/>
              <w:bottom w:w="80" w:type="dxa"/>
              <w:end w:w="120" w:type="dxa"/>
            </w:tcMar>
            <w:vAlign w:val="center"/>
          </w:tcPr>
          <w:p>
            <w:pPr>
              <w:spacing w:after="0" w:line="252" w:lineRule="auto"/>
            </w:pPr>
            <w:r>
              <w:rPr>
                <w:rFonts w:ascii="Calibri" w:hAnsi="Calibri"/>
                <w:color w:val="334155"/>
                <w:sz w:val="18"/>
              </w:rPr>
              <w:t>MVP geography, SLA professional, courier integration, dan support operating hours.</w:t>
            </w:r>
          </w:p>
        </w:tc>
      </w:tr>
    </w:tbl>
    <w:p>
      <w:pPr>
        <w:spacing w:after="40"/>
      </w:pPr>
    </w:p>
    <w:p>
      <w:pPr>
        <w:pStyle w:val="Heading2"/>
        <w:keepNext/>
      </w:pPr>
      <w:r>
        <w:rPr>
          <w:rFonts w:ascii="Calibri" w:hAnsi="Calibri"/>
          <w:b/>
          <w:color w:val="4F46E5"/>
          <w:sz w:val="26"/>
        </w:rPr>
        <w:t>28. Definition of Ready untuk mulai implementasi</w:t>
      </w:r>
    </w:p>
    <w:p>
      <w:pPr>
        <w:numPr>
          <w:ilvl w:val="0"/>
          <w:numId w:val="10"/>
        </w:numPr>
        <w:spacing w:after="160" w:line="280" w:lineRule="auto"/>
        <w:keepLines/>
      </w:pPr>
      <w:r>
        <w:rPr>
          <w:rFonts w:ascii="Calibri" w:hAnsi="Calibri"/>
          <w:color w:val="334155"/>
          <w:sz w:val="22"/>
        </w:rPr>
        <w:t>Product scope MVP dan non-goals disetujui.</w:t>
      </w:r>
    </w:p>
    <w:p>
      <w:pPr>
        <w:numPr>
          <w:ilvl w:val="0"/>
          <w:numId w:val="10"/>
        </w:numPr>
        <w:spacing w:after="160" w:line="280" w:lineRule="auto"/>
        <w:keepLines/>
      </w:pPr>
      <w:r>
        <w:rPr>
          <w:rFonts w:ascii="Calibri" w:hAnsi="Calibri"/>
          <w:color w:val="334155"/>
          <w:sz w:val="22"/>
        </w:rPr>
        <w:t>State machines serta commission/payout formula disetujui oleh product + finance.</w:t>
      </w:r>
    </w:p>
    <w:p>
      <w:pPr>
        <w:numPr>
          <w:ilvl w:val="0"/>
          <w:numId w:val="10"/>
        </w:numPr>
        <w:spacing w:after="160" w:line="280" w:lineRule="auto"/>
        <w:keepLines/>
      </w:pPr>
      <w:r>
        <w:rPr>
          <w:rFonts w:ascii="Calibri" w:hAnsi="Calibri"/>
          <w:color w:val="334155"/>
          <w:sz w:val="22"/>
        </w:rPr>
        <w:t>Service risk taxonomy dan legal/clinical constraints terdokumentasi.</w:t>
      </w:r>
    </w:p>
    <w:p>
      <w:pPr>
        <w:numPr>
          <w:ilvl w:val="0"/>
          <w:numId w:val="10"/>
        </w:numPr>
        <w:spacing w:after="160" w:line="280" w:lineRule="auto"/>
        <w:keepLines/>
      </w:pPr>
      <w:r>
        <w:rPr>
          <w:rFonts w:ascii="Calibri" w:hAnsi="Calibri"/>
          <w:color w:val="334155"/>
          <w:sz w:val="22"/>
        </w:rPr>
        <w:t>Role-permission matrix dan tenant boundary disetujui.</w:t>
      </w:r>
    </w:p>
    <w:p>
      <w:pPr>
        <w:numPr>
          <w:ilvl w:val="0"/>
          <w:numId w:val="10"/>
        </w:numPr>
        <w:spacing w:after="160" w:line="280" w:lineRule="auto"/>
        <w:keepLines/>
      </w:pPr>
      <w:r>
        <w:rPr>
          <w:rFonts w:ascii="Calibri" w:hAnsi="Calibri"/>
          <w:color w:val="334155"/>
          <w:sz w:val="22"/>
        </w:rPr>
        <w:t>Core data model, API conventions, and ADR modular monolith disetujui.</w:t>
      </w:r>
    </w:p>
    <w:p>
      <w:pPr>
        <w:numPr>
          <w:ilvl w:val="0"/>
          <w:numId w:val="10"/>
        </w:numPr>
        <w:spacing w:after="160" w:line="280" w:lineRule="auto"/>
        <w:keepLines/>
      </w:pPr>
      <w:r>
        <w:rPr>
          <w:rFonts w:ascii="Calibri" w:hAnsi="Calibri"/>
          <w:color w:val="334155"/>
          <w:sz w:val="22"/>
        </w:rPr>
        <w:t>Threat model dan data classification selesai.</w:t>
      </w:r>
    </w:p>
    <w:p>
      <w:pPr>
        <w:numPr>
          <w:ilvl w:val="0"/>
          <w:numId w:val="10"/>
        </w:numPr>
        <w:spacing w:after="160" w:line="280" w:lineRule="auto"/>
        <w:keepLines/>
      </w:pPr>
      <w:r>
        <w:rPr>
          <w:rFonts w:ascii="Calibri" w:hAnsi="Calibri"/>
          <w:color w:val="334155"/>
          <w:sz w:val="22"/>
        </w:rPr>
        <w:t>Payment, maps/logistics, messaging, AI, dan object-storage provider dipilih untuk sandbox.</w:t>
      </w:r>
    </w:p>
    <w:p>
      <w:pPr>
        <w:numPr>
          <w:ilvl w:val="0"/>
          <w:numId w:val="10"/>
        </w:numPr>
        <w:spacing w:after="160" w:line="280" w:lineRule="auto"/>
        <w:keepLines/>
      </w:pPr>
      <w:r>
        <w:rPr>
          <w:rFonts w:ascii="Calibri" w:hAnsi="Calibri"/>
          <w:color w:val="334155"/>
          <w:sz w:val="22"/>
        </w:rPr>
        <w:t>SLO, acceptance criteria, test pyramid, dan release gates diterima.</w:t>
      </w:r>
    </w:p>
    <w:tbl>
      <w:tblPr>
        <w:tblW w:type="dxa" w:w="9360"/>
        <w:jc w:val="left"/>
        <w:tblLayout w:type="fixed"/>
        <w:tblLook w:firstColumn="1" w:firstRow="1" w:lastColumn="0" w:lastRow="0" w:noHBand="0" w:noVBand="1" w:val="04A0"/>
        <w:tblInd w:w="120" w:type="dxa"/>
        <w:tblBorders>
          <w:top w:val="single" w:sz="8" w:space="0" w:color="ECFDF5"/>
          <w:left w:val="single" w:sz="8" w:space="0" w:color="ECFDF5"/>
          <w:bottom w:val="single" w:sz="8" w:space="0" w:color="ECFDF5"/>
          <w:right w:val="single" w:sz="8" w:space="0" w:color="ECFDF5"/>
          <w:insideH w:val="single" w:sz="8" w:space="0" w:color="ECFDF5"/>
          <w:insideV w:val="single" w:sz="8" w:space="0" w:color="ECFDF5"/>
        </w:tblBorders>
      </w:tblPr>
      <w:tblGrid>
        <w:gridCol w:w="9360"/>
      </w:tblGrid>
      <w:tr>
        <w:tc>
          <w:tcPr>
            <w:tcW w:type="dxa" w:w="9360"/>
            <w:tcMar>
              <w:top w:w="80" w:type="dxa"/>
              <w:start w:w="120" w:type="dxa"/>
              <w:bottom w:w="80" w:type="dxa"/>
              <w:end w:w="120" w:type="dxa"/>
            </w:tcMar>
            <w:vAlign w:val="center"/>
            <w:shd w:fill="ECFDF5"/>
          </w:tcPr>
          <w:p>
            <w:pPr>
              <w:spacing w:after="0" w:line="264" w:lineRule="auto"/>
            </w:pPr>
            <w:r>
              <w:rPr>
                <w:rFonts w:ascii="Calibri" w:hAnsi="Calibri"/>
                <w:b/>
                <w:color w:val="3730A3"/>
                <w:sz w:val="22"/>
              </w:rPr>
              <w:t xml:space="preserve">Rekomendasi langkah berikutnya. </w:t>
            </w:r>
            <w:r>
              <w:rPr>
                <w:rFonts w:ascii="Calibri" w:hAnsi="Calibri"/>
                <w:color w:val="172033"/>
                <w:sz w:val="22"/>
              </w:rPr>
              <w:t>Lakukan workshop keputusan OD-01 sampai OD-12, lalu turunkan dokumen ini menjadi backlog epics, ERD fisik, permission matrix, OpenAPI contract, threat model, dan repository scaffold. Coding sebaiknya dimulai setelah keputusan finansial, service-risk, dan data-retention yang kritis terkunci.</w:t>
            </w:r>
          </w:p>
        </w:tc>
      </w:tr>
    </w:tbl>
    <w:p>
      <w:pPr>
        <w:spacing w:after="40"/>
      </w:pPr>
    </w:p>
    <w:p>
      <w:r>
        <w:br w:type="page"/>
      </w:r>
    </w:p>
    <w:p>
      <w:pPr>
        <w:pStyle w:val="Heading1"/>
        <w:keepNext/>
      </w:pPr>
      <w:r>
        <w:rPr>
          <w:rFonts w:ascii="Calibri" w:hAnsi="Calibri"/>
          <w:b/>
          <w:color w:val="3730A3"/>
          <w:sz w:val="32"/>
        </w:rPr>
        <w:t>Lampiran A — Permission matrix ringkas</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300"/>
        <w:gridCol w:w="1500"/>
        <w:gridCol w:w="2400"/>
        <w:gridCol w:w="1560"/>
        <w:gridCol w:w="1600"/>
      </w:tblGrid>
      <w:tr>
        <w:trPr>
          <w:tblHeader w:val="true"/>
          <w:cantSplit/>
        </w:trPr>
        <w:tc>
          <w:tcPr>
            <w:tcW w:type="dxa" w:w="23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5"/>
              </w:rPr>
              <w:t>Capability</w:t>
            </w:r>
          </w:p>
        </w:tc>
        <w:tc>
          <w:tcPr>
            <w:tcW w:type="dxa" w:w="15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5"/>
              </w:rPr>
              <w:t>Customer</w:t>
            </w:r>
          </w:p>
        </w:tc>
        <w:tc>
          <w:tcPr>
            <w:tcW w:type="dxa" w:w="24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5"/>
              </w:rPr>
              <w:t>Partner Owner/Admin</w:t>
            </w:r>
          </w:p>
        </w:tc>
        <w:tc>
          <w:tcPr>
            <w:tcW w:type="dxa" w:w="15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5"/>
              </w:rPr>
              <w:t>Professional</w:t>
            </w:r>
          </w:p>
        </w:tc>
        <w:tc>
          <w:tcPr>
            <w:tcW w:type="dxa" w:w="16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5"/>
              </w:rPr>
              <w:t>Platform Admin</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color w:val="334155"/>
                <w:sz w:val="15"/>
              </w:rPr>
              <w:t>Kelola profil sendiri</w:t>
            </w:r>
          </w:p>
        </w:tc>
        <w:tc>
          <w:tcPr>
            <w:tcW w:type="dxa" w:w="1500"/>
            <w:tcMar>
              <w:top w:w="80" w:type="dxa"/>
              <w:start w:w="120" w:type="dxa"/>
              <w:bottom w:w="80" w:type="dxa"/>
              <w:end w:w="120" w:type="dxa"/>
            </w:tcMar>
            <w:vAlign w:val="center"/>
          </w:tcPr>
          <w:p>
            <w:pPr>
              <w:spacing w:after="0" w:line="252" w:lineRule="auto"/>
            </w:pPr>
            <w:r>
              <w:rPr>
                <w:rFonts w:ascii="Calibri" w:hAnsi="Calibri"/>
                <w:color w:val="334155"/>
                <w:sz w:val="15"/>
              </w:rPr>
              <w:t>Ya</w:t>
            </w:r>
          </w:p>
        </w:tc>
        <w:tc>
          <w:tcPr>
            <w:tcW w:type="dxa" w:w="2400"/>
            <w:tcMar>
              <w:top w:w="80" w:type="dxa"/>
              <w:start w:w="120" w:type="dxa"/>
              <w:bottom w:w="80" w:type="dxa"/>
              <w:end w:w="120" w:type="dxa"/>
            </w:tcMar>
            <w:vAlign w:val="center"/>
          </w:tcPr>
          <w:p>
            <w:pPr>
              <w:spacing w:after="0" w:line="252" w:lineRule="auto"/>
            </w:pPr>
            <w:r>
              <w:rPr>
                <w:rFonts w:ascii="Calibri" w:hAnsi="Calibri"/>
                <w:color w:val="334155"/>
                <w:sz w:val="15"/>
              </w:rPr>
              <w:t>Ya</w:t>
            </w:r>
          </w:p>
        </w:tc>
        <w:tc>
          <w:tcPr>
            <w:tcW w:type="dxa" w:w="1560"/>
            <w:tcMar>
              <w:top w:w="80" w:type="dxa"/>
              <w:start w:w="120" w:type="dxa"/>
              <w:bottom w:w="80" w:type="dxa"/>
              <w:end w:w="120" w:type="dxa"/>
            </w:tcMar>
            <w:vAlign w:val="center"/>
          </w:tcPr>
          <w:p>
            <w:pPr>
              <w:spacing w:after="0" w:line="252" w:lineRule="auto"/>
            </w:pPr>
            <w:r>
              <w:rPr>
                <w:rFonts w:ascii="Calibri" w:hAnsi="Calibri"/>
                <w:color w:val="334155"/>
                <w:sz w:val="15"/>
              </w:rPr>
              <w:t>Ya</w:t>
            </w:r>
          </w:p>
        </w:tc>
        <w:tc>
          <w:tcPr>
            <w:tcW w:type="dxa" w:w="1600"/>
            <w:tcMar>
              <w:top w:w="80" w:type="dxa"/>
              <w:start w:w="120" w:type="dxa"/>
              <w:bottom w:w="80" w:type="dxa"/>
              <w:end w:w="120" w:type="dxa"/>
            </w:tcMar>
            <w:vAlign w:val="center"/>
          </w:tcPr>
          <w:p>
            <w:pPr>
              <w:spacing w:after="0" w:line="252" w:lineRule="auto"/>
            </w:pPr>
            <w:r>
              <w:rPr>
                <w:rFonts w:ascii="Calibri" w:hAnsi="Calibri"/>
                <w:color w:val="334155"/>
                <w:sz w:val="15"/>
              </w:rPr>
              <w:t>Ya</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color w:val="334155"/>
                <w:sz w:val="15"/>
              </w:rPr>
              <w:t>Kelola partner/member</w:t>
            </w:r>
          </w:p>
        </w:tc>
        <w:tc>
          <w:tcPr>
            <w:tcW w:type="dxa" w:w="1500"/>
            <w:tcMar>
              <w:top w:w="80" w:type="dxa"/>
              <w:start w:w="120" w:type="dxa"/>
              <w:bottom w:w="80" w:type="dxa"/>
              <w:end w:w="120" w:type="dxa"/>
            </w:tcMar>
            <w:vAlign w:val="center"/>
          </w:tcPr>
          <w:p>
            <w:pPr>
              <w:spacing w:after="0" w:line="252" w:lineRule="auto"/>
            </w:pPr>
            <w:r>
              <w:rPr>
                <w:rFonts w:ascii="Calibri" w:hAnsi="Calibri"/>
                <w:color w:val="334155"/>
                <w:sz w:val="15"/>
              </w:rPr>
              <w:t>Tidak</w:t>
            </w:r>
          </w:p>
        </w:tc>
        <w:tc>
          <w:tcPr>
            <w:tcW w:type="dxa" w:w="2400"/>
            <w:tcMar>
              <w:top w:w="80" w:type="dxa"/>
              <w:start w:w="120" w:type="dxa"/>
              <w:bottom w:w="80" w:type="dxa"/>
              <w:end w:w="120" w:type="dxa"/>
            </w:tcMar>
            <w:vAlign w:val="center"/>
          </w:tcPr>
          <w:p>
            <w:pPr>
              <w:spacing w:after="0" w:line="252" w:lineRule="auto"/>
            </w:pPr>
            <w:r>
              <w:rPr>
                <w:rFonts w:ascii="Calibri" w:hAnsi="Calibri"/>
                <w:color w:val="334155"/>
                <w:sz w:val="15"/>
              </w:rPr>
              <w:t>Owner/Admin sesuai grant</w:t>
            </w:r>
          </w:p>
        </w:tc>
        <w:tc>
          <w:tcPr>
            <w:tcW w:type="dxa" w:w="1560"/>
            <w:tcMar>
              <w:top w:w="80" w:type="dxa"/>
              <w:start w:w="120" w:type="dxa"/>
              <w:bottom w:w="80" w:type="dxa"/>
              <w:end w:w="120" w:type="dxa"/>
            </w:tcMar>
            <w:vAlign w:val="center"/>
          </w:tcPr>
          <w:p>
            <w:pPr>
              <w:spacing w:after="0" w:line="252" w:lineRule="auto"/>
            </w:pPr>
            <w:r>
              <w:rPr>
                <w:rFonts w:ascii="Calibri" w:hAnsi="Calibri"/>
                <w:color w:val="334155"/>
                <w:sz w:val="15"/>
              </w:rPr>
              <w:t>Tidak</w:t>
            </w:r>
          </w:p>
        </w:tc>
        <w:tc>
          <w:tcPr>
            <w:tcW w:type="dxa" w:w="1600"/>
            <w:tcMar>
              <w:top w:w="80" w:type="dxa"/>
              <w:start w:w="120" w:type="dxa"/>
              <w:bottom w:w="80" w:type="dxa"/>
              <w:end w:w="120" w:type="dxa"/>
            </w:tcMar>
            <w:vAlign w:val="center"/>
          </w:tcPr>
          <w:p>
            <w:pPr>
              <w:spacing w:after="0" w:line="252" w:lineRule="auto"/>
            </w:pPr>
            <w:r>
              <w:rPr>
                <w:rFonts w:ascii="Calibri" w:hAnsi="Calibri"/>
                <w:color w:val="334155"/>
                <w:sz w:val="15"/>
              </w:rPr>
              <w:t>Ya + audit</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color w:val="334155"/>
                <w:sz w:val="15"/>
              </w:rPr>
              <w:t>Kelola product/service</w:t>
            </w:r>
          </w:p>
        </w:tc>
        <w:tc>
          <w:tcPr>
            <w:tcW w:type="dxa" w:w="1500"/>
            <w:tcMar>
              <w:top w:w="80" w:type="dxa"/>
              <w:start w:w="120" w:type="dxa"/>
              <w:bottom w:w="80" w:type="dxa"/>
              <w:end w:w="120" w:type="dxa"/>
            </w:tcMar>
            <w:vAlign w:val="center"/>
          </w:tcPr>
          <w:p>
            <w:pPr>
              <w:spacing w:after="0" w:line="252" w:lineRule="auto"/>
            </w:pPr>
            <w:r>
              <w:rPr>
                <w:rFonts w:ascii="Calibri" w:hAnsi="Calibri"/>
                <w:color w:val="334155"/>
                <w:sz w:val="15"/>
              </w:rPr>
              <w:t>Tidak</w:t>
            </w:r>
          </w:p>
        </w:tc>
        <w:tc>
          <w:tcPr>
            <w:tcW w:type="dxa" w:w="2400"/>
            <w:tcMar>
              <w:top w:w="80" w:type="dxa"/>
              <w:start w:w="120" w:type="dxa"/>
              <w:bottom w:w="80" w:type="dxa"/>
              <w:end w:w="120" w:type="dxa"/>
            </w:tcMar>
            <w:vAlign w:val="center"/>
          </w:tcPr>
          <w:p>
            <w:pPr>
              <w:spacing w:after="0" w:line="252" w:lineRule="auto"/>
            </w:pPr>
            <w:r>
              <w:rPr>
                <w:rFonts w:ascii="Calibri" w:hAnsi="Calibri"/>
                <w:color w:val="334155"/>
                <w:sz w:val="15"/>
              </w:rPr>
              <w:t>Ya sesuai permission</w:t>
            </w:r>
          </w:p>
        </w:tc>
        <w:tc>
          <w:tcPr>
            <w:tcW w:type="dxa" w:w="1560"/>
            <w:tcMar>
              <w:top w:w="80" w:type="dxa"/>
              <w:start w:w="120" w:type="dxa"/>
              <w:bottom w:w="80" w:type="dxa"/>
              <w:end w:w="120" w:type="dxa"/>
            </w:tcMar>
            <w:vAlign w:val="center"/>
          </w:tcPr>
          <w:p>
            <w:pPr>
              <w:spacing w:after="0" w:line="252" w:lineRule="auto"/>
            </w:pPr>
            <w:r>
              <w:rPr>
                <w:rFonts w:ascii="Calibri" w:hAnsi="Calibri"/>
                <w:color w:val="334155"/>
                <w:sz w:val="15"/>
              </w:rPr>
              <w:t>Portfolio/availability terbatas</w:t>
            </w:r>
          </w:p>
        </w:tc>
        <w:tc>
          <w:tcPr>
            <w:tcW w:type="dxa" w:w="1600"/>
            <w:tcMar>
              <w:top w:w="80" w:type="dxa"/>
              <w:start w:w="120" w:type="dxa"/>
              <w:bottom w:w="80" w:type="dxa"/>
              <w:end w:w="120" w:type="dxa"/>
            </w:tcMar>
            <w:vAlign w:val="center"/>
          </w:tcPr>
          <w:p>
            <w:pPr>
              <w:spacing w:after="0" w:line="252" w:lineRule="auto"/>
            </w:pPr>
            <w:r>
              <w:rPr>
                <w:rFonts w:ascii="Calibri" w:hAnsi="Calibri"/>
                <w:color w:val="334155"/>
                <w:sz w:val="15"/>
              </w:rPr>
              <w:t>Moderate/override + reason</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color w:val="334155"/>
                <w:sz w:val="15"/>
              </w:rPr>
              <w:t>Lihat order/booking</w:t>
            </w:r>
          </w:p>
        </w:tc>
        <w:tc>
          <w:tcPr>
            <w:tcW w:type="dxa" w:w="1500"/>
            <w:tcMar>
              <w:top w:w="80" w:type="dxa"/>
              <w:start w:w="120" w:type="dxa"/>
              <w:bottom w:w="80" w:type="dxa"/>
              <w:end w:w="120" w:type="dxa"/>
            </w:tcMar>
            <w:vAlign w:val="center"/>
          </w:tcPr>
          <w:p>
            <w:pPr>
              <w:spacing w:after="0" w:line="252" w:lineRule="auto"/>
            </w:pPr>
            <w:r>
              <w:rPr>
                <w:rFonts w:ascii="Calibri" w:hAnsi="Calibri"/>
                <w:color w:val="334155"/>
                <w:sz w:val="15"/>
              </w:rPr>
              <w:t>Milik sendiri</w:t>
            </w:r>
          </w:p>
        </w:tc>
        <w:tc>
          <w:tcPr>
            <w:tcW w:type="dxa" w:w="2400"/>
            <w:tcMar>
              <w:top w:w="80" w:type="dxa"/>
              <w:start w:w="120" w:type="dxa"/>
              <w:bottom w:w="80" w:type="dxa"/>
              <w:end w:w="120" w:type="dxa"/>
            </w:tcMar>
            <w:vAlign w:val="center"/>
          </w:tcPr>
          <w:p>
            <w:pPr>
              <w:spacing w:after="0" w:line="252" w:lineRule="auto"/>
            </w:pPr>
            <w:r>
              <w:rPr>
                <w:rFonts w:ascii="Calibri" w:hAnsi="Calibri"/>
                <w:color w:val="334155"/>
                <w:sz w:val="15"/>
              </w:rPr>
              <w:t>Tenant sendiri</w:t>
            </w:r>
          </w:p>
        </w:tc>
        <w:tc>
          <w:tcPr>
            <w:tcW w:type="dxa" w:w="1560"/>
            <w:tcMar>
              <w:top w:w="80" w:type="dxa"/>
              <w:start w:w="120" w:type="dxa"/>
              <w:bottom w:w="80" w:type="dxa"/>
              <w:end w:w="120" w:type="dxa"/>
            </w:tcMar>
            <w:vAlign w:val="center"/>
          </w:tcPr>
          <w:p>
            <w:pPr>
              <w:spacing w:after="0" w:line="252" w:lineRule="auto"/>
            </w:pPr>
            <w:r>
              <w:rPr>
                <w:rFonts w:ascii="Calibri" w:hAnsi="Calibri"/>
                <w:color w:val="334155"/>
                <w:sz w:val="15"/>
              </w:rPr>
              <w:t>Job assigned</w:t>
            </w:r>
          </w:p>
        </w:tc>
        <w:tc>
          <w:tcPr>
            <w:tcW w:type="dxa" w:w="1600"/>
            <w:tcMar>
              <w:top w:w="80" w:type="dxa"/>
              <w:start w:w="120" w:type="dxa"/>
              <w:bottom w:w="80" w:type="dxa"/>
              <w:end w:w="120" w:type="dxa"/>
            </w:tcMar>
            <w:vAlign w:val="center"/>
          </w:tcPr>
          <w:p>
            <w:pPr>
              <w:spacing w:after="0" w:line="252" w:lineRule="auto"/>
            </w:pPr>
            <w:r>
              <w:rPr>
                <w:rFonts w:ascii="Calibri" w:hAnsi="Calibri"/>
                <w:color w:val="334155"/>
                <w:sz w:val="15"/>
              </w:rPr>
              <w:t>Case/global sesuai role</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color w:val="334155"/>
                <w:sz w:val="15"/>
              </w:rPr>
              <w:t>Ubah fulfillment status</w:t>
            </w:r>
          </w:p>
        </w:tc>
        <w:tc>
          <w:tcPr>
            <w:tcW w:type="dxa" w:w="1500"/>
            <w:tcMar>
              <w:top w:w="80" w:type="dxa"/>
              <w:start w:w="120" w:type="dxa"/>
              <w:bottom w:w="80" w:type="dxa"/>
              <w:end w:w="120" w:type="dxa"/>
            </w:tcMar>
            <w:vAlign w:val="center"/>
          </w:tcPr>
          <w:p>
            <w:pPr>
              <w:spacing w:after="0" w:line="252" w:lineRule="auto"/>
            </w:pPr>
            <w:r>
              <w:rPr>
                <w:rFonts w:ascii="Calibri" w:hAnsi="Calibri"/>
                <w:color w:val="334155"/>
                <w:sz w:val="15"/>
              </w:rPr>
              <w:t>Tidak</w:t>
            </w:r>
          </w:p>
        </w:tc>
        <w:tc>
          <w:tcPr>
            <w:tcW w:type="dxa" w:w="2400"/>
            <w:tcMar>
              <w:top w:w="80" w:type="dxa"/>
              <w:start w:w="120" w:type="dxa"/>
              <w:bottom w:w="80" w:type="dxa"/>
              <w:end w:w="120" w:type="dxa"/>
            </w:tcMar>
            <w:vAlign w:val="center"/>
          </w:tcPr>
          <w:p>
            <w:pPr>
              <w:spacing w:after="0" w:line="252" w:lineRule="auto"/>
            </w:pPr>
            <w:r>
              <w:rPr>
                <w:rFonts w:ascii="Calibri" w:hAnsi="Calibri"/>
                <w:color w:val="334155"/>
                <w:sz w:val="15"/>
              </w:rPr>
              <w:t>Tenant sendiri</w:t>
            </w:r>
          </w:p>
        </w:tc>
        <w:tc>
          <w:tcPr>
            <w:tcW w:type="dxa" w:w="1560"/>
            <w:tcMar>
              <w:top w:w="80" w:type="dxa"/>
              <w:start w:w="120" w:type="dxa"/>
              <w:bottom w:w="80" w:type="dxa"/>
              <w:end w:w="120" w:type="dxa"/>
            </w:tcMar>
            <w:vAlign w:val="center"/>
          </w:tcPr>
          <w:p>
            <w:pPr>
              <w:spacing w:after="0" w:line="252" w:lineRule="auto"/>
            </w:pPr>
            <w:r>
              <w:rPr>
                <w:rFonts w:ascii="Calibri" w:hAnsi="Calibri"/>
                <w:color w:val="334155"/>
                <w:sz w:val="15"/>
              </w:rPr>
              <w:t>Job assigned transition</w:t>
            </w:r>
          </w:p>
        </w:tc>
        <w:tc>
          <w:tcPr>
            <w:tcW w:type="dxa" w:w="1600"/>
            <w:tcMar>
              <w:top w:w="80" w:type="dxa"/>
              <w:start w:w="120" w:type="dxa"/>
              <w:bottom w:w="80" w:type="dxa"/>
              <w:end w:w="120" w:type="dxa"/>
            </w:tcMar>
            <w:vAlign w:val="center"/>
          </w:tcPr>
          <w:p>
            <w:pPr>
              <w:spacing w:after="0" w:line="252" w:lineRule="auto"/>
            </w:pPr>
            <w:r>
              <w:rPr>
                <w:rFonts w:ascii="Calibri" w:hAnsi="Calibri"/>
                <w:color w:val="334155"/>
                <w:sz w:val="15"/>
              </w:rPr>
              <w:t>Override + reason</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color w:val="334155"/>
                <w:sz w:val="15"/>
              </w:rPr>
              <w:t>Refund</w:t>
            </w:r>
          </w:p>
        </w:tc>
        <w:tc>
          <w:tcPr>
            <w:tcW w:type="dxa" w:w="1500"/>
            <w:tcMar>
              <w:top w:w="80" w:type="dxa"/>
              <w:start w:w="120" w:type="dxa"/>
              <w:bottom w:w="80" w:type="dxa"/>
              <w:end w:w="120" w:type="dxa"/>
            </w:tcMar>
            <w:vAlign w:val="center"/>
          </w:tcPr>
          <w:p>
            <w:pPr>
              <w:spacing w:after="0" w:line="252" w:lineRule="auto"/>
            </w:pPr>
            <w:r>
              <w:rPr>
                <w:rFonts w:ascii="Calibri" w:hAnsi="Calibri"/>
                <w:color w:val="334155"/>
                <w:sz w:val="15"/>
              </w:rPr>
              <w:t>Request</w:t>
            </w:r>
          </w:p>
        </w:tc>
        <w:tc>
          <w:tcPr>
            <w:tcW w:type="dxa" w:w="2400"/>
            <w:tcMar>
              <w:top w:w="80" w:type="dxa"/>
              <w:start w:w="120" w:type="dxa"/>
              <w:bottom w:w="80" w:type="dxa"/>
              <w:end w:w="120" w:type="dxa"/>
            </w:tcMar>
            <w:vAlign w:val="center"/>
          </w:tcPr>
          <w:p>
            <w:pPr>
              <w:spacing w:after="0" w:line="252" w:lineRule="auto"/>
            </w:pPr>
            <w:r>
              <w:rPr>
                <w:rFonts w:ascii="Calibri" w:hAnsi="Calibri"/>
                <w:color w:val="334155"/>
                <w:sz w:val="15"/>
              </w:rPr>
              <w:t>Request/limited policy</w:t>
            </w:r>
          </w:p>
        </w:tc>
        <w:tc>
          <w:tcPr>
            <w:tcW w:type="dxa" w:w="1560"/>
            <w:tcMar>
              <w:top w:w="80" w:type="dxa"/>
              <w:start w:w="120" w:type="dxa"/>
              <w:bottom w:w="80" w:type="dxa"/>
              <w:end w:w="120" w:type="dxa"/>
            </w:tcMar>
            <w:vAlign w:val="center"/>
          </w:tcPr>
          <w:p>
            <w:pPr>
              <w:spacing w:after="0" w:line="252" w:lineRule="auto"/>
            </w:pPr>
            <w:r>
              <w:rPr>
                <w:rFonts w:ascii="Calibri" w:hAnsi="Calibri"/>
                <w:color w:val="334155"/>
                <w:sz w:val="15"/>
              </w:rPr>
              <w:t>Tidak</w:t>
            </w:r>
          </w:p>
        </w:tc>
        <w:tc>
          <w:tcPr>
            <w:tcW w:type="dxa" w:w="1600"/>
            <w:tcMar>
              <w:top w:w="80" w:type="dxa"/>
              <w:start w:w="120" w:type="dxa"/>
              <w:bottom w:w="80" w:type="dxa"/>
              <w:end w:w="120" w:type="dxa"/>
            </w:tcMar>
            <w:vAlign w:val="center"/>
          </w:tcPr>
          <w:p>
            <w:pPr>
              <w:spacing w:after="0" w:line="252" w:lineRule="auto"/>
            </w:pPr>
            <w:r>
              <w:rPr>
                <w:rFonts w:ascii="Calibri" w:hAnsi="Calibri"/>
                <w:color w:val="334155"/>
                <w:sz w:val="15"/>
              </w:rPr>
              <w:t>Finance role + step-up</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color w:val="334155"/>
                <w:sz w:val="15"/>
              </w:rPr>
              <w:t>Payout/rekening</w:t>
            </w:r>
          </w:p>
        </w:tc>
        <w:tc>
          <w:tcPr>
            <w:tcW w:type="dxa" w:w="1500"/>
            <w:tcMar>
              <w:top w:w="80" w:type="dxa"/>
              <w:start w:w="120" w:type="dxa"/>
              <w:bottom w:w="80" w:type="dxa"/>
              <w:end w:w="120" w:type="dxa"/>
            </w:tcMar>
            <w:vAlign w:val="center"/>
          </w:tcPr>
          <w:p>
            <w:pPr>
              <w:spacing w:after="0" w:line="252" w:lineRule="auto"/>
            </w:pPr>
            <w:r>
              <w:rPr>
                <w:rFonts w:ascii="Calibri" w:hAnsi="Calibri"/>
                <w:color w:val="334155"/>
                <w:sz w:val="15"/>
              </w:rPr>
              <w:t>Tidak</w:t>
            </w:r>
          </w:p>
        </w:tc>
        <w:tc>
          <w:tcPr>
            <w:tcW w:type="dxa" w:w="2400"/>
            <w:tcMar>
              <w:top w:w="80" w:type="dxa"/>
              <w:start w:w="120" w:type="dxa"/>
              <w:bottom w:w="80" w:type="dxa"/>
              <w:end w:w="120" w:type="dxa"/>
            </w:tcMar>
            <w:vAlign w:val="center"/>
          </w:tcPr>
          <w:p>
            <w:pPr>
              <w:spacing w:after="0" w:line="252" w:lineRule="auto"/>
            </w:pPr>
            <w:r>
              <w:rPr>
                <w:rFonts w:ascii="Calibri" w:hAnsi="Calibri"/>
                <w:color w:val="334155"/>
                <w:sz w:val="15"/>
              </w:rPr>
              <w:t>Owner/Finance + MFA</w:t>
            </w:r>
          </w:p>
        </w:tc>
        <w:tc>
          <w:tcPr>
            <w:tcW w:type="dxa" w:w="1560"/>
            <w:tcMar>
              <w:top w:w="80" w:type="dxa"/>
              <w:start w:w="120" w:type="dxa"/>
              <w:bottom w:w="80" w:type="dxa"/>
              <w:end w:w="120" w:type="dxa"/>
            </w:tcMar>
            <w:vAlign w:val="center"/>
          </w:tcPr>
          <w:p>
            <w:pPr>
              <w:spacing w:after="0" w:line="252" w:lineRule="auto"/>
            </w:pPr>
            <w:r>
              <w:rPr>
                <w:rFonts w:ascii="Calibri" w:hAnsi="Calibri"/>
                <w:color w:val="334155"/>
                <w:sz w:val="15"/>
              </w:rPr>
              <w:t>Lihat payout sendiri bila direct</w:t>
            </w:r>
          </w:p>
        </w:tc>
        <w:tc>
          <w:tcPr>
            <w:tcW w:type="dxa" w:w="1600"/>
            <w:tcMar>
              <w:top w:w="80" w:type="dxa"/>
              <w:start w:w="120" w:type="dxa"/>
              <w:bottom w:w="80" w:type="dxa"/>
              <w:end w:w="120" w:type="dxa"/>
            </w:tcMar>
            <w:vAlign w:val="center"/>
          </w:tcPr>
          <w:p>
            <w:pPr>
              <w:spacing w:after="0" w:line="252" w:lineRule="auto"/>
            </w:pPr>
            <w:r>
              <w:rPr>
                <w:rFonts w:ascii="Calibri" w:hAnsi="Calibri"/>
                <w:color w:val="334155"/>
                <w:sz w:val="15"/>
              </w:rPr>
              <w:t>Finance ops + dual control</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color w:val="334155"/>
                <w:sz w:val="15"/>
              </w:rPr>
              <w:t>AI customer</w:t>
            </w:r>
          </w:p>
        </w:tc>
        <w:tc>
          <w:tcPr>
            <w:tcW w:type="dxa" w:w="1500"/>
            <w:tcMar>
              <w:top w:w="80" w:type="dxa"/>
              <w:start w:w="120" w:type="dxa"/>
              <w:bottom w:w="80" w:type="dxa"/>
              <w:end w:w="120" w:type="dxa"/>
            </w:tcMar>
            <w:vAlign w:val="center"/>
          </w:tcPr>
          <w:p>
            <w:pPr>
              <w:spacing w:after="0" w:line="252" w:lineRule="auto"/>
            </w:pPr>
            <w:r>
              <w:rPr>
                <w:rFonts w:ascii="Calibri" w:hAnsi="Calibri"/>
                <w:color w:val="334155"/>
                <w:sz w:val="15"/>
              </w:rPr>
              <w:t>Ya</w:t>
            </w:r>
          </w:p>
        </w:tc>
        <w:tc>
          <w:tcPr>
            <w:tcW w:type="dxa" w:w="2400"/>
            <w:tcMar>
              <w:top w:w="80" w:type="dxa"/>
              <w:start w:w="120" w:type="dxa"/>
              <w:bottom w:w="80" w:type="dxa"/>
              <w:end w:w="120" w:type="dxa"/>
            </w:tcMar>
            <w:vAlign w:val="center"/>
          </w:tcPr>
          <w:p>
            <w:pPr>
              <w:spacing w:after="0" w:line="252" w:lineRule="auto"/>
            </w:pPr>
            <w:r>
              <w:rPr>
                <w:rFonts w:ascii="Calibri" w:hAnsi="Calibri"/>
                <w:color w:val="334155"/>
                <w:sz w:val="15"/>
              </w:rPr>
              <w:t>Opsional untuk support</w:t>
            </w:r>
          </w:p>
        </w:tc>
        <w:tc>
          <w:tcPr>
            <w:tcW w:type="dxa" w:w="1560"/>
            <w:tcMar>
              <w:top w:w="80" w:type="dxa"/>
              <w:start w:w="120" w:type="dxa"/>
              <w:bottom w:w="80" w:type="dxa"/>
              <w:end w:w="120" w:type="dxa"/>
            </w:tcMar>
            <w:vAlign w:val="center"/>
          </w:tcPr>
          <w:p>
            <w:pPr>
              <w:spacing w:after="0" w:line="252" w:lineRule="auto"/>
            </w:pPr>
            <w:r>
              <w:rPr>
                <w:rFonts w:ascii="Calibri" w:hAnsi="Calibri"/>
                <w:color w:val="334155"/>
                <w:sz w:val="15"/>
              </w:rPr>
              <w:t>Tidak</w:t>
            </w:r>
          </w:p>
        </w:tc>
        <w:tc>
          <w:tcPr>
            <w:tcW w:type="dxa" w:w="1600"/>
            <w:tcMar>
              <w:top w:w="80" w:type="dxa"/>
              <w:start w:w="120" w:type="dxa"/>
              <w:bottom w:w="80" w:type="dxa"/>
              <w:end w:w="120" w:type="dxa"/>
            </w:tcMar>
            <w:vAlign w:val="center"/>
          </w:tcPr>
          <w:p>
            <w:pPr>
              <w:spacing w:after="0" w:line="252" w:lineRule="auto"/>
            </w:pPr>
            <w:r>
              <w:rPr>
                <w:rFonts w:ascii="Calibri" w:hAnsi="Calibri"/>
                <w:color w:val="334155"/>
                <w:sz w:val="15"/>
              </w:rPr>
              <w:t>Quality/audit sample terbatas</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color w:val="334155"/>
                <w:sz w:val="15"/>
              </w:rPr>
              <w:t>AI partner insight</w:t>
            </w:r>
          </w:p>
        </w:tc>
        <w:tc>
          <w:tcPr>
            <w:tcW w:type="dxa" w:w="1500"/>
            <w:tcMar>
              <w:top w:w="80" w:type="dxa"/>
              <w:start w:w="120" w:type="dxa"/>
              <w:bottom w:w="80" w:type="dxa"/>
              <w:end w:w="120" w:type="dxa"/>
            </w:tcMar>
            <w:vAlign w:val="center"/>
          </w:tcPr>
          <w:p>
            <w:pPr>
              <w:spacing w:after="0" w:line="252" w:lineRule="auto"/>
            </w:pPr>
            <w:r>
              <w:rPr>
                <w:rFonts w:ascii="Calibri" w:hAnsi="Calibri"/>
                <w:color w:val="334155"/>
                <w:sz w:val="15"/>
              </w:rPr>
              <w:t>Tidak</w:t>
            </w:r>
          </w:p>
        </w:tc>
        <w:tc>
          <w:tcPr>
            <w:tcW w:type="dxa" w:w="2400"/>
            <w:tcMar>
              <w:top w:w="80" w:type="dxa"/>
              <w:start w:w="120" w:type="dxa"/>
              <w:bottom w:w="80" w:type="dxa"/>
              <w:end w:w="120" w:type="dxa"/>
            </w:tcMar>
            <w:vAlign w:val="center"/>
          </w:tcPr>
          <w:p>
            <w:pPr>
              <w:spacing w:after="0" w:line="252" w:lineRule="auto"/>
            </w:pPr>
            <w:r>
              <w:rPr>
                <w:rFonts w:ascii="Calibri" w:hAnsi="Calibri"/>
                <w:color w:val="334155"/>
                <w:sz w:val="15"/>
              </w:rPr>
              <w:t>Tenant sendiri</w:t>
            </w:r>
          </w:p>
        </w:tc>
        <w:tc>
          <w:tcPr>
            <w:tcW w:type="dxa" w:w="1560"/>
            <w:tcMar>
              <w:top w:w="80" w:type="dxa"/>
              <w:start w:w="120" w:type="dxa"/>
              <w:bottom w:w="80" w:type="dxa"/>
              <w:end w:w="120" w:type="dxa"/>
            </w:tcMar>
            <w:vAlign w:val="center"/>
          </w:tcPr>
          <w:p>
            <w:pPr>
              <w:spacing w:after="0" w:line="252" w:lineRule="auto"/>
            </w:pPr>
            <w:r>
              <w:rPr>
                <w:rFonts w:ascii="Calibri" w:hAnsi="Calibri"/>
                <w:color w:val="334155"/>
                <w:sz w:val="15"/>
              </w:rPr>
              <w:t>Insight pribadi terbatas</w:t>
            </w:r>
          </w:p>
        </w:tc>
        <w:tc>
          <w:tcPr>
            <w:tcW w:type="dxa" w:w="1600"/>
            <w:tcMar>
              <w:top w:w="80" w:type="dxa"/>
              <w:start w:w="120" w:type="dxa"/>
              <w:bottom w:w="80" w:type="dxa"/>
              <w:end w:w="120" w:type="dxa"/>
            </w:tcMar>
            <w:vAlign w:val="center"/>
          </w:tcPr>
          <w:p>
            <w:pPr>
              <w:spacing w:after="0" w:line="252" w:lineRule="auto"/>
            </w:pPr>
            <w:r>
              <w:rPr>
                <w:rFonts w:ascii="Calibri" w:hAnsi="Calibri"/>
                <w:color w:val="334155"/>
                <w:sz w:val="15"/>
              </w:rPr>
              <w:t>Aggregate/quality, no arbitrary tenant access</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color w:val="334155"/>
                <w:sz w:val="15"/>
              </w:rPr>
              <w:t>Block/suspend</w:t>
            </w:r>
          </w:p>
        </w:tc>
        <w:tc>
          <w:tcPr>
            <w:tcW w:type="dxa" w:w="1500"/>
            <w:tcMar>
              <w:top w:w="80" w:type="dxa"/>
              <w:start w:w="120" w:type="dxa"/>
              <w:bottom w:w="80" w:type="dxa"/>
              <w:end w:w="120" w:type="dxa"/>
            </w:tcMar>
            <w:vAlign w:val="center"/>
          </w:tcPr>
          <w:p>
            <w:pPr>
              <w:spacing w:after="0" w:line="252" w:lineRule="auto"/>
            </w:pPr>
            <w:r>
              <w:rPr>
                <w:rFonts w:ascii="Calibri" w:hAnsi="Calibri"/>
                <w:color w:val="334155"/>
                <w:sz w:val="15"/>
              </w:rPr>
              <w:t>Tidak</w:t>
            </w:r>
          </w:p>
        </w:tc>
        <w:tc>
          <w:tcPr>
            <w:tcW w:type="dxa" w:w="2400"/>
            <w:tcMar>
              <w:top w:w="80" w:type="dxa"/>
              <w:start w:w="120" w:type="dxa"/>
              <w:bottom w:w="80" w:type="dxa"/>
              <w:end w:w="120" w:type="dxa"/>
            </w:tcMar>
            <w:vAlign w:val="center"/>
          </w:tcPr>
          <w:p>
            <w:pPr>
              <w:spacing w:after="0" w:line="252" w:lineRule="auto"/>
            </w:pPr>
            <w:r>
              <w:rPr>
                <w:rFonts w:ascii="Calibri" w:hAnsi="Calibri"/>
                <w:color w:val="334155"/>
                <w:sz w:val="15"/>
              </w:rPr>
              <w:t>Member internal terbatas</w:t>
            </w:r>
          </w:p>
        </w:tc>
        <w:tc>
          <w:tcPr>
            <w:tcW w:type="dxa" w:w="1560"/>
            <w:tcMar>
              <w:top w:w="80" w:type="dxa"/>
              <w:start w:w="120" w:type="dxa"/>
              <w:bottom w:w="80" w:type="dxa"/>
              <w:end w:w="120" w:type="dxa"/>
            </w:tcMar>
            <w:vAlign w:val="center"/>
          </w:tcPr>
          <w:p>
            <w:pPr>
              <w:spacing w:after="0" w:line="252" w:lineRule="auto"/>
            </w:pPr>
            <w:r>
              <w:rPr>
                <w:rFonts w:ascii="Calibri" w:hAnsi="Calibri"/>
                <w:color w:val="334155"/>
                <w:sz w:val="15"/>
              </w:rPr>
              <w:t>Tidak</w:t>
            </w:r>
          </w:p>
        </w:tc>
        <w:tc>
          <w:tcPr>
            <w:tcW w:type="dxa" w:w="1600"/>
            <w:tcMar>
              <w:top w:w="80" w:type="dxa"/>
              <w:start w:w="120" w:type="dxa"/>
              <w:bottom w:w="80" w:type="dxa"/>
              <w:end w:w="120" w:type="dxa"/>
            </w:tcMar>
            <w:vAlign w:val="center"/>
          </w:tcPr>
          <w:p>
            <w:pPr>
              <w:spacing w:after="0" w:line="252" w:lineRule="auto"/>
            </w:pPr>
            <w:r>
              <w:rPr>
                <w:rFonts w:ascii="Calibri" w:hAnsi="Calibri"/>
                <w:color w:val="334155"/>
                <w:sz w:val="15"/>
              </w:rPr>
              <w:t>Verifier/risk + reason</w:t>
            </w:r>
          </w:p>
        </w:tc>
      </w:tr>
    </w:tbl>
    <w:p>
      <w:pPr>
        <w:spacing w:after="40"/>
      </w:pPr>
    </w:p>
    <w:p>
      <w:pPr>
        <w:pStyle w:val="Heading1"/>
        <w:keepNext/>
      </w:pPr>
      <w:r>
        <w:rPr>
          <w:rFonts w:ascii="Calibri" w:hAnsi="Calibri"/>
          <w:b/>
          <w:color w:val="3730A3"/>
          <w:sz w:val="32"/>
        </w:rPr>
        <w:t>Lampiran B — Decision records awal</w:t>
      </w:r>
    </w:p>
    <w:tbl>
      <w:tblPr>
        <w:tblStyle w:val="TableGrid"/>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200"/>
        <w:gridCol w:w="2700"/>
        <w:gridCol w:w="3400"/>
        <w:gridCol w:w="2060"/>
      </w:tblGrid>
      <w:tr>
        <w:trPr>
          <w:tblHeader w:val="true"/>
          <w:cantSplit/>
        </w:trPr>
        <w:tc>
          <w:tcPr>
            <w:tcW w:type="dxa" w:w="12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6"/>
              </w:rPr>
              <w:t>ADR</w:t>
            </w:r>
          </w:p>
        </w:tc>
        <w:tc>
          <w:tcPr>
            <w:tcW w:type="dxa" w:w="27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6"/>
              </w:rPr>
              <w:t>Keputusan</w:t>
            </w:r>
          </w:p>
        </w:tc>
        <w:tc>
          <w:tcPr>
            <w:tcW w:type="dxa" w:w="340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6"/>
              </w:rPr>
              <w:t>Alasan</w:t>
            </w:r>
          </w:p>
        </w:tc>
        <w:tc>
          <w:tcPr>
            <w:tcW w:type="dxa" w:w="2060"/>
            <w:shd w:fill="F2F4F7"/>
            <w:tcMar>
              <w:top w:w="80" w:type="dxa"/>
              <w:start w:w="120" w:type="dxa"/>
              <w:bottom w:w="80" w:type="dxa"/>
              <w:end w:w="120" w:type="dxa"/>
            </w:tcMar>
            <w:vAlign w:val="center"/>
          </w:tcPr>
          <w:p>
            <w:pPr>
              <w:spacing w:after="0" w:line="240" w:lineRule="auto"/>
              <w:jc w:val="center"/>
            </w:pPr>
            <w:r>
              <w:rPr>
                <w:rFonts w:ascii="Calibri" w:hAnsi="Calibri"/>
                <w:b/>
                <w:color w:val="172033"/>
                <w:sz w:val="16"/>
              </w:rPr>
              <w:t>Trigger revisit</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334155"/>
                <w:sz w:val="16"/>
              </w:rPr>
              <w:t>ADR-001</w:t>
            </w:r>
          </w:p>
        </w:tc>
        <w:tc>
          <w:tcPr>
            <w:tcW w:type="dxa" w:w="2700"/>
            <w:tcMar>
              <w:top w:w="80" w:type="dxa"/>
              <w:start w:w="120" w:type="dxa"/>
              <w:bottom w:w="80" w:type="dxa"/>
              <w:end w:w="120" w:type="dxa"/>
            </w:tcMar>
            <w:vAlign w:val="center"/>
          </w:tcPr>
          <w:p>
            <w:pPr>
              <w:spacing w:after="0" w:line="252" w:lineRule="auto"/>
            </w:pPr>
            <w:r>
              <w:rPr>
                <w:rFonts w:ascii="Calibri" w:hAnsi="Calibri"/>
                <w:color w:val="334155"/>
                <w:sz w:val="16"/>
              </w:rPr>
              <w:t>Dua Next.js apps dalam monorepo.</w:t>
            </w:r>
          </w:p>
        </w:tc>
        <w:tc>
          <w:tcPr>
            <w:tcW w:type="dxa" w:w="3400"/>
            <w:tcMar>
              <w:top w:w="80" w:type="dxa"/>
              <w:start w:w="120" w:type="dxa"/>
              <w:bottom w:w="80" w:type="dxa"/>
              <w:end w:w="120" w:type="dxa"/>
            </w:tcMar>
            <w:vAlign w:val="center"/>
          </w:tcPr>
          <w:p>
            <w:pPr>
              <w:spacing w:after="0" w:line="252" w:lineRule="auto"/>
            </w:pPr>
            <w:r>
              <w:rPr>
                <w:rFonts w:ascii="Calibri" w:hAnsi="Calibri"/>
                <w:color w:val="334155"/>
                <w:sz w:val="16"/>
              </w:rPr>
              <w:t>UX customer dan operations berbeda, tetapi shared UI/client tetap reusable.</w:t>
            </w:r>
          </w:p>
        </w:tc>
        <w:tc>
          <w:tcPr>
            <w:tcW w:type="dxa" w:w="2060"/>
            <w:tcMar>
              <w:top w:w="80" w:type="dxa"/>
              <w:start w:w="120" w:type="dxa"/>
              <w:bottom w:w="80" w:type="dxa"/>
              <w:end w:w="120" w:type="dxa"/>
            </w:tcMar>
            <w:vAlign w:val="center"/>
          </w:tcPr>
          <w:p>
            <w:pPr>
              <w:spacing w:after="0" w:line="252" w:lineRule="auto"/>
            </w:pPr>
            <w:r>
              <w:rPr>
                <w:rFonts w:ascii="Calibri" w:hAnsi="Calibri"/>
                <w:color w:val="334155"/>
                <w:sz w:val="16"/>
              </w:rPr>
              <w:t>Team/deployment coupling menghambat release.</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334155"/>
                <w:sz w:val="16"/>
              </w:rPr>
              <w:t>ADR-002</w:t>
            </w:r>
          </w:p>
        </w:tc>
        <w:tc>
          <w:tcPr>
            <w:tcW w:type="dxa" w:w="2700"/>
            <w:tcMar>
              <w:top w:w="80" w:type="dxa"/>
              <w:start w:w="120" w:type="dxa"/>
              <w:bottom w:w="80" w:type="dxa"/>
              <w:end w:w="120" w:type="dxa"/>
            </w:tcMar>
            <w:vAlign w:val="center"/>
          </w:tcPr>
          <w:p>
            <w:pPr>
              <w:spacing w:after="0" w:line="252" w:lineRule="auto"/>
            </w:pPr>
            <w:r>
              <w:rPr>
                <w:rFonts w:ascii="Calibri" w:hAnsi="Calibri"/>
                <w:color w:val="334155"/>
                <w:sz w:val="16"/>
              </w:rPr>
              <w:t>FastAPI modular monolith.</w:t>
            </w:r>
          </w:p>
        </w:tc>
        <w:tc>
          <w:tcPr>
            <w:tcW w:type="dxa" w:w="3400"/>
            <w:tcMar>
              <w:top w:w="80" w:type="dxa"/>
              <w:start w:w="120" w:type="dxa"/>
              <w:bottom w:w="80" w:type="dxa"/>
              <w:end w:w="120" w:type="dxa"/>
            </w:tcMar>
            <w:vAlign w:val="center"/>
          </w:tcPr>
          <w:p>
            <w:pPr>
              <w:spacing w:after="0" w:line="252" w:lineRule="auto"/>
            </w:pPr>
            <w:r>
              <w:rPr>
                <w:rFonts w:ascii="Calibri" w:hAnsi="Calibri"/>
                <w:color w:val="334155"/>
                <w:sz w:val="16"/>
              </w:rPr>
              <w:t>Lebih cepat dan konsisten untuk transaksi lintas domain.</w:t>
            </w:r>
          </w:p>
        </w:tc>
        <w:tc>
          <w:tcPr>
            <w:tcW w:type="dxa" w:w="2060"/>
            <w:tcMar>
              <w:top w:w="80" w:type="dxa"/>
              <w:start w:w="120" w:type="dxa"/>
              <w:bottom w:w="80" w:type="dxa"/>
              <w:end w:w="120" w:type="dxa"/>
            </w:tcMar>
            <w:vAlign w:val="center"/>
          </w:tcPr>
          <w:p>
            <w:pPr>
              <w:spacing w:after="0" w:line="252" w:lineRule="auto"/>
            </w:pPr>
            <w:r>
              <w:rPr>
                <w:rFonts w:ascii="Calibri" w:hAnsi="Calibri"/>
                <w:color w:val="334155"/>
                <w:sz w:val="16"/>
              </w:rPr>
              <w:t>Scale/reliability domain membutuhkan independent deployment.</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334155"/>
                <w:sz w:val="16"/>
              </w:rPr>
              <w:t>ADR-003</w:t>
            </w:r>
          </w:p>
        </w:tc>
        <w:tc>
          <w:tcPr>
            <w:tcW w:type="dxa" w:w="2700"/>
            <w:tcMar>
              <w:top w:w="80" w:type="dxa"/>
              <w:start w:w="120" w:type="dxa"/>
              <w:bottom w:w="80" w:type="dxa"/>
              <w:end w:w="120" w:type="dxa"/>
            </w:tcMar>
            <w:vAlign w:val="center"/>
          </w:tcPr>
          <w:p>
            <w:pPr>
              <w:spacing w:after="0" w:line="252" w:lineRule="auto"/>
            </w:pPr>
            <w:r>
              <w:rPr>
                <w:rFonts w:ascii="Calibri" w:hAnsi="Calibri"/>
                <w:color w:val="334155"/>
                <w:sz w:val="16"/>
              </w:rPr>
              <w:t>PostgreSQL source of truth.</w:t>
            </w:r>
          </w:p>
        </w:tc>
        <w:tc>
          <w:tcPr>
            <w:tcW w:type="dxa" w:w="3400"/>
            <w:tcMar>
              <w:top w:w="80" w:type="dxa"/>
              <w:start w:w="120" w:type="dxa"/>
              <w:bottom w:w="80" w:type="dxa"/>
              <w:end w:w="120" w:type="dxa"/>
            </w:tcMar>
            <w:vAlign w:val="center"/>
          </w:tcPr>
          <w:p>
            <w:pPr>
              <w:spacing w:after="0" w:line="252" w:lineRule="auto"/>
            </w:pPr>
            <w:r>
              <w:rPr>
                <w:rFonts w:ascii="Calibri" w:hAnsi="Calibri"/>
                <w:color w:val="334155"/>
                <w:sz w:val="16"/>
              </w:rPr>
              <w:t>ACID, constraints, ledger, relational query, PostGIS.</w:t>
            </w:r>
          </w:p>
        </w:tc>
        <w:tc>
          <w:tcPr>
            <w:tcW w:type="dxa" w:w="2060"/>
            <w:tcMar>
              <w:top w:w="80" w:type="dxa"/>
              <w:start w:w="120" w:type="dxa"/>
              <w:bottom w:w="80" w:type="dxa"/>
              <w:end w:w="120" w:type="dxa"/>
            </w:tcMar>
            <w:vAlign w:val="center"/>
          </w:tcPr>
          <w:p>
            <w:pPr>
              <w:spacing w:after="0" w:line="252" w:lineRule="auto"/>
            </w:pPr>
            <w:r>
              <w:rPr>
                <w:rFonts w:ascii="Calibri" w:hAnsi="Calibri"/>
                <w:color w:val="334155"/>
                <w:sz w:val="16"/>
              </w:rPr>
              <w:t>Tidak ada; store lain hanya specialized.</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334155"/>
                <w:sz w:val="16"/>
              </w:rPr>
              <w:t>ADR-004</w:t>
            </w:r>
          </w:p>
        </w:tc>
        <w:tc>
          <w:tcPr>
            <w:tcW w:type="dxa" w:w="2700"/>
            <w:tcMar>
              <w:top w:w="80" w:type="dxa"/>
              <w:start w:w="120" w:type="dxa"/>
              <w:bottom w:w="80" w:type="dxa"/>
              <w:end w:w="120" w:type="dxa"/>
            </w:tcMar>
            <w:vAlign w:val="center"/>
          </w:tcPr>
          <w:p>
            <w:pPr>
              <w:spacing w:after="0" w:line="252" w:lineRule="auto"/>
            </w:pPr>
            <w:r>
              <w:rPr>
                <w:rFonts w:ascii="Calibri" w:hAnsi="Calibri"/>
                <w:color w:val="334155"/>
                <w:sz w:val="16"/>
              </w:rPr>
              <w:t>Redis untuk ephemeral state.</w:t>
            </w:r>
          </w:p>
        </w:tc>
        <w:tc>
          <w:tcPr>
            <w:tcW w:type="dxa" w:w="3400"/>
            <w:tcMar>
              <w:top w:w="80" w:type="dxa"/>
              <w:start w:w="120" w:type="dxa"/>
              <w:bottom w:w="80" w:type="dxa"/>
              <w:end w:w="120" w:type="dxa"/>
            </w:tcMar>
            <w:vAlign w:val="center"/>
          </w:tcPr>
          <w:p>
            <w:pPr>
              <w:spacing w:after="0" w:line="252" w:lineRule="auto"/>
            </w:pPr>
            <w:r>
              <w:rPr>
                <w:rFonts w:ascii="Calibri" w:hAnsi="Calibri"/>
                <w:color w:val="334155"/>
                <w:sz w:val="16"/>
              </w:rPr>
              <w:t>Cache, lock, rate limit, queue/presence.</w:t>
            </w:r>
          </w:p>
        </w:tc>
        <w:tc>
          <w:tcPr>
            <w:tcW w:type="dxa" w:w="2060"/>
            <w:tcMar>
              <w:top w:w="80" w:type="dxa"/>
              <w:start w:w="120" w:type="dxa"/>
              <w:bottom w:w="80" w:type="dxa"/>
              <w:end w:w="120" w:type="dxa"/>
            </w:tcMar>
            <w:vAlign w:val="center"/>
          </w:tcPr>
          <w:p>
            <w:pPr>
              <w:spacing w:after="0" w:line="252" w:lineRule="auto"/>
            </w:pPr>
            <w:r>
              <w:rPr>
                <w:rFonts w:ascii="Calibri" w:hAnsi="Calibri"/>
                <w:color w:val="334155"/>
                <w:sz w:val="16"/>
              </w:rPr>
              <w:t>Durability requirement tidak cocok.</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334155"/>
                <w:sz w:val="16"/>
              </w:rPr>
              <w:t>ADR-005</w:t>
            </w:r>
          </w:p>
        </w:tc>
        <w:tc>
          <w:tcPr>
            <w:tcW w:type="dxa" w:w="2700"/>
            <w:tcMar>
              <w:top w:w="80" w:type="dxa"/>
              <w:start w:w="120" w:type="dxa"/>
              <w:bottom w:w="80" w:type="dxa"/>
              <w:end w:w="120" w:type="dxa"/>
            </w:tcMar>
            <w:vAlign w:val="center"/>
          </w:tcPr>
          <w:p>
            <w:pPr>
              <w:spacing w:after="0" w:line="252" w:lineRule="auto"/>
            </w:pPr>
            <w:r>
              <w:rPr>
                <w:rFonts w:ascii="Calibri" w:hAnsi="Calibri"/>
                <w:color w:val="334155"/>
                <w:sz w:val="16"/>
              </w:rPr>
              <w:t>Qdrant untuk retrieval, bukan business truth.</w:t>
            </w:r>
          </w:p>
        </w:tc>
        <w:tc>
          <w:tcPr>
            <w:tcW w:type="dxa" w:w="3400"/>
            <w:tcMar>
              <w:top w:w="80" w:type="dxa"/>
              <w:start w:w="120" w:type="dxa"/>
              <w:bottom w:w="80" w:type="dxa"/>
              <w:end w:w="120" w:type="dxa"/>
            </w:tcMar>
            <w:vAlign w:val="center"/>
          </w:tcPr>
          <w:p>
            <w:pPr>
              <w:spacing w:after="0" w:line="252" w:lineRule="auto"/>
            </w:pPr>
            <w:r>
              <w:rPr>
                <w:rFonts w:ascii="Calibri" w:hAnsi="Calibri"/>
                <w:color w:val="334155"/>
                <w:sz w:val="16"/>
              </w:rPr>
              <w:t>Semantic search/RAG dengan metadata filters.</w:t>
            </w:r>
          </w:p>
        </w:tc>
        <w:tc>
          <w:tcPr>
            <w:tcW w:type="dxa" w:w="2060"/>
            <w:tcMar>
              <w:top w:w="80" w:type="dxa"/>
              <w:start w:w="120" w:type="dxa"/>
              <w:bottom w:w="80" w:type="dxa"/>
              <w:end w:w="120" w:type="dxa"/>
            </w:tcMar>
            <w:vAlign w:val="center"/>
          </w:tcPr>
          <w:p>
            <w:pPr>
              <w:spacing w:after="0" w:line="252" w:lineRule="auto"/>
            </w:pPr>
            <w:r>
              <w:rPr>
                <w:rFonts w:ascii="Calibri" w:hAnsi="Calibri"/>
                <w:color w:val="334155"/>
                <w:sz w:val="16"/>
              </w:rPr>
              <w:t>Search quality/cost memerlukan engine berbeda.</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334155"/>
                <w:sz w:val="16"/>
              </w:rPr>
              <w:t>ADR-006</w:t>
            </w:r>
          </w:p>
        </w:tc>
        <w:tc>
          <w:tcPr>
            <w:tcW w:type="dxa" w:w="2700"/>
            <w:tcMar>
              <w:top w:w="80" w:type="dxa"/>
              <w:start w:w="120" w:type="dxa"/>
              <w:bottom w:w="80" w:type="dxa"/>
              <w:end w:w="120" w:type="dxa"/>
            </w:tcMar>
            <w:vAlign w:val="center"/>
          </w:tcPr>
          <w:p>
            <w:pPr>
              <w:spacing w:after="0" w:line="252" w:lineRule="auto"/>
            </w:pPr>
            <w:r>
              <w:rPr>
                <w:rFonts w:ascii="Calibri" w:hAnsi="Calibri"/>
                <w:color w:val="334155"/>
                <w:sz w:val="16"/>
              </w:rPr>
              <w:t>AI metrics computed outside LLM.</w:t>
            </w:r>
          </w:p>
        </w:tc>
        <w:tc>
          <w:tcPr>
            <w:tcW w:type="dxa" w:w="3400"/>
            <w:tcMar>
              <w:top w:w="80" w:type="dxa"/>
              <w:start w:w="120" w:type="dxa"/>
              <w:bottom w:w="80" w:type="dxa"/>
              <w:end w:w="120" w:type="dxa"/>
            </w:tcMar>
            <w:vAlign w:val="center"/>
          </w:tcPr>
          <w:p>
            <w:pPr>
              <w:spacing w:after="0" w:line="252" w:lineRule="auto"/>
            </w:pPr>
            <w:r>
              <w:rPr>
                <w:rFonts w:ascii="Calibri" w:hAnsi="Calibri"/>
                <w:color w:val="334155"/>
                <w:sz w:val="16"/>
              </w:rPr>
              <w:t>Mencegah hallucinated arithmetic dan memberi traceability.</w:t>
            </w:r>
          </w:p>
        </w:tc>
        <w:tc>
          <w:tcPr>
            <w:tcW w:type="dxa" w:w="2060"/>
            <w:tcMar>
              <w:top w:w="80" w:type="dxa"/>
              <w:start w:w="120" w:type="dxa"/>
              <w:bottom w:w="80" w:type="dxa"/>
              <w:end w:w="120" w:type="dxa"/>
            </w:tcMar>
            <w:vAlign w:val="center"/>
          </w:tcPr>
          <w:p>
            <w:pPr>
              <w:spacing w:after="0" w:line="252" w:lineRule="auto"/>
            </w:pPr>
            <w:r>
              <w:rPr>
                <w:rFonts w:ascii="Calibri" w:hAnsi="Calibri"/>
                <w:color w:val="334155"/>
                <w:sz w:val="16"/>
              </w:rPr>
              <w:t>Tidak ada; tetap invariant.</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334155"/>
                <w:sz w:val="16"/>
              </w:rPr>
              <w:t>ADR-007</w:t>
            </w:r>
          </w:p>
        </w:tc>
        <w:tc>
          <w:tcPr>
            <w:tcW w:type="dxa" w:w="2700"/>
            <w:tcMar>
              <w:top w:w="80" w:type="dxa"/>
              <w:start w:w="120" w:type="dxa"/>
              <w:bottom w:w="80" w:type="dxa"/>
              <w:end w:w="120" w:type="dxa"/>
            </w:tcMar>
            <w:vAlign w:val="center"/>
          </w:tcPr>
          <w:p>
            <w:pPr>
              <w:spacing w:after="0" w:line="252" w:lineRule="auto"/>
            </w:pPr>
            <w:r>
              <w:rPr>
                <w:rFonts w:ascii="Calibri" w:hAnsi="Calibri"/>
                <w:color w:val="334155"/>
                <w:sz w:val="16"/>
              </w:rPr>
              <w:t>Web auth via secure cookies.</w:t>
            </w:r>
          </w:p>
        </w:tc>
        <w:tc>
          <w:tcPr>
            <w:tcW w:type="dxa" w:w="3400"/>
            <w:tcMar>
              <w:top w:w="80" w:type="dxa"/>
              <w:start w:w="120" w:type="dxa"/>
              <w:bottom w:w="80" w:type="dxa"/>
              <w:end w:w="120" w:type="dxa"/>
            </w:tcMar>
            <w:vAlign w:val="center"/>
          </w:tcPr>
          <w:p>
            <w:pPr>
              <w:spacing w:after="0" w:line="252" w:lineRule="auto"/>
            </w:pPr>
            <w:r>
              <w:rPr>
                <w:rFonts w:ascii="Calibri" w:hAnsi="Calibri"/>
                <w:color w:val="334155"/>
                <w:sz w:val="16"/>
              </w:rPr>
              <w:t>Mengurangi risiko token theft dari JavaScript/localStorage.</w:t>
            </w:r>
          </w:p>
        </w:tc>
        <w:tc>
          <w:tcPr>
            <w:tcW w:type="dxa" w:w="2060"/>
            <w:tcMar>
              <w:top w:w="80" w:type="dxa"/>
              <w:start w:w="120" w:type="dxa"/>
              <w:bottom w:w="80" w:type="dxa"/>
              <w:end w:w="120" w:type="dxa"/>
            </w:tcMar>
            <w:vAlign w:val="center"/>
          </w:tcPr>
          <w:p>
            <w:pPr>
              <w:spacing w:after="0" w:line="252" w:lineRule="auto"/>
            </w:pPr>
            <w:r>
              <w:rPr>
                <w:rFonts w:ascii="Calibri" w:hAnsi="Calibri"/>
                <w:color w:val="334155"/>
                <w:sz w:val="16"/>
              </w:rPr>
              <w:t>Native app/API-client requirement.</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334155"/>
                <w:sz w:val="16"/>
              </w:rPr>
              <w:t>ADR-008</w:t>
            </w:r>
          </w:p>
        </w:tc>
        <w:tc>
          <w:tcPr>
            <w:tcW w:type="dxa" w:w="2700"/>
            <w:tcMar>
              <w:top w:w="80" w:type="dxa"/>
              <w:start w:w="120" w:type="dxa"/>
              <w:bottom w:w="80" w:type="dxa"/>
              <w:end w:w="120" w:type="dxa"/>
            </w:tcMar>
            <w:vAlign w:val="center"/>
          </w:tcPr>
          <w:p>
            <w:pPr>
              <w:spacing w:after="0" w:line="252" w:lineRule="auto"/>
            </w:pPr>
            <w:r>
              <w:rPr>
                <w:rFonts w:ascii="Calibri" w:hAnsi="Calibri"/>
                <w:color w:val="334155"/>
                <w:sz w:val="16"/>
              </w:rPr>
              <w:t>RLS sebagai defense-in-depth.</w:t>
            </w:r>
          </w:p>
        </w:tc>
        <w:tc>
          <w:tcPr>
            <w:tcW w:type="dxa" w:w="3400"/>
            <w:tcMar>
              <w:top w:w="80" w:type="dxa"/>
              <w:start w:w="120" w:type="dxa"/>
              <w:bottom w:w="80" w:type="dxa"/>
              <w:end w:w="120" w:type="dxa"/>
            </w:tcMar>
            <w:vAlign w:val="center"/>
          </w:tcPr>
          <w:p>
            <w:pPr>
              <w:spacing w:after="0" w:line="252" w:lineRule="auto"/>
            </w:pPr>
            <w:r>
              <w:rPr>
                <w:rFonts w:ascii="Calibri" w:hAnsi="Calibri"/>
                <w:color w:val="334155"/>
                <w:sz w:val="16"/>
              </w:rPr>
              <w:t>Mengurangi blast radius kesalahan repository.</w:t>
            </w:r>
          </w:p>
        </w:tc>
        <w:tc>
          <w:tcPr>
            <w:tcW w:type="dxa" w:w="2060"/>
            <w:tcMar>
              <w:top w:w="80" w:type="dxa"/>
              <w:start w:w="120" w:type="dxa"/>
              <w:bottom w:w="80" w:type="dxa"/>
              <w:end w:w="120" w:type="dxa"/>
            </w:tcMar>
            <w:vAlign w:val="center"/>
          </w:tcPr>
          <w:p>
            <w:pPr>
              <w:spacing w:after="0" w:line="252" w:lineRule="auto"/>
            </w:pPr>
            <w:r>
              <w:rPr>
                <w:rFonts w:ascii="Calibri" w:hAnsi="Calibri"/>
                <w:color w:val="334155"/>
                <w:sz w:val="16"/>
              </w:rPr>
              <w:t>Operational complexity melebihi benefit—harus dibuktikan.</w:t>
            </w:r>
          </w:p>
        </w:tc>
      </w:tr>
    </w:tbl>
    <w:p>
      <w:pPr>
        <w:spacing w:after="40"/>
      </w:pPr>
    </w:p>
    <w:p>
      <w:pPr>
        <w:pStyle w:val="Heading1"/>
        <w:keepNext/>
      </w:pPr>
      <w:r>
        <w:rPr>
          <w:rFonts w:ascii="Calibri" w:hAnsi="Calibri"/>
          <w:b/>
          <w:color w:val="3730A3"/>
          <w:sz w:val="32"/>
        </w:rPr>
        <w:t>Lampiran C — Referensi dan standar</w:t>
      </w:r>
    </w:p>
    <w:p>
      <w:pPr>
        <w:spacing w:after="100"/>
        <w:ind w:left="360" w:hanging="360"/>
      </w:pPr>
      <w:r>
        <w:rPr>
          <w:rFonts w:ascii="Calibri" w:hAnsi="Calibri"/>
          <w:b/>
          <w:color w:val="334155"/>
          <w:sz w:val="19"/>
        </w:rPr>
        <w:t xml:space="preserve">1. </w:t>
      </w:r>
      <w:hyperlink r:id="rId13">
        <w:r>
          <w:rPr>
            <w:color w:val="4F46E5"/>
            <w:u w:val="single"/>
          </w:rPr>
          <w:t>UU No. 27 Tahun 2022 — Pelindungan Data Pribadi</w:t>
        </w:r>
      </w:hyperlink>
      <w:r>
        <w:rPr>
          <w:rFonts w:ascii="Calibri" w:hAnsi="Calibri"/>
          <w:color w:val="64748B"/>
          <w:sz w:val="17"/>
        </w:rPr>
        <w:t xml:space="preserve"> — https://peraturan.bpk.go.id/Details/229798/uu-no-27-tahun-2022</w:t>
      </w:r>
    </w:p>
    <w:p>
      <w:pPr>
        <w:spacing w:after="100"/>
        <w:ind w:left="360" w:hanging="360"/>
      </w:pPr>
      <w:r>
        <w:rPr>
          <w:rFonts w:ascii="Calibri" w:hAnsi="Calibri"/>
          <w:b/>
          <w:color w:val="334155"/>
          <w:sz w:val="19"/>
        </w:rPr>
        <w:t xml:space="preserve">2. </w:t>
      </w:r>
      <w:hyperlink r:id="rId14">
        <w:r>
          <w:rPr>
            <w:color w:val="4F46E5"/>
            <w:u w:val="single"/>
          </w:rPr>
          <w:t>PP No. 71 Tahun 2019 — Penyelenggaraan Sistem dan Transaksi Elektronik</w:t>
        </w:r>
      </w:hyperlink>
      <w:r>
        <w:rPr>
          <w:rFonts w:ascii="Calibri" w:hAnsi="Calibri"/>
          <w:color w:val="64748B"/>
          <w:sz w:val="17"/>
        </w:rPr>
        <w:t xml:space="preserve"> — https://jdih.komdigi.go.id/produk_hukum/view/id/695/t/peraturan%2Bpemerintah%2Bnomor%2B71%2Btahun%2B2019</w:t>
      </w:r>
    </w:p>
    <w:p>
      <w:pPr>
        <w:spacing w:after="100"/>
        <w:ind w:left="360" w:hanging="360"/>
      </w:pPr>
      <w:r>
        <w:rPr>
          <w:rFonts w:ascii="Calibri" w:hAnsi="Calibri"/>
          <w:b/>
          <w:color w:val="334155"/>
          <w:sz w:val="19"/>
        </w:rPr>
        <w:t xml:space="preserve">3. </w:t>
      </w:r>
      <w:hyperlink r:id="rId15">
        <w:r>
          <w:rPr>
            <w:color w:val="4F46E5"/>
            <w:u w:val="single"/>
          </w:rPr>
          <w:t>Permenkominfo No. 5 Tahun 2020 — PSE Lingkup Privat</w:t>
        </w:r>
      </w:hyperlink>
      <w:r>
        <w:rPr>
          <w:rFonts w:ascii="Calibri" w:hAnsi="Calibri"/>
          <w:color w:val="64748B"/>
          <w:sz w:val="17"/>
        </w:rPr>
        <w:t xml:space="preserve"> — https://jdih.komdigi.go.id/produk_hukum/view/id/759/t/peraturan%2Bmenteri%2Bkomunikasi%2Bdan%2Binformatika%2Bnomor%2B5%2Btahun%2B2020</w:t>
      </w:r>
    </w:p>
    <w:p>
      <w:pPr>
        <w:spacing w:after="100"/>
        <w:ind w:left="360" w:hanging="360"/>
      </w:pPr>
      <w:r>
        <w:rPr>
          <w:rFonts w:ascii="Calibri" w:hAnsi="Calibri"/>
          <w:b/>
          <w:color w:val="334155"/>
          <w:sz w:val="19"/>
        </w:rPr>
        <w:t xml:space="preserve">4. </w:t>
      </w:r>
      <w:hyperlink r:id="rId16">
        <w:r>
          <w:rPr>
            <w:color w:val="4F46E5"/>
            <w:u w:val="single"/>
          </w:rPr>
          <w:t>OWASP Application Security Verification Standard</w:t>
        </w:r>
      </w:hyperlink>
      <w:r>
        <w:rPr>
          <w:rFonts w:ascii="Calibri" w:hAnsi="Calibri"/>
          <w:color w:val="64748B"/>
          <w:sz w:val="17"/>
        </w:rPr>
        <w:t xml:space="preserve"> — https://owasp.org/www-project-application-security-verification-standard/</w:t>
      </w:r>
    </w:p>
    <w:p>
      <w:pPr>
        <w:spacing w:after="100"/>
        <w:ind w:left="360" w:hanging="360"/>
      </w:pPr>
      <w:r>
        <w:rPr>
          <w:rFonts w:ascii="Calibri" w:hAnsi="Calibri"/>
          <w:b/>
          <w:color w:val="334155"/>
          <w:sz w:val="19"/>
        </w:rPr>
        <w:t xml:space="preserve">5. </w:t>
      </w:r>
      <w:hyperlink r:id="rId17">
        <w:r>
          <w:rPr>
            <w:color w:val="4F46E5"/>
            <w:u w:val="single"/>
          </w:rPr>
          <w:t>OWASP API Security Project</w:t>
        </w:r>
      </w:hyperlink>
      <w:r>
        <w:rPr>
          <w:rFonts w:ascii="Calibri" w:hAnsi="Calibri"/>
          <w:color w:val="64748B"/>
          <w:sz w:val="17"/>
        </w:rPr>
        <w:t xml:space="preserve"> — https://owasp.org/www-project-api-security/</w:t>
      </w:r>
    </w:p>
    <w:p>
      <w:pPr>
        <w:spacing w:after="100"/>
        <w:ind w:left="360" w:hanging="360"/>
      </w:pPr>
      <w:r>
        <w:rPr>
          <w:rFonts w:ascii="Calibri" w:hAnsi="Calibri"/>
          <w:b/>
          <w:color w:val="334155"/>
          <w:sz w:val="19"/>
        </w:rPr>
        <w:t xml:space="preserve">6. </w:t>
      </w:r>
      <w:hyperlink r:id="rId18">
        <w:r>
          <w:rPr>
            <w:color w:val="4F46E5"/>
            <w:u w:val="single"/>
          </w:rPr>
          <w:t>OWASP REST Security Cheat Sheet</w:t>
        </w:r>
      </w:hyperlink>
      <w:r>
        <w:rPr>
          <w:rFonts w:ascii="Calibri" w:hAnsi="Calibri"/>
          <w:color w:val="64748B"/>
          <w:sz w:val="17"/>
        </w:rPr>
        <w:t xml:space="preserve"> — https://cheatsheetseries.owasp.org/cheatsheets/REST_Security_Cheat_Sheet.html</w:t>
      </w:r>
    </w:p>
    <w:p>
      <w:pPr>
        <w:spacing w:after="100"/>
        <w:ind w:left="360" w:hanging="360"/>
      </w:pPr>
      <w:r>
        <w:rPr>
          <w:rFonts w:ascii="Calibri" w:hAnsi="Calibri"/>
          <w:b/>
          <w:color w:val="334155"/>
          <w:sz w:val="19"/>
        </w:rPr>
        <w:t xml:space="preserve">7. </w:t>
      </w:r>
      <w:hyperlink r:id="rId19">
        <w:r>
          <w:rPr>
            <w:color w:val="4F46E5"/>
            <w:u w:val="single"/>
          </w:rPr>
          <w:t>OWASP File Upload Cheat Sheet</w:t>
        </w:r>
      </w:hyperlink>
      <w:r>
        <w:rPr>
          <w:rFonts w:ascii="Calibri" w:hAnsi="Calibri"/>
          <w:color w:val="64748B"/>
          <w:sz w:val="17"/>
        </w:rPr>
        <w:t xml:space="preserve"> — https://cheatsheetseries.owasp.org/cheatsheets/File_Upload_Cheat_Sheet.html</w:t>
      </w:r>
    </w:p>
    <w:p>
      <w:pPr>
        <w:spacing w:after="100"/>
        <w:ind w:left="360" w:hanging="360"/>
      </w:pPr>
      <w:r>
        <w:rPr>
          <w:rFonts w:ascii="Calibri" w:hAnsi="Calibri"/>
          <w:b/>
          <w:color w:val="334155"/>
          <w:sz w:val="19"/>
        </w:rPr>
        <w:t xml:space="preserve">8. </w:t>
      </w:r>
      <w:hyperlink r:id="rId20">
        <w:r>
          <w:rPr>
            <w:color w:val="4F46E5"/>
            <w:u w:val="single"/>
          </w:rPr>
          <w:t>PCI DSS v4.0.1 resources</w:t>
        </w:r>
      </w:hyperlink>
      <w:r>
        <w:rPr>
          <w:rFonts w:ascii="Calibri" w:hAnsi="Calibri"/>
          <w:color w:val="64748B"/>
          <w:sz w:val="17"/>
        </w:rPr>
        <w:t xml:space="preserve"> — https://www.pcisecuritystandards.org/standards/pci-dss/</w:t>
      </w:r>
    </w:p>
    <w:p>
      <w:pPr>
        <w:spacing w:after="100"/>
        <w:ind w:left="360" w:hanging="360"/>
      </w:pPr>
      <w:r>
        <w:rPr>
          <w:rFonts w:ascii="Calibri" w:hAnsi="Calibri"/>
          <w:b/>
          <w:color w:val="334155"/>
          <w:sz w:val="19"/>
        </w:rPr>
        <w:t xml:space="preserve">9. </w:t>
      </w:r>
      <w:hyperlink r:id="rId21">
        <w:r>
          <w:rPr>
            <w:color w:val="4F46E5"/>
            <w:u w:val="single"/>
          </w:rPr>
          <w:t>NIST AI RMF — Generative AI Profile</w:t>
        </w:r>
      </w:hyperlink>
      <w:r>
        <w:rPr>
          <w:rFonts w:ascii="Calibri" w:hAnsi="Calibri"/>
          <w:color w:val="64748B"/>
          <w:sz w:val="17"/>
        </w:rPr>
        <w:t xml:space="preserve"> — https://www.nist.gov/publications/artificial-intelligence-risk-management-framework-generative-artificial-intelligence</w:t>
      </w:r>
    </w:p>
    <w:p>
      <w:pPr>
        <w:spacing w:after="100"/>
        <w:ind w:left="360" w:hanging="360"/>
      </w:pPr>
      <w:r>
        <w:rPr>
          <w:rFonts w:ascii="Calibri" w:hAnsi="Calibri"/>
          <w:b/>
          <w:color w:val="334155"/>
          <w:sz w:val="19"/>
        </w:rPr>
        <w:t xml:space="preserve">10. </w:t>
      </w:r>
      <w:hyperlink r:id="rId22">
        <w:r>
          <w:rPr>
            <w:color w:val="4F46E5"/>
            <w:u w:val="single"/>
          </w:rPr>
          <w:t>Qdrant — Configure Multitenancy</w:t>
        </w:r>
      </w:hyperlink>
      <w:r>
        <w:rPr>
          <w:rFonts w:ascii="Calibri" w:hAnsi="Calibri"/>
          <w:color w:val="64748B"/>
          <w:sz w:val="17"/>
        </w:rPr>
        <w:t xml:space="preserve"> — https://qdrant.tech/documentation/manage-data/multitenancy/</w:t>
      </w:r>
    </w:p>
    <w:p>
      <w:pPr>
        <w:spacing w:after="100"/>
        <w:ind w:left="360" w:hanging="360"/>
      </w:pPr>
      <w:r>
        <w:rPr>
          <w:rFonts w:ascii="Calibri" w:hAnsi="Calibri"/>
          <w:b/>
          <w:color w:val="334155"/>
          <w:sz w:val="19"/>
        </w:rPr>
        <w:t xml:space="preserve">11. </w:t>
      </w:r>
      <w:hyperlink r:id="rId23">
        <w:r>
          <w:rPr>
            <w:color w:val="4F46E5"/>
            <w:u w:val="single"/>
          </w:rPr>
          <w:t>PostgreSQL — Multicolumn Indexes</w:t>
        </w:r>
      </w:hyperlink>
      <w:r>
        <w:rPr>
          <w:rFonts w:ascii="Calibri" w:hAnsi="Calibri"/>
          <w:color w:val="64748B"/>
          <w:sz w:val="17"/>
        </w:rPr>
        <w:t xml:space="preserve"> — https://www.postgresql.org/docs/current/indexes-multicolumn.html</w:t>
      </w:r>
    </w:p>
    <w:p>
      <w:pPr>
        <w:spacing w:after="100"/>
        <w:ind w:left="360" w:hanging="360"/>
      </w:pPr>
      <w:r>
        <w:rPr>
          <w:rFonts w:ascii="Calibri" w:hAnsi="Calibri"/>
          <w:b/>
          <w:color w:val="334155"/>
          <w:sz w:val="19"/>
        </w:rPr>
        <w:t xml:space="preserve">12. </w:t>
      </w:r>
      <w:hyperlink r:id="rId24">
        <w:r>
          <w:rPr>
            <w:color w:val="4F46E5"/>
            <w:u w:val="single"/>
          </w:rPr>
          <w:t>PostgreSQL — Partial Indexes</w:t>
        </w:r>
      </w:hyperlink>
      <w:r>
        <w:rPr>
          <w:rFonts w:ascii="Calibri" w:hAnsi="Calibri"/>
          <w:color w:val="64748B"/>
          <w:sz w:val="17"/>
        </w:rPr>
        <w:t xml:space="preserve"> — https://www.postgresql.org/docs/current/indexes-partial.html</w:t>
      </w:r>
    </w:p>
    <w:p>
      <w:pPr>
        <w:spacing w:after="120" w:line="264" w:lineRule="auto"/>
      </w:pPr>
      <w:r>
        <w:rPr>
          <w:rFonts w:ascii="Calibri" w:hAnsi="Calibri"/>
          <w:i/>
          <w:color w:val="334155"/>
          <w:sz w:val="22"/>
        </w:rPr>
        <w:t>Catatan: standar dan regulasi dapat berubah. Sebelum produksi, lakukan review terhadap versi terbaru, kewajiban pendaftaran PSE, kontrak processor, aturan kesehatan/dental, perlindungan konsumen, pajak, dan payment provider.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Halaman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4748B"/>
        <w:sz w:val="17"/>
      </w:rPr>
      <w:t>YORU · PRODUCT REQUIREMENTS &amp; SYSTEM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3730A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20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peraturan.bpk.go.id/Details/229798/uu-no-27-tahun-2022" TargetMode="External"/><Relationship Id="rId14" Type="http://schemas.openxmlformats.org/officeDocument/2006/relationships/hyperlink" Target="https://jdih.komdigi.go.id/produk_hukum/view/id/695/t/peraturan%2Bpemerintah%2Bnomor%2B71%2Btahun%2B2019" TargetMode="External"/><Relationship Id="rId15" Type="http://schemas.openxmlformats.org/officeDocument/2006/relationships/hyperlink" Target="https://jdih.komdigi.go.id/produk_hukum/view/id/759/t/peraturan%2Bmenteri%2Bkomunikasi%2Bdan%2Binformatika%2Bnomor%2B5%2Btahun%2B2020" TargetMode="External"/><Relationship Id="rId16" Type="http://schemas.openxmlformats.org/officeDocument/2006/relationships/hyperlink" Target="https://owasp.org/www-project-application-security-verification-standard/" TargetMode="External"/><Relationship Id="rId17" Type="http://schemas.openxmlformats.org/officeDocument/2006/relationships/hyperlink" Target="https://owasp.org/www-project-api-security/" TargetMode="External"/><Relationship Id="rId18" Type="http://schemas.openxmlformats.org/officeDocument/2006/relationships/hyperlink" Target="https://cheatsheetseries.owasp.org/cheatsheets/REST_Security_Cheat_Sheet.html" TargetMode="External"/><Relationship Id="rId19" Type="http://schemas.openxmlformats.org/officeDocument/2006/relationships/hyperlink" Target="https://cheatsheetseries.owasp.org/cheatsheets/File_Upload_Cheat_Sheet.html" TargetMode="External"/><Relationship Id="rId20" Type="http://schemas.openxmlformats.org/officeDocument/2006/relationships/hyperlink" Target="https://www.pcisecuritystandards.org/standards/pci-dss/" TargetMode="External"/><Relationship Id="rId21" Type="http://schemas.openxmlformats.org/officeDocument/2006/relationships/hyperlink" Target="https://www.nist.gov/publications/artificial-intelligence-risk-management-framework-generative-artificial-intelligence" TargetMode="External"/><Relationship Id="rId22" Type="http://schemas.openxmlformats.org/officeDocument/2006/relationships/hyperlink" Target="https://qdrant.tech/documentation/manage-data/multitenancy/" TargetMode="External"/><Relationship Id="rId23" Type="http://schemas.openxmlformats.org/officeDocument/2006/relationships/hyperlink" Target="https://www.postgresql.org/docs/current/indexes-multicolumn.html" TargetMode="External"/><Relationship Id="rId24" Type="http://schemas.openxmlformats.org/officeDocument/2006/relationships/hyperlink" Target="https://www.postgresql.org/docs/current/indexes-parti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Yoru — Product Requirements Document &amp; System Design</dc:title>
  <dc:subject>AI-assisted beauty ecommerce and home-service marketplace</dc:subject>
  <dc:creator>Yoru Product &amp; Engineering</dc:creator>
  <cp:keywords>Yoru, PRD, ecommerce, home service, AI assistant, system design</cp:keywords>
  <dc:description>Version 1.0 draft</dc:description>
  <cp:lastModifiedBy/>
  <cp:revision>1</cp:revision>
  <dcterms:created xsi:type="dcterms:W3CDTF">2013-12-23T23:15:00Z</dcterms:created>
  <dcterms:modified xsi:type="dcterms:W3CDTF">2013-12-23T23:15:00Z</dcterms:modified>
  <cp:category/>
</cp:coreProperties>
</file>