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Times New Roman"/>
          <w:b/>
          <w:sz w:val="34"/>
        </w:rPr>
        <w:t>AGI Research Kit: Unified Preprint v2</w:t>
      </w:r>
    </w:p>
    <w:p>
      <w:pPr>
        <w:pStyle w:val="Heading1"/>
      </w:pPr>
      <w:r>
        <w:rPr>
          <w:rFonts w:ascii="Times New Roman" w:hAnsi="Times New Roman" w:eastAsia="Times New Roman"/>
          <w:sz w:val="28"/>
        </w:rPr>
        <w:t>AGI Kit: An End-to-End Self-Improving Tool-Use Pipeline on Consumer Hardware - Empirical Observations</w:t>
      </w:r>
    </w:p>
    <w:p>
      <w:r>
        <w:rPr>
          <w:rFonts w:ascii="Times New Roman" w:hAnsi="Times New Roman" w:eastAsia="Times New Roman"/>
          <w:b/>
          <w:sz w:val="21"/>
        </w:rPr>
        <w:t>Authors:</w:t>
      </w:r>
      <w:r>
        <w:rPr>
          <w:rFonts w:ascii="Times New Roman" w:hAnsi="Times New Roman" w:eastAsia="Times New Roman"/>
          <w:sz w:val="21"/>
        </w:rPr>
        <w:t xml:space="preserve"> Zewen Liu (刘泽文) </w:t>
      </w:r>
      <w:r>
        <w:rPr>
          <w:rFonts w:ascii="Times New Roman" w:hAnsi="Times New Roman" w:eastAsia="Times New Roman"/>
          <w:b/>
          <w:sz w:val="21"/>
        </w:rPr>
        <w:t>Date:</w:t>
      </w:r>
      <w:r>
        <w:rPr>
          <w:rFonts w:ascii="Times New Roman" w:hAnsi="Times New Roman" w:eastAsia="Times New Roman"/>
          <w:sz w:val="21"/>
        </w:rPr>
        <w:t xml:space="preserve"> 2026-08-02 </w:t>
      </w:r>
      <w:r>
        <w:rPr>
          <w:rFonts w:ascii="Times New Roman" w:hAnsi="Times New Roman" w:eastAsia="Times New Roman"/>
          <w:b/>
          <w:sz w:val="21"/>
        </w:rPr>
        <w:t>Status:</w:t>
      </w:r>
      <w:r>
        <w:rPr>
          <w:rFonts w:ascii="Times New Roman" w:hAnsi="Times New Roman" w:eastAsia="Times New Roman"/>
          <w:sz w:val="21"/>
        </w:rPr>
        <w:t xml:space="preserve"> Submission draft; not yet submitted</w:t>
      </w:r>
    </w:p>
    <w:p>
      <w:r>
        <w:rPr>
          <w:rFonts w:ascii="Times New Roman" w:hAnsi="Times New Roman" w:eastAsia="Times New Roman"/>
          <w:b/>
          <w:sz w:val="21"/>
        </w:rPr>
        <w:t>Affiliation:</w:t>
      </w:r>
      <w:r>
        <w:rPr>
          <w:rFonts w:ascii="Times New Roman" w:hAnsi="Times New Roman" w:eastAsia="Times New Roman"/>
          <w:sz w:val="21"/>
        </w:rPr>
        <w:t xml:space="preserve"> Independent researcher</w:t>
      </w:r>
    </w:p>
    <w:p>
      <w:r>
        <w:rPr>
          <w:rFonts w:ascii="Times New Roman" w:hAnsi="Times New Roman" w:eastAsia="Times New Roman"/>
          <w:b/>
          <w:sz w:val="21"/>
        </w:rPr>
        <w:t>ORCID:</w:t>
      </w:r>
      <w:r>
        <w:rPr>
          <w:rFonts w:ascii="Times New Roman" w:hAnsi="Times New Roman" w:eastAsia="Times New Roman"/>
          <w:sz w:val="21"/>
        </w:rPr>
        <w:t xml:space="preserve"> https://orcid.org/0009-0003-2981-9888</w:t>
      </w:r>
    </w:p>
    <w:p>
      <w:pPr>
        <w:pStyle w:val="Heading1"/>
      </w:pPr>
      <w:r>
        <w:rPr>
          <w:rFonts w:ascii="Times New Roman" w:hAnsi="Times New Roman" w:eastAsia="Times New Roman"/>
          <w:sz w:val="28"/>
        </w:rPr>
        <w:t>Evidence Summary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Five synthetic ablation configurations: **77.8% final-emission for</w:t>
      </w:r>
    </w:p>
    <w:p>
      <w:r>
        <w:rPr>
          <w:rFonts w:ascii="Times New Roman" w:hAnsi="Times New Roman" w:eastAsia="Times New Roman"/>
          <w:sz w:val="21"/>
        </w:rPr>
        <w:t>every configuration**; the evaluation is saturated and does not identify component effects.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 xml:space="preserve">Hard 20-task arithmetic evaluation: bare Qwen3-1.7B scores </w:t>
      </w:r>
      <w:r>
        <w:rPr>
          <w:rFonts w:ascii="Times New Roman" w:hAnsi="Times New Roman" w:eastAsia="Times New Roman"/>
          <w:b/>
          <w:sz w:val="21"/>
        </w:rPr>
        <w:t>5.0%</w:t>
      </w:r>
    </w:p>
    <w:p>
      <w:r>
        <w:rPr>
          <w:rFonts w:ascii="Times New Roman" w:hAnsi="Times New Roman" w:eastAsia="Times New Roman"/>
          <w:sz w:val="21"/>
        </w:rPr>
        <w:t xml:space="preserve">at three steps and </w:t>
      </w:r>
      <w:r>
        <w:rPr>
          <w:rFonts w:ascii="Times New Roman" w:hAnsi="Times New Roman" w:eastAsia="Times New Roman"/>
          <w:b/>
          <w:sz w:val="21"/>
        </w:rPr>
        <w:t>35.0%</w:t>
      </w:r>
      <w:r>
        <w:rPr>
          <w:rFonts w:ascii="Times New Roman" w:hAnsi="Times New Roman" w:eastAsia="Times New Roman"/>
          <w:sz w:val="21"/>
        </w:rPr>
        <w:t xml:space="preserve"> at six steps; the full configuration records 100.0% structural completion and </w:t>
      </w:r>
      <w:r>
        <w:rPr>
          <w:rFonts w:ascii="Times New Roman" w:hAnsi="Times New Roman" w:eastAsia="Times New Roman"/>
          <w:b/>
          <w:sz w:val="21"/>
        </w:rPr>
        <w:t>95.0% correctness</w:t>
      </w:r>
      <w:r>
        <w:rPr>
          <w:rFonts w:ascii="Times New Roman" w:hAnsi="Times New Roman" w:eastAsia="Times New Roman"/>
          <w:sz w:val="21"/>
        </w:rPr>
        <w:t xml:space="preserve"> after an independent gold recheck. The 60-point matched-step difference remains confounded by prompt structure and control flow.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Controlled L1 check: on a separate fixed 20-task held-out split with</w:t>
      </w:r>
    </w:p>
    <w:p>
      <w:r>
        <w:rPr>
          <w:rFonts w:ascii="Times New Roman" w:hAnsi="Times New Roman" w:eastAsia="Times New Roman"/>
          <w:sz w:val="21"/>
        </w:rPr>
        <w:t xml:space="preserve">matched prompt/tool/budget/model-seed settings, Static scores </w:t>
      </w:r>
      <w:r>
        <w:rPr>
          <w:rFonts w:ascii="Times New Roman" w:hAnsi="Times New Roman" w:eastAsia="Times New Roman"/>
          <w:b/>
          <w:sz w:val="21"/>
        </w:rPr>
        <w:t>19/20</w:t>
      </w:r>
      <w:r>
        <w:rPr>
          <w:rFonts w:ascii="Times New Roman" w:hAnsi="Times New Roman" w:eastAsia="Times New Roman"/>
          <w:sz w:val="21"/>
        </w:rPr>
        <w:t xml:space="preserve"> and L1 reflection-and-verification scores </w:t>
      </w:r>
      <w:r>
        <w:rPr>
          <w:rFonts w:ascii="Times New Roman" w:hAnsi="Times New Roman" w:eastAsia="Times New Roman"/>
          <w:b/>
          <w:sz w:val="21"/>
        </w:rPr>
        <w:t>20/20</w:t>
      </w:r>
      <w:r>
        <w:rPr>
          <w:rFonts w:ascii="Times New Roman" w:hAnsi="Times New Roman" w:eastAsia="Times New Roman"/>
          <w:sz w:val="21"/>
        </w:rPr>
        <w:t>. The only discordant pair is an auditable correction, but exact p=1.0; this is not a general superiority claim.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 xml:space="preserve">Retroactive gold re-evaluation: </w:t>
      </w:r>
      <w:r>
        <w:rPr>
          <w:rFonts w:ascii="Times New Roman" w:hAnsi="Times New Roman" w:eastAsia="Times New Roman"/>
          <w:b/>
          <w:sz w:val="21"/>
        </w:rPr>
        <w:t>77.6% correctness</w:t>
      </w:r>
      <w:r>
        <w:rPr>
          <w:rFonts w:ascii="Times New Roman" w:hAnsi="Times New Roman" w:eastAsia="Times New Roman"/>
          <w:sz w:val="21"/>
        </w:rPr>
        <w:t xml:space="preserve"> on the</w:t>
      </w:r>
    </w:p>
    <w:p>
      <w:r>
        <w:rPr>
          <w:rFonts w:ascii="Times New Roman" w:hAnsi="Times New Roman" w:eastAsia="Times New Roman"/>
          <w:sz w:val="21"/>
        </w:rPr>
        <w:t>85-episode arithmetic subset of 138 historical episodes.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 xml:space="preserve">Safety gate: </w:t>
      </w:r>
      <w:r>
        <w:rPr>
          <w:rFonts w:ascii="Times New Roman" w:hAnsi="Times New Roman" w:eastAsia="Times New Roman"/>
          <w:b/>
          <w:sz w:val="21"/>
        </w:rPr>
        <w:t>12/12</w:t>
      </w:r>
      <w:r>
        <w:rPr>
          <w:rFonts w:ascii="Times New Roman" w:hAnsi="Times New Roman" w:eastAsia="Times New Roman"/>
          <w:sz w:val="21"/>
        </w:rPr>
        <w:t xml:space="preserve"> deterministic boundary cases passed.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 xml:space="preserve">Production SchemaMutator policy test: </w:t>
      </w:r>
      <w:r>
        <w:rPr>
          <w:rFonts w:ascii="Times New Roman" w:hAnsi="Times New Roman" w:eastAsia="Times New Roman"/>
          <w:b/>
          <w:sz w:val="21"/>
        </w:rPr>
        <w:t>18/18</w:t>
      </w:r>
      <w:r>
        <w:rPr>
          <w:rFonts w:ascii="Times New Roman" w:hAnsi="Times New Roman" w:eastAsia="Times New Roman"/>
          <w:sz w:val="21"/>
        </w:rPr>
        <w:t xml:space="preserve"> invalid changes</w:t>
      </w:r>
    </w:p>
    <w:p>
      <w:r>
        <w:rPr>
          <w:rFonts w:ascii="Times New Roman" w:hAnsi="Times New Roman" w:eastAsia="Times New Roman"/>
          <w:sz w:val="21"/>
        </w:rPr>
        <w:t xml:space="preserve">blocked and </w:t>
      </w:r>
      <w:r>
        <w:rPr>
          <w:rFonts w:ascii="Times New Roman" w:hAnsi="Times New Roman" w:eastAsia="Times New Roman"/>
          <w:b/>
          <w:sz w:val="21"/>
        </w:rPr>
        <w:t>12/12</w:t>
      </w:r>
      <w:r>
        <w:rPr>
          <w:rFonts w:ascii="Times New Roman" w:hAnsi="Times New Roman" w:eastAsia="Times New Roman"/>
          <w:sz w:val="21"/>
        </w:rPr>
        <w:t xml:space="preserve"> valid in-range controls accepted.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Historical repeated-run result: 62.5%, 62.5%, and 56.2% over three</w:t>
      </w:r>
    </w:p>
    <w:p>
      <w:r>
        <w:rPr>
          <w:rFonts w:ascii="Times New Roman" w:hAnsi="Times New Roman" w:eastAsia="Times New Roman"/>
          <w:sz w:val="21"/>
        </w:rPr>
        <w:t>16-episode runs. This result is descriptive only because seed control and artifact provenance are incomplete.</w:t>
      </w:r>
    </w:p>
    <w:p>
      <w:pPr>
        <w:pStyle w:val="Heading1"/>
      </w:pPr>
      <w:r>
        <w:rPr>
          <w:rFonts w:ascii="Times New Roman" w:hAnsi="Times New Roman" w:eastAsia="Times New Roman"/>
          <w:sz w:val="28"/>
        </w:rPr>
        <w:t>Primary Files</w:t>
      </w:r>
    </w:p>
    <w:p>
      <w:pPr>
        <w:pStyle w:val="ListBullet"/>
      </w:pPr>
      <w:r>
        <w:rPr>
          <w:rFonts w:ascii="Courier New" w:hAnsi="Courier New" w:eastAsia="Courier New"/>
          <w:sz w:val="19"/>
        </w:rPr>
        <w:t>preprint_unified_en.md</w:t>
      </w:r>
      <w:r>
        <w:rPr>
          <w:rFonts w:ascii="Times New Roman" w:hAnsi="Times New Roman" w:eastAsia="Times New Roman"/>
          <w:sz w:val="21"/>
        </w:rPr>
        <w:t>: manuscript source</w:t>
      </w:r>
    </w:p>
    <w:p>
      <w:pPr>
        <w:pStyle w:val="ListBullet"/>
      </w:pPr>
      <w:r>
        <w:rPr>
          <w:rFonts w:ascii="Courier New" w:hAnsi="Courier New" w:eastAsia="Courier New"/>
          <w:sz w:val="19"/>
        </w:rPr>
        <w:t>preprint_unified_en.pdf</w:t>
      </w:r>
      <w:r>
        <w:rPr>
          <w:rFonts w:ascii="Times New Roman" w:hAnsi="Times New Roman" w:eastAsia="Times New Roman"/>
          <w:sz w:val="21"/>
        </w:rPr>
        <w:t>: PDF build</w:t>
      </w:r>
    </w:p>
    <w:p>
      <w:pPr>
        <w:pStyle w:val="ListBullet"/>
      </w:pPr>
      <w:r>
        <w:rPr>
          <w:rFonts w:ascii="Courier New" w:hAnsi="Courier New" w:eastAsia="Courier New"/>
          <w:sz w:val="19"/>
        </w:rPr>
        <w:t>docx/preprint_unified_en.docx</w:t>
      </w:r>
      <w:r>
        <w:rPr>
          <w:rFonts w:ascii="Times New Roman" w:hAnsi="Times New Roman" w:eastAsia="Times New Roman"/>
          <w:sz w:val="21"/>
        </w:rPr>
        <w:t>: editable submission draft</w:t>
      </w:r>
    </w:p>
    <w:p>
      <w:pPr>
        <w:pStyle w:val="ListBullet"/>
      </w:pPr>
      <w:r>
        <w:rPr>
          <w:rFonts w:ascii="Courier New" w:hAnsi="Courier New" w:eastAsia="Courier New"/>
          <w:sz w:val="19"/>
        </w:rPr>
        <w:t>COVER_LETTER.md</w:t>
      </w:r>
      <w:r>
        <w:rPr>
          <w:rFonts w:ascii="Times New Roman" w:hAnsi="Times New Roman" w:eastAsia="Times New Roman"/>
          <w:sz w:val="21"/>
        </w:rPr>
        <w:t>: TMLR cover-letter draft</w:t>
      </w:r>
    </w:p>
    <w:p>
      <w:pPr>
        <w:pStyle w:val="ListBullet"/>
      </w:pPr>
      <w:r>
        <w:rPr>
          <w:rFonts w:ascii="Courier New" w:hAnsi="Courier New" w:eastAsia="Courier New"/>
          <w:sz w:val="19"/>
        </w:rPr>
        <w:t>PUBLISHING.md</w:t>
      </w:r>
      <w:r>
        <w:rPr>
          <w:rFonts w:ascii="Times New Roman" w:hAnsi="Times New Roman" w:eastAsia="Times New Roman"/>
          <w:sz w:val="21"/>
        </w:rPr>
        <w:t>: submission preflight and workflow</w:t>
      </w:r>
    </w:p>
    <w:p>
      <w:pPr>
        <w:pStyle w:val="ListBullet"/>
      </w:pPr>
      <w:r>
        <w:rPr>
          <w:rFonts w:ascii="Courier New" w:hAnsi="Courier New" w:eastAsia="Courier New"/>
          <w:sz w:val="19"/>
        </w:rPr>
        <w:t>figures/</w:t>
      </w:r>
      <w:r>
        <w:rPr>
          <w:rFonts w:ascii="Times New Roman" w:hAnsi="Times New Roman" w:eastAsia="Times New Roman"/>
          <w:sz w:val="21"/>
        </w:rPr>
        <w:t>: generated plots; the manuscript embeds only Figures 1</w:t>
      </w:r>
    </w:p>
    <w:p>
      <w:r>
        <w:rPr>
          <w:rFonts w:ascii="Times New Roman" w:hAnsi="Times New Roman" w:eastAsia="Times New Roman"/>
          <w:sz w:val="21"/>
        </w:rPr>
        <w:t>and 5. Historical figures are retained for audit but not used as submission-level performance evidence.</w:t>
      </w:r>
    </w:p>
    <w:p>
      <w:pPr>
        <w:pStyle w:val="ListBullet"/>
      </w:pPr>
      <w:r>
        <w:rPr>
          <w:rFonts w:ascii="Courier New" w:hAnsi="Courier New" w:eastAsia="Courier New"/>
          <w:sz w:val="19"/>
        </w:rPr>
        <w:t>reviews/artifact_checklist.txt</w:t>
      </w:r>
      <w:r>
        <w:rPr>
          <w:rFonts w:ascii="Times New Roman" w:hAnsi="Times New Roman" w:eastAsia="Times New Roman"/>
          <w:sz w:val="21"/>
        </w:rPr>
        <w:t>: disk-presence audit, not a quality score</w:t>
      </w:r>
    </w:p>
    <w:p>
      <w:pPr>
        <w:pStyle w:val="Heading1"/>
      </w:pPr>
      <w:r>
        <w:rPr>
          <w:rFonts w:ascii="Times New Roman" w:hAnsi="Times New Roman" w:eastAsia="Times New Roman"/>
          <w:sz w:val="28"/>
        </w:rPr>
        <w:t>Submission Blockers</w:t>
      </w:r>
    </w:p>
    <w:p>
      <w:r>
        <w:rPr>
          <w:rFonts w:ascii="Times New Roman" w:hAnsi="Times New Roman" w:eastAsia="Times New Roman"/>
          <w:sz w:val="21"/>
        </w:rPr>
        <w:t xml:space="preserve">Before external submission, supply final author names and affiliations, replace repository URL placeholders, run a clean repeated experiment with explicit seeds and isolated output directories, and pass </w:t>
      </w:r>
      <w:r>
        <w:rPr>
          <w:rFonts w:ascii="Courier New" w:hAnsi="Courier New" w:eastAsia="Courier New"/>
          <w:sz w:val="19"/>
        </w:rPr>
        <w:t>python scripts/preflight_submission.py</w:t>
      </w:r>
      <w:r>
        <w:rPr>
          <w:rFonts w:ascii="Times New Roman" w:hAnsi="Times New Roman" w:eastAsia="Times New Roman"/>
          <w:sz w:val="21"/>
        </w:rPr>
        <w:t xml:space="preserve"> from a clean Git worktree.</w:t>
      </w:r>
    </w:p>
    <w:p>
      <w:r>
        <w:rPr>
          <w:rFonts w:ascii="Times New Roman" w:hAnsi="Times New Roman" w:eastAsia="Times New Roman"/>
          <w:sz w:val="21"/>
        </w:rPr>
        <w:t xml:space="preserve">The predecessor five-paper bundle is retained in </w:t>
      </w:r>
      <w:r>
        <w:rPr>
          <w:rFonts w:ascii="Courier New" w:hAnsi="Courier New" w:eastAsia="Courier New"/>
          <w:sz w:val="19"/>
        </w:rPr>
        <w:t>_deprecated/</w:t>
      </w:r>
      <w:r>
        <w:rPr>
          <w:rFonts w:ascii="Times New Roman" w:hAnsi="Times New Roman" w:eastAsia="Times New Roman"/>
          <w:sz w:val="21"/>
        </w:rPr>
        <w:t xml:space="preserve"> for history only and is not the submission of record.</w:t>
      </w:r>
    </w:p>
    <w:sectPr w:rsidR="00FC693F" w:rsidRPr="0006063C" w:rsidSect="00034616">
      <w:footerReference w:type="default" r:id="rId9"/>
      <w:pgSz w:w="11906" w:h="16838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18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4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AGI Research Kit: Unified Preprint v2</dc:title>
  <dc:subject>Unified submission draft</dc:subject>
  <dc:creator>AGI Research Kit Contributors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