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—-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—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 numbers (Round 7 + Round 14 ablation):</w:t>
        <w:br/>
        <w:br/>
        <w:t>Layer ablation: all 5 configs score 77.8% on synthetic GAIA2 mini (eval saturates). On the harder 20-task arithmetic eval, bare scores 5.0% and full L1-L4 scores 100.0% - a +95 percentage point delta attributable to the layers (Section 4.1).</w:t>
        <w:br/>
        <w:t>Cross-model-family check: Llama-3.2-1B (a different model family, used as both primary and scorer) goes from 0.0% bare to 100.0% with L1-L4 - the +95 pp gain transfers across model families (Section 4.4).</w:t>
        <w:br/>
        <w:t>Swap-out experiment: format-explicit prompts do not close the bare-vs-L1-L4 gap on the harder multi-step template; the +95 pp gain is genuine layer contribution, not just format normalization (Appendix E).</w:t>
        <w:br/>
        <w:t>Continual-learning variance: 60.4% +/- 3.6% across 3 seeds x 15 episodes. We do NOT report a t-test against a hardcoded baseline because the 30% and 51% values in earlier drafts were not measured; the number is reported as a variance estimate only (Section 4.3).</w:t>
        <w:br/>
        <w:t>A/B safety gate: 12/12 adversarial boundary tests passed (Section 6.1).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—8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