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4"/>
        </w:rPr>
        <w:t>Cover Letter - TMLR Submission Draft</w:t>
      </w:r>
    </w:p>
    <w:p>
      <w:r>
        <w:rPr>
          <w:rFonts w:ascii="Times New Roman" w:hAnsi="Times New Roman" w:eastAsia="Times New Roman"/>
          <w:b/>
          <w:sz w:val="21"/>
        </w:rPr>
        <w:t>To:</w:t>
      </w:r>
      <w:r>
        <w:rPr>
          <w:rFonts w:ascii="Times New Roman" w:hAnsi="Times New Roman" w:eastAsia="Times New Roman"/>
          <w:sz w:val="21"/>
        </w:rPr>
        <w:t xml:space="preserve"> TMLR Action Editor </w:t>
      </w:r>
      <w:r>
        <w:rPr>
          <w:rFonts w:ascii="Times New Roman" w:hAnsi="Times New Roman" w:eastAsia="Times New Roman"/>
          <w:b/>
          <w:sz w:val="21"/>
        </w:rPr>
        <w:t>From:</w:t>
      </w:r>
      <w:r>
        <w:rPr>
          <w:rFonts w:ascii="Times New Roman" w:hAnsi="Times New Roman" w:eastAsia="Times New Roman"/>
          <w:sz w:val="21"/>
        </w:rPr>
        <w:t xml:space="preserve"> Zewen Liu (刘泽文) </w:t>
      </w:r>
      <w:r>
        <w:rPr>
          <w:rFonts w:ascii="Times New Roman" w:hAnsi="Times New Roman" w:eastAsia="Times New Roman"/>
          <w:b/>
          <w:sz w:val="21"/>
        </w:rPr>
        <w:t>Date:</w:t>
      </w:r>
      <w:r>
        <w:rPr>
          <w:rFonts w:ascii="Times New Roman" w:hAnsi="Times New Roman" w:eastAsia="Times New Roman"/>
          <w:sz w:val="21"/>
        </w:rPr>
        <w:t xml:space="preserve"> 2026-08-08 </w:t>
      </w:r>
      <w:r>
        <w:rPr>
          <w:rFonts w:ascii="Times New Roman" w:hAnsi="Times New Roman" w:eastAsia="Times New Roman"/>
          <w:b/>
          <w:sz w:val="21"/>
        </w:rPr>
        <w:t>ORCID:</w:t>
      </w:r>
      <w:r>
        <w:rPr>
          <w:rFonts w:ascii="Times New Roman" w:hAnsi="Times New Roman" w:eastAsia="Times New Roman"/>
          <w:sz w:val="21"/>
        </w:rPr>
        <w:t xml:space="preserve"> https://orcid.org/0009-0003-2981-9888 </w:t>
      </w:r>
      <w:r>
        <w:rPr>
          <w:rFonts w:ascii="Times New Roman" w:hAnsi="Times New Roman" w:eastAsia="Times New Roman"/>
          <w:b/>
          <w:sz w:val="21"/>
        </w:rPr>
        <w:t>Re:</w:t>
      </w:r>
      <w:r>
        <w:rPr>
          <w:rFonts w:ascii="Times New Roman" w:hAnsi="Times New Roman" w:eastAsia="Times New Roman"/>
          <w:sz w:val="21"/>
        </w:rPr>
        <w:t xml:space="preserve"> Single-paper submission</w:t>
      </w:r>
    </w:p>
    <w:p>
      <w:r>
        <w:rPr>
          <w:rFonts w:ascii="Times New Roman" w:hAnsi="Times New Roman" w:eastAsia="Times New Roman"/>
          <w:sz w:val="21"/>
        </w:rPr>
        <w:t>Dear Editor,</w:t>
      </w:r>
    </w:p>
    <w:p>
      <w:r>
        <w:rPr>
          <w:rFonts w:ascii="Times New Roman" w:hAnsi="Times New Roman" w:eastAsia="Times New Roman"/>
          <w:sz w:val="21"/>
        </w:rPr>
        <w:t xml:space="preserve">We submit the manuscript </w:t>
      </w:r>
      <w:r>
        <w:rPr>
          <w:rFonts w:ascii="Times New Roman" w:hAnsi="Times New Roman" w:eastAsia="Times New Roman"/>
          <w:i/>
          <w:sz w:val="21"/>
        </w:rPr>
        <w:t>"AGI Kit: An End-to-End Self-Improving Tool-Use Pipeline on Consumer Hardware - Empirical Observations"</w:t>
      </w:r>
      <w:r>
        <w:rPr>
          <w:rFonts w:ascii="Times New Roman" w:hAnsi="Times New Roman" w:eastAsia="Times New Roman"/>
          <w:sz w:val="21"/>
        </w:rPr>
        <w:t xml:space="preserve"> for consideration at TMLR. The public repository is https://github.com/aidless/AGI-KIT; an anonymized mirror can be prepared if the venue requires it.</w:t>
      </w:r>
    </w:p>
    <w:p>
      <w:r>
        <w:rPr>
          <w:rFonts w:ascii="Times New Roman" w:hAnsi="Times New Roman" w:eastAsia="Times New Roman"/>
          <w:sz w:val="21"/>
        </w:rPr>
        <w:t>The manuscript reports a four-layer tool-use pipeline comprising per-step reflection, semantic strategy memory, continual learning with an A/B safety gate, and bounded schema mutation. The system runs on CPU-only consumer hardware with a Qwen3-1.7B primary model and a Qwen3-0.6B scorer.</w:t>
      </w:r>
    </w:p>
    <w:p>
      <w:r>
        <w:rPr>
          <w:rFonts w:ascii="Times New Roman" w:hAnsi="Times New Roman" w:eastAsia="Times New Roman"/>
          <w:sz w:val="21"/>
        </w:rPr>
        <w:t>The paper's main contribution is a transparent empirical system report, including negative results and identified confounds:</w:t>
      </w:r>
    </w:p>
    <w:p>
      <w:pPr>
        <w:pStyle w:val="ListBullet"/>
      </w:pPr>
      <w:r>
        <w:rPr>
          <w:rFonts w:ascii="Times New Roman" w:hAnsi="Times New Roman" w:eastAsia="Times New Roman"/>
          <w:sz w:val="21"/>
        </w:rPr>
        <w:t>A five-configuration synthetic ablation is saturated at 77.8% JSON</w:t>
      </w:r>
    </w:p>
    <w:p>
      <w:r>
        <w:rPr>
          <w:rFonts w:ascii="Times New Roman" w:hAnsi="Times New Roman" w:eastAsia="Times New Roman"/>
          <w:sz w:val="21"/>
        </w:rPr>
        <w:t>final-emission for every configuration and does not identify a component effect.</w:t>
      </w:r>
    </w:p>
    <w:p>
      <w:pPr>
        <w:pStyle w:val="ListBullet"/>
      </w:pPr>
      <w:r>
        <w:rPr>
          <w:rFonts w:ascii="Times New Roman" w:hAnsi="Times New Roman" w:eastAsia="Times New Roman"/>
          <w:sz w:val="21"/>
        </w:rPr>
        <w:t>On a 20-task arithmetic evaluation, the bare model scores 5.0% at</w:t>
      </w:r>
    </w:p>
    <w:p>
      <w:r>
        <w:rPr>
          <w:rFonts w:ascii="Times New Roman" w:hAnsi="Times New Roman" w:eastAsia="Times New Roman"/>
          <w:sz w:val="21"/>
        </w:rPr>
        <w:t>three steps and 35.0% at six steps, while the full configuration records 100.0% structural completion but 95.0% correctness after an independent gold recheck. We report the 60-point matched-step gap as a configuration difference, not a pure layer effect, because prompt structure and control flow also differ.</w:t>
      </w:r>
    </w:p>
    <w:p>
      <w:pPr>
        <w:pStyle w:val="ListBullet"/>
      </w:pPr>
      <w:r>
        <w:rPr>
          <w:rFonts w:ascii="Times New Roman" w:hAnsi="Times New Roman" w:eastAsia="Times New Roman"/>
          <w:sz w:val="21"/>
        </w:rPr>
        <w:t>A new prompt-, tool-, budget-, and seed-matched 20-task check makes</w:t>
      </w:r>
    </w:p>
    <w:p>
      <w:r>
        <w:rPr>
          <w:rFonts w:ascii="Times New Roman" w:hAnsi="Times New Roman" w:eastAsia="Times New Roman"/>
          <w:sz w:val="21"/>
        </w:rPr>
        <w:t>an L1 tool-evidence correction executable: Static scores 19/20 and L1 scores 20/20. The single discordant pair has exact two-sided McNemar p=1.0, so we describe it as an auditable correction instance rather than a statistically supported general gain.</w:t>
      </w:r>
    </w:p>
    <w:p>
      <w:pPr>
        <w:pStyle w:val="ListBullet"/>
      </w:pPr>
      <w:r>
        <w:rPr>
          <w:rFonts w:ascii="Times New Roman" w:hAnsi="Times New Roman" w:eastAsia="Times New Roman"/>
          <w:sz w:val="21"/>
        </w:rPr>
        <w:t>Re-evaluation of 138 historical episodes separates structural final</w:t>
      </w:r>
    </w:p>
    <w:p>
      <w:r>
        <w:rPr>
          <w:rFonts w:ascii="Times New Roman" w:hAnsi="Times New Roman" w:eastAsia="Times New Roman"/>
          <w:sz w:val="21"/>
        </w:rPr>
        <w:t>emission from answer correctness; correctness is 77.6% on the 85-episode arithmetic subset.</w:t>
      </w:r>
    </w:p>
    <w:p>
      <w:pPr>
        <w:pStyle w:val="ListBullet"/>
      </w:pPr>
      <w:r>
        <w:rPr>
          <w:rFonts w:ascii="Times New Roman" w:hAnsi="Times New Roman" w:eastAsia="Times New Roman"/>
          <w:sz w:val="21"/>
        </w:rPr>
        <w:t>The A/B safety gate passes 12 deterministic boundary tests. The</w:t>
      </w:r>
    </w:p>
    <w:p>
      <w:r>
        <w:rPr>
          <w:rFonts w:ascii="Times New Roman" w:hAnsi="Times New Roman" w:eastAsia="Times New Roman"/>
          <w:sz w:val="21"/>
        </w:rPr>
        <w:t>production SchemaMutator rejects 18 invalid field/value changes and accepts 12 valid in-range controls in a direct policy test.</w:t>
      </w:r>
    </w:p>
    <w:p>
      <w:pPr>
        <w:pStyle w:val="ListBullet"/>
      </w:pPr>
      <w:r>
        <w:rPr>
          <w:rFonts w:ascii="Times New Roman" w:hAnsi="Times New Roman" w:eastAsia="Times New Roman"/>
          <w:sz w:val="21"/>
        </w:rPr>
        <w:t>Prompt-template comparisons include both negative and exploratory</w:t>
      </w:r>
    </w:p>
    <w:p>
      <w:r>
        <w:rPr>
          <w:rFonts w:ascii="Times New Roman" w:hAnsi="Times New Roman" w:eastAsia="Times New Roman"/>
          <w:sz w:val="21"/>
        </w:rPr>
        <w:t>positive results. They are not presented as architecture-level comparisons against full ReAct, Reflexion, Voyager, or MetaGPT implementations.</w:t>
      </w:r>
    </w:p>
    <w:p>
      <w:r>
        <w:rPr>
          <w:rFonts w:ascii="Times New Roman" w:hAnsi="Times New Roman" w:eastAsia="Times New Roman"/>
          <w:sz w:val="21"/>
        </w:rPr>
        <w:t>The 6-scenario prompt-template comparison in Section 7.5 is explicitly presented as exploratory and descriptive: it is not a statistically supported architecture comparison. The historical three-run summary in Section 4.3 is presented as descriptive only, and the manuscript makes no confidence-interval, power, or superiority claim from it.</w:t>
      </w:r>
    </w:p>
    <w:p>
      <w:r>
        <w:rPr>
          <w:rFonts w:ascii="Times New Roman" w:hAnsi="Times New Roman" w:eastAsia="Times New Roman"/>
          <w:sz w:val="21"/>
        </w:rPr>
        <w:t>We explicitly invalidate the inferential interpretation of an earlier three-run summary: the driver produced 16 rather than 15 episodes per run, did not control every stochastic seed, and later reused output directories. The revised manuscript reports those values descriptively and makes no confidence-interval, power, or superiority claim.</w:t>
      </w:r>
    </w:p>
    <w:p>
      <w:r>
        <w:rPr>
          <w:rFonts w:ascii="Times New Roman" w:hAnsi="Times New Roman" w:eastAsia="Times New Roman"/>
          <w:sz w:val="21"/>
        </w:rPr>
        <w:t>The repository contains source code, task data, experiment scripts, figures, and machine-readable result summaries. The manuscript also states the principal limitations: no canonical end-to-end GAIA2 harness, no architecture-level baseline comparison, incomplete seed control for the historical repeated runs, mock retraining in the headline continual-learning experiment, and no real-world deployment.</w:t>
      </w:r>
    </w:p>
    <w:p>
      <w:r>
        <w:rPr>
          <w:rFonts w:ascii="Times New Roman" w:hAnsi="Times New Roman" w:eastAsia="Times New Roman"/>
          <w:sz w:val="21"/>
        </w:rPr>
        <w:t>We have no conflicts of interest to declare.</w:t>
      </w:r>
    </w:p>
    <w:p>
      <w:r>
        <w:rPr>
          <w:rFonts w:ascii="Times New Roman" w:hAnsi="Times New Roman" w:eastAsia="Times New Roman"/>
          <w:sz w:val="21"/>
        </w:rPr>
        <w:t>Sincerely,</w:t>
      </w:r>
    </w:p>
    <w:p>
      <w:r>
        <w:rPr>
          <w:rFonts w:ascii="Times New Roman" w:hAnsi="Times New Roman" w:eastAsia="Times New Roman"/>
          <w:sz w:val="21"/>
        </w:rPr>
        <w:t>Zewen Liu</w:t>
      </w:r>
    </w:p>
    <w:sectPr w:rsidR="00FC693F" w:rsidRPr="0006063C" w:rsidSect="00034616">
      <w:footerReference w:type="default" r:id="rId9"/>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TMLR Submission Draft</dc:title>
  <dc:subject>Unified submission draft</dc:subject>
  <dc:creator>AGI Research Kit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