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on CPU-only consumer hardware (no GPU) on small open-weight models (Qwen3-1.7B primary, Qwen3-0.6B scorer); Section 2.3 reports the measured memory footprint.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exact 95% CI [0.1%, 24.9%]);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(20/20; [83.2%, 100%]),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a small multi-step arithmetic chain set, while AGI Kit L1-L4 scores ~77.6% on a different, larger historical arithmetic subset (the two samples are not directly comparable); prompt design is therefore a material confound. Round 23 (Section 7.6) extends this to the full 20-task set: a </w:t>
      </w:r>
      <w:r>
        <w:rPr>
          <w:rFonts w:ascii="Times New Roman" w:hAnsi="Times New Roman" w:eastAsia="Times New Roman"/>
          <w:b/>
          <w:sz w:val="21"/>
        </w:rPr>
        <w:t>Static one-shot</w:t>
      </w:r>
      <w:r>
        <w:rPr>
          <w:rFonts w:ascii="Times New Roman" w:hAnsi="Times New Roman" w:eastAsia="Times New Roman"/>
          <w:sz w:val="21"/>
        </w:rPr>
        <w:t xml:space="preserve"> baseline reaches </w:t>
      </w:r>
      <w:r>
        <w:rPr>
          <w:rFonts w:ascii="Times New Roman" w:hAnsi="Times New Roman" w:eastAsia="Times New Roman"/>
          <w:b/>
          <w:sz w:val="21"/>
        </w:rPr>
        <w:t>20/20 = 100%</w:t>
      </w:r>
      <w:r>
        <w:rPr>
          <w:rFonts w:ascii="Times New Roman" w:hAnsi="Times New Roman" w:eastAsia="Times New Roman"/>
          <w:sz w:val="21"/>
        </w:rPr>
        <w:t xml:space="preserve"> on the same tasks, while Voyager- and MetaGPT-style lite reproductions reach 17/20 and the full AGI Kit stack reaches 19/20.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full implementations of Voyager/MetaGPT. Round 23 (Section 7.6) adds head-to-head comparisons against 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identical hardware and tasks.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a target of 5 GB of RAM, no GPU, and an obligation to keep the system running for weeks without supervision. Section 2.3 reports that the current stack exceeds this target with both models resident; the 5 GB constraint remains a design goal, not a satisfied claim.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821"/>
        <w:gridCol w:w="2899"/>
      </w:tblGrid>
      <w:tr>
        <w:trPr>
          <w:tblHeader w:val="true"/>
        </w:trP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Component (representative 50-episode run, Windows 11, no GPU)</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Qwen3-1.7B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Qwen3-0.6B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 xml:space="preserve">Python </w:t>
            </w:r>
            <w:r>
              <w:rPr>
                <w:rFonts w:ascii="Courier New" w:hAnsi="Courier New" w:eastAsia="Courier New"/>
                <w:sz w:val="17"/>
              </w:rPr>
              <w:t>full_run3.py</w:t>
            </w:r>
            <w:r>
              <w:rPr>
                <w:rFonts w:ascii="Times New Roman" w:hAnsi="Times New Roman" w:eastAsia="Times New Roman"/>
                <w:sz w:val="17"/>
              </w:rPr>
              <w:t xml:space="preserve"> harness (peak of 5 samples)</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~3.3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 (estimate)</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Total, both models resident</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~5.8 GB</w:t>
            </w:r>
          </w:p>
        </w:tc>
      </w:tr>
    </w:tbl>
    <w:p>
      <w:pPr>
        <w:spacing w:after="40"/>
      </w:pPr>
    </w:p>
    <w:p>
      <w:r>
        <w:rPr>
          <w:rFonts w:ascii="Times New Roman" w:hAnsi="Times New Roman" w:eastAsia="Times New Roman"/>
          <w:sz w:val="21"/>
        </w:rPr>
        <w:t>These are per-process RSS figures; the Python number is the peak of five samples during a representative 50-episode run (Appendix A), and shared pages can be counted more than once across processes. Disk usage is ~3.2 GB of weights plus ~600 MB per continual generation. Measured on Windows 11 Pro, 64 GB physical RAM, no GPU.</w:t>
      </w:r>
    </w:p>
    <w:p>
      <w:r>
        <w:rPr>
          <w:rFonts w:ascii="Times New Roman" w:hAnsi="Times New Roman" w:eastAsia="Times New Roman"/>
          <w:b/>
          <w:sz w:val="21"/>
        </w:rPr>
        <w:t>The stack does not currently fit a 5 GB RAM budget.</w:t>
      </w:r>
      <w:r>
        <w:rPr>
          <w:rFonts w:ascii="Times New Roman" w:hAnsi="Times New Roman" w:eastAsia="Times New Roman"/>
          <w:sz w:val="21"/>
        </w:rPr>
        <w:t xml:space="preserve"> With both models resident the measured total is ~5.4 GB (3.3 GB harness + 2.1 GB Ollama), plus an estimated ~0.4 GB of buffers and OS overhead; with only the primary model resident it is ~5.3 GB. The earlier draft's "~2x headroom" claim double-counted the harness and is withdrawn. Meeting a strict 5 GB target requires unloading the scorer when idle, trimming harness residency (e.g., embedding/FAISS preloads), or raising the target to ~6 GB.</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with the pooled-variance formula (alpha=0.05, 80% power) and are labeled as design guidance, not observed evidence.</w:t>
      </w:r>
    </w:p>
    <w:p>
      <w:r>
        <w:rPr>
          <w:rFonts w:ascii="Times New Roman" w:hAnsi="Times New Roman" w:eastAsia="Times New Roman"/>
          <w:b/>
          <w:sz w:val="21"/>
        </w:rPr>
        <w:t>Interpreting p-values under deterministic protocols.</w:t>
      </w:r>
      <w:r>
        <w:rPr>
          <w:rFonts w:ascii="Times New Roman" w:hAnsi="Times New Roman" w:eastAsia="Times New Roman"/>
          <w:sz w:val="21"/>
        </w:rPr>
        <w:t xml:space="preserve"> Every McNemar/binomial p-value in this paper is an exact probability under an assumed Bernoulli sampling model (each trial independent and identically distributed). The runs themselves are deterministic (temperature 0, fixed seed), so these p-values quantify the probability under that hypothetical sampling process. They are evidence of reproducibility and exhaustive comparison, not of random variation in the actual system.</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saturation reading is quantitative, not impressionistic. With 9 tasks and 7 successes, the observed rate is 77.8% with an exact 95% confidence interval of [40.0%, 97.2%] (Clopper-Pearson); the interval spans more than half of the probability range. A two-proportion design using the pooled-variance normal approximation (two-sided alpha=0.05, 80% power; n/arm = ((z_(1-alpha/2) + z_0.80)^2 </w:t>
      </w:r>
      <w:r>
        <w:rPr>
          <w:rFonts w:ascii="Times New Roman" w:hAnsi="Times New Roman" w:eastAsia="Times New Roman"/>
          <w:i/>
          <w:sz w:val="21"/>
        </w:rPr>
        <w:t xml:space="preserve"> 2</w:t>
      </w:r>
      <w:r>
        <w:rPr>
          <w:rFonts w:ascii="Times New Roman" w:hAnsi="Times New Roman" w:eastAsia="Times New Roman"/>
          <w:sz w:val="21"/>
        </w:rPr>
        <w:t>p_bar</w:t>
      </w:r>
      <w:r>
        <w:rPr>
          <w:rFonts w:ascii="Times New Roman" w:hAnsi="Times New Roman" w:eastAsia="Times New Roman"/>
          <w:i/>
          <w:sz w:val="21"/>
        </w:rPr>
        <w:t xml:space="preserve">(1-p_bar)) / (p1-p2)^2, with p_bar = (p1+p2)/2) requires roughly </w:t>
      </w:r>
      <w:r>
        <w:rPr>
          <w:rFonts w:ascii="Times New Roman" w:hAnsi="Times New Roman" w:eastAsia="Times New Roman"/>
          <w:i/>
          <w:sz w:val="21"/>
        </w:rPr>
        <w:t>224 tasks per configuration</w:t>
      </w:r>
      <w:r>
        <w:rPr>
          <w:rFonts w:ascii="Times New Roman" w:hAnsi="Times New Roman" w:eastAsia="Times New Roman"/>
          <w:i/>
          <w:sz w:val="21"/>
        </w:rPr>
        <w:t xml:space="preserve"> to detect a 10 percentage-point difference from 77.8%, and roughly </w:t>
      </w:r>
      <w:r>
        <w:rPr>
          <w:rFonts w:ascii="Times New Roman" w:hAnsi="Times New Roman" w:eastAsia="Times New Roman"/>
          <w:i/>
          <w:sz w:val="21"/>
        </w:rPr>
        <w:t>42 per configuration</w:t>
      </w:r>
      <w:r>
        <w:rPr>
          <w:rFonts w:ascii="Times New Roman" w:hAnsi="Times New Roman" w:eastAsia="Times New Roman"/>
          <w:sz w:val="21"/>
        </w:rPr>
        <w:t>* for a 20-point difference. An earlier draft quoted 415/113 without a reproducible formula; those figures are withdrawn.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-5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The bare 1/20 rate has exact 95% CI [0.1%, 24.9%], and the structural 20/20 completion rate has [83.2%, 100%].</w:t>
      </w: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xml:space="preserve"> (under the Bernoulli sampling model described in Section 3.3).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 xml:space="preserve">. The full wrapper was not run on qwen2.5:3b or qwen3:0.6b: the wrapper evaluations anchor on qwen3:1.7b (primary) and llama3.2:1b (cross-family check); running the remaining two models would not change the claims here and was deferred. Their </w:t>
      </w:r>
      <w:r>
        <w:rPr>
          <w:rFonts w:ascii="Courier New" w:hAnsi="Courier New" w:eastAsia="Courier New"/>
          <w:sz w:val="19"/>
        </w:rPr>
        <w:t>n/a</w:t>
      </w:r>
      <w:r>
        <w:rPr>
          <w:rFonts w:ascii="Times New Roman" w:hAnsi="Times New Roman" w:eastAsia="Times New Roman"/>
          <w:sz w:val="21"/>
        </w:rPr>
        <w:t xml:space="preserve"> entries mean "full wrapper not executed", not a zero or failed result.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Qwen3-1.7B at three steps is near chance on the hard eval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1/20 = 5.0% [0.1, 24.9]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Well-prompted Static/Reflexion match or beat layered architectures on 20-task arithmetic</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7.6, 20 tasks, same model/tool/budget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lite reproductions, one task set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20/20 [83.2, 100.0]; Reflexion 20/20 [83.2, 100.0]; Voyager/MetaGPT 17/20 [62.1, 96.8]; full AGI Kit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A 60-trial threshold sweep across five deployment profiles (</w:t>
      </w:r>
      <w:r>
        <w:rPr>
          <w:rFonts w:ascii="Courier New" w:hAnsi="Courier New" w:eastAsia="Courier New"/>
          <w:sz w:val="19"/>
        </w:rPr>
        <w:t>logs/calibration/</w:t>
      </w:r>
      <w:r>
        <w:rPr>
          <w:rFonts w:ascii="Times New Roman" w:hAnsi="Times New Roman" w:eastAsia="Times New Roman"/>
          <w:sz w:val="21"/>
        </w:rPr>
        <w:t>) shows acceptance rising monotonically as the threshold falls (41.7% at 0.99, 50.0% at 0.95, 58.3% at 0.85, 83.3% at 0.5); at threshold 0.5 the only two rejections had new_acc 0.1 and 0.3, both below baseline. An earlier draft's claim that two outperforming candidates were rejected at threshold 0.5 is inaccurate and is withdrawn; we kept the conservative 0.85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2"/>
      </w:pPr>
      <w:r>
        <w:rPr>
          <w:rFonts w:ascii="Times New Roman" w:hAnsi="Times New Roman" w:eastAsia="Times New Roman"/>
          <w:sz w:val="24"/>
        </w:rPr>
        <w:t>7.6 Architecture-Level Baselines (Round 23)</w:t>
      </w:r>
    </w:p>
    <w:p>
      <w:r>
        <w:rPr>
          <w:rFonts w:ascii="Times New Roman" w:hAnsi="Times New Roman" w:eastAsia="Times New Roman"/>
          <w:sz w:val="21"/>
        </w:rPr>
        <w:t>Round 23 runs lightweight but faithful reproductions of three architecture patterns — Reflexion-style verbal reflection, Voyager-style skill library, and MetaGPT-style PM/Engineer/Reviewer roles — head-to-head on the identical 20-task hard arithmetic eval, with the same Ollama model (qwen3:1.7b), the same calculator tool, and the same 6-step budget (</w:t>
      </w:r>
      <w:r>
        <w:rPr>
          <w:rFonts w:ascii="Courier New" w:hAnsi="Courier New" w:eastAsia="Courier New"/>
          <w:sz w:val="19"/>
        </w:rPr>
        <w:t>experiments/baselines_architectural.py</w:t>
      </w:r>
      <w:r>
        <w:rPr>
          <w:rFonts w:ascii="Times New Roman" w:hAnsi="Times New Roman" w:eastAsia="Times New Roman"/>
          <w:sz w:val="21"/>
        </w:rPr>
        <w:t>). All configurations use temperature 0 with a fixed seed and an identical empty-response retry policy (up to 3 identical retries).</w:t>
      </w:r>
    </w:p>
    <w:tbl>
      <w:tblPr>
        <w:tblStyle w:val="TableGrid"/>
        <w:tblW w:type="dxa" w:w="9720"/>
        <w:jc w:val="left"/>
        <w:tblLayout w:type="fixed"/>
        <w:tblLook w:firstColumn="1" w:firstRow="1" w:lastColumn="0" w:lastRow="0" w:noHBand="0" w:noVBand="1" w:val="04A0"/>
      </w:tblPr>
      <w:tblGrid>
        <w:gridCol w:w="3657"/>
        <w:gridCol w:w="900"/>
        <w:gridCol w:w="900"/>
        <w:gridCol w:w="900"/>
        <w:gridCol w:w="3363"/>
      </w:tblGrid>
      <w:tr>
        <w:trPr>
          <w:tblHeader w:val="true"/>
        </w:trPr>
        <w:tc>
          <w:tcPr>
            <w:tcW w:type="dxa" w:w="365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Correct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Accuracy</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Wall (s)</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b/>
                <w:sz w:val="17"/>
              </w:rPr>
              <w:t>Failure modes</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184</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Reflexion-lite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171</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Voyager-lite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422</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3 empty first completions after skill injection</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MetaGPT-lite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470</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99</w:t>
            </w:r>
            <w:r>
              <w:rPr>
                <w:rFonts w:ascii="Times New Roman" w:hAnsi="Times New Roman" w:eastAsia="Times New Roman"/>
                <w:i/>
                <w:sz w:val="17"/>
              </w:rPr>
              <w:t>99 -&gt; 98.01; 11</w:t>
            </w:r>
            <w:r>
              <w:rPr>
                <w:rFonts w:ascii="Times New Roman" w:hAnsi="Times New Roman" w:eastAsia="Times New Roman"/>
                <w:sz w:val="17"/>
              </w:rPr>
              <w:t>11 -&gt; 12.1; 7*6 -&gt; 6</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AGI Kit L1-L4 (Section 4.1)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19/20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~938</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100 % 7 -&gt; 5</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Bare qwen3:1.7b, no tool (max_steps=3)</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 tool access</w:t>
            </w:r>
          </w:p>
        </w:tc>
      </w:tr>
    </w:tbl>
    <w:p>
      <w:pPr>
        <w:spacing w:after="40"/>
      </w:pPr>
    </w:p>
    <w:p>
      <w:r>
        <w:rPr>
          <w:rFonts w:ascii="Times New Roman" w:hAnsi="Times New Roman" w:eastAsia="Times New Roman"/>
          <w:sz w:val="21"/>
        </w:rPr>
        <w:t xml:space="preserve">Honest reading: on these 20 arithmetic tasks a well-prompted Static one-shot agent with the calculator tool reaches the ceiling, the full AGI Kit stack reaches 95.0% (one arithmetic slip), Reflexion-lite matches Static, and both Voyager-lite and MetaGPT-lite </w:t>
      </w:r>
      <w:r>
        <w:rPr>
          <w:rFonts w:ascii="Times New Roman" w:hAnsi="Times New Roman" w:eastAsia="Times New Roman"/>
          <w:i/>
          <w:sz w:val="21"/>
        </w:rPr>
        <w:t>lose</w:t>
      </w:r>
      <w:r>
        <w:rPr>
          <w:rFonts w:ascii="Times New Roman" w:hAnsi="Times New Roman" w:eastAsia="Times New Roman"/>
          <w:sz w:val="21"/>
        </w:rPr>
        <w:t xml:space="preserve"> 15 points. The three Voyager failures are not strategy errors: after the skill library injects two retrieved skills into the system prompt, qwen3:1.7b returns empty completions on the same 3 tasks in two independent runs (3 identical retries each), while the same tasks pass under Static and Reflexion — a reliability cost of context injection on this small model. The MetaGPT failures are genuine execution errors (decimal misplacement on 99</w:t>
      </w:r>
      <w:r>
        <w:rPr>
          <w:rFonts w:ascii="Times New Roman" w:hAnsi="Times New Roman" w:eastAsia="Times New Roman"/>
          <w:i/>
          <w:sz w:val="21"/>
        </w:rPr>
        <w:t>99 and 11</w:t>
      </w:r>
      <w:r>
        <w:rPr>
          <w:rFonts w:ascii="Times New Roman" w:hAnsi="Times New Roman" w:eastAsia="Times New Roman"/>
          <w:sz w:val="21"/>
        </w:rPr>
        <w:t>11, and a wrong final of 6 for 7*6 after a reviewer feedback cycle). Architecture overhead therefore buys no accuracy on this task set and can reduce reliability; prompt design remains the dominant factor (Section 7.3).</w:t>
      </w:r>
    </w:p>
    <w:p>
      <w:r>
        <w:rPr>
          <w:rFonts w:ascii="Times New Roman" w:hAnsi="Times New Roman" w:eastAsia="Times New Roman"/>
          <w:sz w:val="21"/>
        </w:rPr>
        <w:t xml:space="preserve">Caveats: these are </w:t>
      </w:r>
      <w:r>
        <w:rPr>
          <w:rFonts w:ascii="Times New Roman" w:hAnsi="Times New Roman" w:eastAsia="Times New Roman"/>
          <w:i/>
          <w:sz w:val="21"/>
        </w:rPr>
        <w:t>lite</w:t>
      </w:r>
      <w:r>
        <w:rPr>
          <w:rFonts w:ascii="Times New Roman" w:hAnsi="Times New Roman" w:eastAsia="Times New Roman"/>
          <w:sz w:val="21"/>
        </w:rPr>
        <w:t xml:space="preserve"> reproductions, not the original systems. Voyager-lite used TF-IDF skill retrieval (the frozen environment's embedding stack is broken); MetaGPT-lite uses one PM and one Reviewer cycle instead of the full multi-agent protocol; Reflexion-lite uses one reflection sentence per attempt. The 20-task set is simple arithmetic; task sets requiring memory or open-ended skill composition could favor Voyager-style libraries. Exact 95% Clopper-Pearson intervals: Static and Reflexion 20/20 [83.2, 100.0]; Voyager and MetaGPT 17/20 [62.1, 96.8]; full AGI Kit 19/20 [75.1, 99.9].</w:t>
      </w:r>
    </w:p>
    <w:p>
      <w:pPr>
        <w:pStyle w:val="Heading1"/>
      </w:pPr>
      <w:r>
        <w:rPr>
          <w:rFonts w:ascii="Times New Roman" w:hAnsi="Times New Roman" w:eastAsia="Times New Roman"/>
          <w:sz w:val="28"/>
        </w:rPr>
        <w:t>7.7 Controlled Self-Evolving Loop Experiment (10 Rounds, Guarded Skill Transfer)</w:t>
      </w:r>
    </w:p>
    <w:p>
      <w:r>
        <w:rPr>
          <w:rFonts w:ascii="Times New Roman" w:hAnsi="Times New Roman" w:eastAsia="Times New Roman"/>
          <w:sz w:val="21"/>
        </w:rPr>
        <w:t xml:space="preserve">To test whether a </w:t>
      </w:r>
      <w:r>
        <w:rPr>
          <w:rFonts w:ascii="Times New Roman" w:hAnsi="Times New Roman" w:eastAsia="Times New Roman"/>
          <w:i/>
          <w:sz w:val="21"/>
        </w:rPr>
        <w:t>self-improving</w:t>
      </w:r>
      <w:r>
        <w:rPr>
          <w:rFonts w:ascii="Times New Roman" w:hAnsi="Times New Roman" w:eastAsia="Times New Roman"/>
          <w:sz w:val="21"/>
        </w:rPr>
        <w:t xml:space="preserve"> loop can accumulate transferable skills with a trustworthy safety envelope, we ran ten formal rounds of a minimal observe -&gt; diagnose -&gt; propose -&gt; evaluate -&gt; promote/reject repair agent (</w:t>
      </w:r>
      <w:r>
        <w:rPr>
          <w:rFonts w:ascii="Courier New" w:hAnsi="Courier New" w:eastAsia="Courier New"/>
          <w:sz w:val="19"/>
        </w:rPr>
        <w:t>outputs/selfevolve/d5_frozen_taskflow_2026-08-08/</w:t>
      </w:r>
      <w:r>
        <w:rPr>
          <w:rFonts w:ascii="Times New Roman" w:hAnsi="Times New Roman" w:eastAsia="Times New Roman"/>
          <w:sz w:val="21"/>
        </w:rPr>
        <w:t>). The setup: a 2.6B local model (lfm2.5-2.6b via llama.cpp), a frozen hash-chained governance plane, three arms per round (base / token-matched neutral placebo / curated skills), majority voting (k=3) with raw runs preserved, a dual-oracle promotion gate (target behavior + no regression), and eleven pre-registered protocol amendments (A-K). Task banks grew from 64 to 84 tasks across four rule families; validation tasks were never exposed to skill acquisition; fixed rechecks (tool_03/tool_h3/tool_04) ran after every round.</w:t>
      </w:r>
    </w:p>
    <w:p>
      <w:r>
        <w:rPr>
          <w:rFonts w:ascii="Times New Roman" w:hAnsi="Times New Roman" w:eastAsia="Times New Roman"/>
          <w:sz w:val="21"/>
        </w:rPr>
        <w:t>Main empirical findings:</w:t>
      </w:r>
    </w:p>
    <w:p>
      <w:pPr>
        <w:pStyle w:val="ListNumber"/>
      </w:pPr>
      <w:r>
        <w:rPr>
          <w:rFonts w:ascii="Times New Roman" w:hAnsi="Times New Roman" w:eastAsia="Times New Roman"/>
          <w:b/>
          <w:sz w:val="21"/>
        </w:rPr>
        <w:t>Determinism is a loop property, not a sampler property.</w:t>
      </w:r>
      <w:r>
        <w:rPr>
          <w:rFonts w:ascii="Times New Roman" w:hAnsi="Times New Roman" w:eastAsia="Times New Roman"/>
          <w:sz w:val="21"/>
        </w:rPr>
        <w:t xml:space="preserve"> At temperature 0 /</w:t>
      </w:r>
    </w:p>
    <w:p>
      <w:r>
        <w:rPr>
          <w:rFonts w:ascii="Times New Roman" w:hAnsi="Times New Roman" w:eastAsia="Times New Roman"/>
          <w:sz w:val="21"/>
        </w:rPr>
        <w:t>seed 42, single completions were deterministic but agentic loops were bimodal because llama.cpp emits random tool-call ids into context. Fixing the sampler (</w:t>
      </w:r>
      <w:r>
        <w:rPr>
          <w:rFonts w:ascii="Courier New" w:hAnsi="Courier New" w:eastAsia="Courier New"/>
          <w:sz w:val="19"/>
        </w:rPr>
        <w:t>--top-k 1</w:t>
      </w:r>
      <w:r>
        <w:rPr>
          <w:rFonts w:ascii="Times New Roman" w:hAnsi="Times New Roman" w:eastAsia="Times New Roman"/>
          <w:sz w:val="21"/>
        </w:rPr>
        <w:t>) and normalizing ids converged loops (tool_04: 2/4 -&gt; 4/4, 3/3). Single-run arm comparisons are noise-dominated without this.</w:t>
      </w:r>
    </w:p>
    <w:p>
      <w:pPr>
        <w:pStyle w:val="ListNumber"/>
      </w:pPr>
      <w:r>
        <w:rPr>
          <w:rFonts w:ascii="Times New Roman" w:hAnsi="Times New Roman" w:eastAsia="Times New Roman"/>
          <w:b/>
          <w:sz w:val="21"/>
        </w:rPr>
        <w:t>Retrieval specificity was the bottleneck.</w:t>
      </w:r>
      <w:r>
        <w:rPr>
          <w:rFonts w:ascii="Times New Roman" w:hAnsi="Times New Roman" w:eastAsia="Times New Roman"/>
          <w:sz w:val="21"/>
        </w:rPr>
        <w:t xml:space="preserve"> Literal keyword matching injected</w:t>
      </w:r>
    </w:p>
    <w:p>
      <w:r>
        <w:rPr>
          <w:rFonts w:ascii="Times New Roman" w:hAnsi="Times New Roman" w:eastAsia="Times New Roman"/>
          <w:sz w:val="21"/>
        </w:rPr>
        <w:t>skills into 1/36 tasks; a tiered policy (category fallback) reached 27/36; normalizing diagnose categories to the evidence-task family finally enabled tool_error-family coverage. Without injection, the skills arm equals base.</w:t>
      </w:r>
    </w:p>
    <w:p>
      <w:pPr>
        <w:pStyle w:val="ListNumber"/>
      </w:pPr>
      <w:r>
        <w:rPr>
          <w:rFonts w:ascii="Times New Roman" w:hAnsi="Times New Roman" w:eastAsia="Times New Roman"/>
          <w:b/>
          <w:sz w:val="21"/>
        </w:rPr>
        <w:t>Neutral injection is not inert.</w:t>
      </w:r>
      <w:r>
        <w:rPr>
          <w:rFonts w:ascii="Times New Roman" w:hAnsi="Times New Roman" w:eastAsia="Times New Roman"/>
          <w:sz w:val="21"/>
        </w:rPr>
        <w:t xml:space="preserve"> An instruction-flavored placebo block</w:t>
      </w:r>
    </w:p>
    <w:p>
      <w:r>
        <w:rPr>
          <w:rFonts w:ascii="Times New Roman" w:hAnsi="Times New Roman" w:eastAsia="Times New Roman"/>
          <w:sz w:val="21"/>
        </w:rPr>
        <w:t>dropped tool_h6 to 0/6 (base 6/6); a descriptive neutral corpus calibrated to 3/3. Separately, neutral text alone solved state_h7 (placebo 3/3 in two rounds) while skill content did not reliably - injection-mechanism effects must be separated from skill-content effects.</w:t>
      </w:r>
    </w:p>
    <w:p>
      <w:pPr>
        <w:pStyle w:val="ListNumber"/>
      </w:pPr>
      <w:r>
        <w:rPr>
          <w:rFonts w:ascii="Times New Roman" w:hAnsi="Times New Roman" w:eastAsia="Times New Roman"/>
          <w:b/>
          <w:sz w:val="21"/>
        </w:rPr>
        <w:t>Skill content transfers both ways, unstably.</w:t>
      </w:r>
      <w:r>
        <w:rPr>
          <w:rFonts w:ascii="Times New Roman" w:hAnsi="Times New Roman" w:eastAsia="Times New Roman"/>
          <w:sz w:val="21"/>
        </w:rPr>
        <w:t xml:space="preserve"> With placebo controls,</w:t>
      </w:r>
    </w:p>
    <w:p>
      <w:r>
        <w:rPr>
          <w:rFonts w:ascii="Times New Roman" w:hAnsi="Times New Roman" w:eastAsia="Times New Roman"/>
          <w:sz w:val="21"/>
        </w:rPr>
        <w:t>tool_03/tool_h3 showed reproducible skill-specific gains (3/3 vs placebo 0/3 for 4-5 consecutive rechecks), while tool_04/state_h3/state_01 showed direction-specific harm from over-applied "graceful degradation / early-termination / domain-mismatched" skills. Three harm mechanisms were categorized and partially intercepted by curator guards and a conflict scanner (31, 23, and 14 flagged candidate-task pairs in rounds 8-10).</w:t>
      </w:r>
    </w:p>
    <w:p>
      <w:pPr>
        <w:pStyle w:val="ListNumber"/>
      </w:pPr>
      <w:r>
        <w:rPr>
          <w:rFonts w:ascii="Times New Roman" w:hAnsi="Times New Roman" w:eastAsia="Times New Roman"/>
          <w:b/>
          <w:sz w:val="21"/>
        </w:rPr>
        <w:t>The gate worked.</w:t>
      </w:r>
      <w:r>
        <w:rPr>
          <w:rFonts w:ascii="Times New Roman" w:hAnsi="Times New Roman" w:eastAsia="Times New Roman"/>
          <w:sz w:val="21"/>
        </w:rPr>
        <w:t xml:space="preserve"> Eight REJECTs were conservative-correct (rounds 1-2 were</w:t>
      </w:r>
    </w:p>
    <w:p>
      <w:r>
        <w:rPr>
          <w:rFonts w:ascii="Times New Roman" w:hAnsi="Times New Roman" w:eastAsia="Times New Roman"/>
          <w:sz w:val="21"/>
        </w:rPr>
        <w:t xml:space="preserve">pre-injection noise artifacts; the remaining six REJECTs each vetoed genuine same-family regressions), and two PROMOTEs were safety-pass events (validation delta = 0.0, zero regressions). No round produced delta &gt; 0 on validation outcomes; the single positive delta (+0.25, state_h7) was vetoed by a same-family regression. There is therefore </w:t>
      </w:r>
      <w:r>
        <w:rPr>
          <w:rFonts w:ascii="Times New Roman" w:hAnsi="Times New Roman" w:eastAsia="Times New Roman"/>
          <w:b/>
          <w:sz w:val="21"/>
        </w:rPr>
        <w:t>no evidence of net positive skill-driven improvement yet</w:t>
      </w:r>
      <w:r>
        <w:rPr>
          <w:rFonts w:ascii="Times New Roman" w:hAnsi="Times New Roman" w:eastAsia="Times New Roman"/>
          <w:sz w:val="21"/>
        </w:rPr>
        <w:t>; the confirmatory phase requires three consecutive stable rechecks under delta_min = 0.1 (current streak 1/3 after round 10).</w:t>
      </w:r>
    </w:p>
    <w:p>
      <w:r>
        <w:rPr>
          <w:rFonts w:ascii="Times New Roman" w:hAnsi="Times New Roman" w:eastAsia="Times New Roman"/>
          <w:sz w:val="21"/>
        </w:rPr>
        <w:t>Round 10 (a fourth validation batch, h9) reproduced the tool-family bidirectional pattern (tool_h9/tool_01 harmed, five tool tasks gained) and the recheck stabilized again (tool_03 restored to 3/3), advancing the confirmatory streak to 1/3; the ten-round validation budget is now exhausted, so the confirmatory phase will use a freshly rebuilt set (h10, task_bank v7).</w:t>
      </w:r>
    </w:p>
    <w:p>
      <w:r>
        <w:rPr>
          <w:rFonts w:ascii="Times New Roman" w:hAnsi="Times New Roman" w:eastAsia="Times New Roman"/>
          <w:sz w:val="21"/>
        </w:rPr>
        <w:t>Injection also carries a budget cost: skills and placebo arms consumed more tokens than base in 6 of 7 rounds (max +4079, R8), and the only positive validation delta was effort-bought, not efficiency-bought (Section 4.8 of the full report).</w:t>
      </w:r>
    </w:p>
    <w:p>
      <w:r>
        <w:rPr>
          <w:rFonts w:ascii="Times New Roman" w:hAnsi="Times New Roman" w:eastAsia="Times New Roman"/>
          <w:sz w:val="21"/>
        </w:rPr>
        <w:t xml:space="preserve">Full methods, per-round tables, recheck histories, and artifact inventory: </w:t>
      </w:r>
      <w:r>
        <w:rPr>
          <w:rFonts w:ascii="Courier New" w:hAnsi="Courier New" w:eastAsia="Courier New"/>
          <w:sz w:val="19"/>
        </w:rPr>
        <w:t>outputs/selfevolve/d5_frozen_taskflow_2026-08-08/SELFEVOLVE_COMPREHENSIVE_REPORT_20260810.md</w:t>
      </w:r>
      <w:r>
        <w:rPr>
          <w:rFonts w:ascii="Times New Roman" w:hAnsi="Times New Roman" w:eastAsia="Times New Roman"/>
          <w:sz w:val="21"/>
        </w:rPr>
        <w:t>.</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Round 23 (Section 7.6) shows that a well-prompted Static one-shot baseline reaches 20/20 on the same tasks, so the +90 pp difference is not attributable to the layered architecture.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interpretation under the Bernoulli sampling model, see Section 3.3).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xml:space="preserve">. We therefore do not count Round 20 as a deployed L3 self-improvement update. </w:t>
      </w:r>
      <w:r>
        <w:rPr>
          <w:rFonts w:ascii="Times New Roman" w:hAnsi="Times New Roman" w:eastAsia="Times New Roman"/>
          <w:b/>
          <w:sz w:val="21"/>
        </w:rPr>
        <w:t>Round 22 deployed Qwen3-0.6B candidate check (negative).</w:t>
      </w:r>
      <w:r>
        <w:rPr>
          <w:rFonts w:ascii="Times New Roman" w:hAnsi="Times New Roman" w:eastAsia="Times New Roman"/>
          <w:sz w:val="21"/>
        </w:rPr>
        <w:t xml:space="preserve"> We trained a LoRA adapter on Qwen3-0.6B (120 traces, 3 epochs, final loss $4.4\times10^{-6}$), merged it, converted the merged weights to GGUF, and deployed it as an Ollama model (</w:t>
      </w:r>
      <w:r>
        <w:rPr>
          <w:rFonts w:ascii="Courier New" w:hAnsi="Courier New" w:eastAsia="Courier New"/>
          <w:sz w:val="19"/>
        </w:rPr>
        <w:t>agi-sft-qwen3-0.6b:round22</w:t>
      </w:r>
      <w:r>
        <w:rPr>
          <w:rFonts w:ascii="Times New Roman" w:hAnsi="Times New Roman" w:eastAsia="Times New Roman"/>
          <w:sz w:val="21"/>
        </w:rPr>
        <w:t xml:space="preserve">). This is the first candidate that is executable through the actual deployment backend. On the same frozen 80-task protocol test, both the candidate and the untouched base obtained </w:t>
      </w:r>
      <w:r>
        <w:rPr>
          <w:rFonts w:ascii="Times New Roman" w:hAnsi="Times New Roman" w:eastAsia="Times New Roman"/>
          <w:b/>
          <w:sz w:val="21"/>
        </w:rPr>
        <w:t>0/80</w:t>
      </w:r>
      <w:r>
        <w:rPr>
          <w:rFonts w:ascii="Times New Roman" w:hAnsi="Times New Roman" w:eastAsia="Times New Roman"/>
          <w:sz w:val="21"/>
        </w:rPr>
        <w:t xml:space="preserve"> (no discordant pairs), so the A/B gate rejected the swap (threshold 0.85, </w:t>
      </w:r>
      <w:r>
        <w:rPr>
          <w:rFonts w:ascii="Courier New" w:hAnsi="Courier New" w:eastAsia="Courier New"/>
          <w:sz w:val="19"/>
        </w:rPr>
        <w:t>accepted: false</w:t>
      </w:r>
      <w:r>
        <w:rPr>
          <w:rFonts w:ascii="Times New Roman" w:hAnsi="Times New Roman" w:eastAsia="Times New Roman"/>
          <w:sz w:val="21"/>
        </w:rPr>
        <w:t xml:space="preserve">). The near-zero training loss indicates memorization of the 120 training traces rather than protocol generalization. The candidate is deployable but not an accuracy-improving update; the full record is </w:t>
      </w:r>
      <w:r>
        <w:rPr>
          <w:rFonts w:ascii="Courier New" w:hAnsi="Courier New" w:eastAsia="Courier New"/>
          <w:sz w:val="19"/>
        </w:rPr>
        <w:t>logs/sft_round22/swap_audit.json</w:t>
      </w:r>
      <w:r>
        <w:rPr>
          <w:rFonts w:ascii="Times New Roman" w:hAnsi="Times New Roman" w:eastAsia="Times New Roman"/>
          <w:sz w:val="21"/>
        </w:rPr>
        <w:t>.</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full competing implementations.</w:t>
      </w:r>
      <w:r>
        <w:rPr>
          <w:rFonts w:ascii="Times New Roman" w:hAnsi="Times New Roman" w:eastAsia="Times New Roman"/>
          <w:sz w:val="21"/>
        </w:rPr>
        <w:t xml:space="preserve"> Round 23 (Section 7.6) runs</w:t>
      </w:r>
    </w:p>
    <w:p>
      <w:r>
        <w:rPr>
          <w:rFonts w:ascii="Times New Roman" w:hAnsi="Times New Roman" w:eastAsia="Times New Roman"/>
          <w:sz w:val="21"/>
        </w:rPr>
        <w:t xml:space="preserve">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the 20-task arithmetic set with the same model, tool, and step budget; the original systems' full implementations (multi-agent protocols, environment interaction, learned skill libraries on stronger models) were not run. Sections 7.2-7.5 remain prompt-template comparisons.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Round 22) satisfies the five-criterion acceptance protocol in Section 5.3; Round 22 is the first that is deployable via Ollama, but it scored 0/80 on the frozen protocol test and was rejected.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22 added a native tool-calling adapter for the official ARE harness (</w:t>
      </w:r>
      <w:r>
        <w:rPr>
          <w:rFonts w:ascii="Courier New" w:hAnsi="Courier New" w:eastAsia="Courier New"/>
          <w:sz w:val="19"/>
        </w:rPr>
        <w:t>scripts/run_gaia2_canonical.py</w:t>
      </w:r>
      <w:r>
        <w:rPr>
          <w:rFonts w:ascii="Times New Roman" w:hAnsi="Times New Roman" w:eastAsia="Times New Roman"/>
          <w:sz w:val="21"/>
        </w:rPr>
        <w:t xml:space="preserve">) that keeps the official environment, scenario, and validator while replacing the ReAct text loop with OpenAI-style function calling. The adapter introduces an anti-spin guard, compacted tool observations, and a higher iteration budget; this measurably increased tool invocation (e.g., 5/5 matched </w:t>
      </w:r>
      <w:r>
        <w:rPr>
          <w:rFonts w:ascii="Courier New" w:hAnsi="Courier New" w:eastAsia="Courier New"/>
          <w:sz w:val="19"/>
        </w:rPr>
        <w:t>RentAFlat__update_apartment</w:t>
      </w:r>
      <w:r>
        <w:rPr>
          <w:rFonts w:ascii="Times New Roman" w:hAnsi="Times New Roman" w:eastAsia="Times New Roman"/>
          <w:sz w:val="21"/>
        </w:rPr>
        <w:t xml:space="preserve"> calls and a successful </w:t>
      </w:r>
      <w:r>
        <w:rPr>
          <w:rFonts w:ascii="Courier New" w:hAnsi="Courier New" w:eastAsia="Courier New"/>
          <w:sz w:val="19"/>
        </w:rPr>
        <w:t>list_saved_apartments</w:t>
      </w:r>
      <w:r>
        <w:rPr>
          <w:rFonts w:ascii="Times New Roman" w:hAnsi="Times New Roman" w:eastAsia="Times New Roman"/>
          <w:sz w:val="21"/>
        </w:rPr>
        <w:t xml:space="preserve"> lookup on one scenario, versus zero expected tool calls before the adapter). No scenario nevertheless reached a valid full score with the small local models available on this machine (Qwen3-0.6B and Qwen2.5-3B), so the canonical evaluation remains unpassed and no GAIA2 accuracy number is reported.</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Ollama adds ~1.6 GB (Qwen3-1.7B, Q4_K_M) and ~0.5 GB (Qwen3-0.6B, Q4_K_M) when the models are resident. Total with both models resident is therefore ~5.4 GB of measured process RSS (3.3 GB Python + 2.1 GB Ollama), plus an estimated ~0.4 GB of working buffers and OS overhead. The stack exceeds the 5 GB target with both models resident (headroom approximately -0.8 GB including the buffer estimate); with only the primary model resident it is ~5.3 GB and still above 5 GB. This corrects the earlier draft's "~1.7 GB headroom" figure, which double-counted the harness.</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https://github.com/aidless/AGI-KIT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Architecture baselines (Round 23)</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experiments/baselines_architectural.py</w:t>
            </w:r>
            <w:r>
              <w:rPr>
                <w:rFonts w:ascii="Times New Roman" w:hAnsi="Times New Roman" w:eastAsia="Times New Roman"/>
                <w:sz w:val="17"/>
              </w:rPr>
              <w:t xml:space="preserve">; </w:t>
            </w:r>
            <w:r>
              <w:rPr>
                <w:rFonts w:ascii="Courier New" w:hAnsi="Courier New" w:eastAsia="Courier New"/>
                <w:sz w:val="17"/>
              </w:rPr>
              <w:t>logs/baselines_architectural/summary_{static,reflexion,voyager,metagpt}.json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(fixed seed, temperature 0)</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 (gold-tagged)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