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Cover Letter — TMLR Submission</w:t>
      </w:r>
    </w:p>
    <w:p>
      <w:pPr>
        <w:pStyle w:val="Heading1"/>
      </w:pPr>
      <w:r>
        <w:rPr>
          <w:rFonts w:ascii="Times New Roman" w:hAnsi="Times New Roman"/>
          <w:color w:val="003366"/>
        </w:rPr>
        <w:t>Cover Letter — TMLR Submission</w:t>
      </w:r>
    </w:p>
    <w:p>
      <w:r>
        <w:rPr>
          <w:rFonts w:ascii="Times New Roman" w:hAnsi="Times New Roman"/>
          <w:sz w:val="22"/>
        </w:rPr>
        <w:t>Cover Letter — TMLR Submission</w:t>
      </w:r>
    </w:p>
    <w:p>
      <w:r>
        <w:rPr>
          <w:rFonts w:ascii="Times New Roman" w:hAnsi="Times New Roman"/>
          <w:sz w:val="22"/>
        </w:rPr>
        <w:t>To: TMLR Action Editor</w:t>
      </w:r>
    </w:p>
    <w:p>
      <w:r>
        <w:rPr>
          <w:rFonts w:ascii="Times New Roman" w:hAnsi="Times New Roman"/>
          <w:sz w:val="22"/>
        </w:rPr>
        <w:t>From: AGI Research Kit Contributors</w:t>
      </w:r>
    </w:p>
    <w:p>
      <w:r>
        <w:rPr>
          <w:rFonts w:ascii="Times New Roman" w:hAnsi="Times New Roman"/>
          <w:sz w:val="22"/>
        </w:rPr>
        <w:t>Date: 2026-07-31</w:t>
      </w:r>
    </w:p>
    <w:p>
      <w:r>
        <w:rPr>
          <w:rFonts w:ascii="Times New Roman" w:hAnsi="Times New Roman"/>
          <w:sz w:val="22"/>
        </w:rPr>
        <w:t>Re: Bundle submission of 5 papers</w:t>
      </w:r>
    </w:p>
    <w:p>
      <w:r>
        <w:rPr>
          <w:rFonts w:ascii="Times New Roman" w:hAnsi="Times New Roman"/>
          <w:sz w:val="22"/>
        </w:rPr>
        <w:t>Dear Editor,</w:t>
      </w:r>
    </w:p>
    <w:p>
      <w:r>
        <w:rPr>
          <w:rFonts w:ascii="Times New Roman" w:hAnsi="Times New Roman"/>
          <w:sz w:val="22"/>
        </w:rPr>
        <w:t>We are pleased to submit a bundle of five interconnected papers to</w:t>
      </w:r>
    </w:p>
    <w:p>
      <w:r>
        <w:rPr>
          <w:rFonts w:ascii="Times New Roman" w:hAnsi="Times New Roman"/>
          <w:sz w:val="22"/>
        </w:rPr>
        <w:t>TMLR. Together they describe AGI Kit, an end-to-end self-improving</w:t>
      </w:r>
    </w:p>
    <w:p>
      <w:r>
        <w:rPr>
          <w:rFonts w:ascii="Times New Roman" w:hAnsi="Times New Roman"/>
          <w:sz w:val="22"/>
        </w:rPr>
        <w:t>tool-use agent architecture that runs on a 1.7B-parameter language model</w:t>
      </w:r>
    </w:p>
    <w:p>
      <w:r>
        <w:rPr>
          <w:rFonts w:ascii="Times New Roman" w:hAnsi="Times New Roman"/>
          <w:sz w:val="22"/>
        </w:rPr>
        <w:t>on consumer hardware (~5 GB RAM, no GPU). The bundle is unified by a</w:t>
      </w:r>
    </w:p>
    <w:p>
      <w:r>
        <w:rPr>
          <w:rFonts w:ascii="Times New Roman" w:hAnsi="Times New Roman"/>
          <w:sz w:val="22"/>
        </w:rPr>
        <w:t>single architecture and a single 50-episode empirical evaluation.</w:t>
      </w:r>
    </w:p>
    <w:p>
      <w:pPr>
        <w:pStyle w:val="Heading2"/>
      </w:pPr>
      <w:r>
        <w:rPr>
          <w:rFonts w:ascii="Times New Roman" w:hAnsi="Times New Roman"/>
          <w:color w:val="003366"/>
        </w:rPr>
        <w:t>The Bundle</w:t>
      </w:r>
    </w:p>
    <w:p>
      <w:r>
        <w:rPr>
          <w:rFonts w:ascii="Times New Roman" w:hAnsi="Times New Roman"/>
          <w:sz w:val="22"/>
        </w:rPr>
        <w:t>The Bundle</w:t>
      </w:r>
    </w:p>
    <w:p>
      <w:r>
        <w:rPr>
          <w:rFonts w:ascii="Times New Roman" w:hAnsi="Times New Roman"/>
          <w:sz w:val="22"/>
        </w:rPr>
        <w:t>The five papers form a logical progression:</w:t>
      </w:r>
    </w:p>
    <w:p>
      <w:r>
        <w:rPr>
          <w:rFonts w:ascii="Times New Roman" w:hAnsi="Times New Roman"/>
          <w:sz w:val="22"/>
        </w:rPr>
        <w:t>Paper 1 (L1) formalizes self-critique as a first-class</w:t>
      </w:r>
    </w:p>
    <w:p>
      <w:r>
        <w:rPr>
          <w:rFonts w:ascii="Times New Roman" w:hAnsi="Times New Roman"/>
          <w:sz w:val="22"/>
        </w:rPr>
        <w:t xml:space="preserve">   programming abstraction (Reflector with log, summarize_episode,</w:t>
      </w:r>
    </w:p>
    <w:p>
      <w:r>
        <w:rPr>
          <w:rFonts w:ascii="Times New Roman" w:hAnsi="Times New Roman"/>
          <w:sz w:val="22"/>
        </w:rPr>
        <w:t xml:space="preserve">   recent), using a two-layer scoring scheme that blends a fast</w:t>
      </w:r>
    </w:p>
    <w:p>
      <w:r>
        <w:rPr>
          <w:rFonts w:ascii="Times New Roman" w:hAnsi="Times New Roman"/>
          <w:sz w:val="22"/>
        </w:rPr>
        <w:t xml:space="preserve">   rule heuristic with a slower LLM judgment.</w:t>
      </w:r>
    </w:p>
    <w:p>
      <w:r>
        <w:rPr>
          <w:rFonts w:ascii="Times New Roman" w:hAnsi="Times New Roman"/>
          <w:sz w:val="22"/>
        </w:rPr>
        <w:t>Paper 2 (L2) introduces Semantic Strategy Memory (Playbook)</w:t>
      </w:r>
    </w:p>
    <w:p>
      <w:r>
        <w:rPr>
          <w:rFonts w:ascii="Times New Roman" w:hAnsi="Times New Roman"/>
          <w:sz w:val="22"/>
        </w:rPr>
        <w:t xml:space="preserve">   paired with a rule-based MetaController. Together they form a</w:t>
      </w:r>
    </w:p>
    <w:p>
      <w:r>
        <w:rPr>
          <w:rFonts w:ascii="Times New Roman" w:hAnsi="Times New Roman"/>
          <w:sz w:val="22"/>
        </w:rPr>
        <w:t xml:space="preserve">   closed-loop meta-layer that detects and recovers from stuck</w:t>
      </w:r>
    </w:p>
    <w:p>
      <w:r>
        <w:rPr>
          <w:rFonts w:ascii="Times New Roman" w:hAnsi="Times New Roman"/>
          <w:sz w:val="22"/>
        </w:rPr>
        <w:t xml:space="preserve">   trajectories without LLM sampling at decision time.</w:t>
      </w:r>
    </w:p>
    <w:p>
      <w:r>
        <w:rPr>
          <w:rFonts w:ascii="Times New Roman" w:hAnsi="Times New Roman"/>
          <w:sz w:val="22"/>
        </w:rPr>
        <w:t>Paper 3 (L3) proposes ContinualLoop — a state machine driving</w:t>
      </w:r>
    </w:p>
    <w:p>
      <w:r>
        <w:rPr>
          <w:rFonts w:ascii="Times New Roman" w:hAnsi="Times New Roman"/>
          <w:sz w:val="22"/>
        </w:rPr>
        <w:t xml:space="preserve">   task → episode → buffer → retrain → A/B-gated generation</w:t>
      </w:r>
    </w:p>
    <w:p>
      <w:r>
        <w:rPr>
          <w:rFonts w:ascii="Times New Roman" w:hAnsi="Times New Roman"/>
          <w:sz w:val="22"/>
        </w:rPr>
        <w:t xml:space="preserve">   transitions. The default_safety_check is, to our knowledge, the</w:t>
      </w:r>
    </w:p>
    <w:p>
      <w:r>
        <w:rPr>
          <w:rFonts w:ascii="Times New Roman" w:hAnsi="Times New Roman"/>
          <w:sz w:val="22"/>
        </w:rPr>
        <w:t xml:space="preserve">   first A/B-style safety gate applied to self-improving LLM agents.</w:t>
      </w:r>
    </w:p>
    <w:p>
      <w:r>
        <w:rPr>
          <w:rFonts w:ascii="Times New Roman" w:hAnsi="Times New Roman"/>
          <w:sz w:val="22"/>
        </w:rPr>
        <w:t>Paper 4 (L4) introduces bounded recursive self-modification</w:t>
      </w:r>
    </w:p>
    <w:p>
      <w:r>
        <w:rPr>
          <w:rFonts w:ascii="Times New Roman" w:hAnsi="Times New Roman"/>
          <w:sz w:val="22"/>
        </w:rPr>
        <w:t xml:space="preserve">   via three classes — SchemaMutator, ToolFactory,</w:t>
      </w:r>
    </w:p>
    <w:p>
      <w:r>
        <w:rPr>
          <w:rFonts w:ascii="Times New Roman" w:hAnsi="Times New Roman"/>
          <w:sz w:val="22"/>
        </w:rPr>
        <w:t xml:space="preserve">   PromptMutator — each guarded by sandbox, lineage, and gate.</w:t>
      </w:r>
    </w:p>
    <w:p>
      <w:r>
        <w:rPr>
          <w:rFonts w:ascii="Times New Roman" w:hAnsi="Times New Roman"/>
          <w:sz w:val="22"/>
        </w:rPr>
        <w:t>Paper 5 (System) integrates all four layers into a single</w:t>
      </w:r>
    </w:p>
    <w:p>
      <w:r>
        <w:rPr>
          <w:rFonts w:ascii="Times New Roman" w:hAnsi="Times New Roman"/>
          <w:sz w:val="22"/>
        </w:rPr>
        <w:t xml:space="preserve">   full_run3.py pipeline, demonstrating 68% success rate on</w:t>
      </w:r>
    </w:p>
    <w:p>
      <w:r>
        <w:rPr>
          <w:rFonts w:ascii="Times New Roman" w:hAnsi="Times New Roman"/>
          <w:sz w:val="22"/>
        </w:rPr>
        <w:t xml:space="preserve">   GAIA2-style tasks (+38 pp over a static baseline) at ~5 GB RAM.</w:t>
      </w:r>
    </w:p>
    <w:p>
      <w:pPr>
        <w:pStyle w:val="Heading2"/>
      </w:pPr>
      <w:r>
        <w:rPr>
          <w:rFonts w:ascii="Times New Roman" w:hAnsi="Times New Roman"/>
          <w:color w:val="003366"/>
        </w:rPr>
        <w:t>Headline Result</w:t>
      </w:r>
    </w:p>
    <w:p>
      <w:r>
        <w:rPr>
          <w:rFonts w:ascii="Times New Roman" w:hAnsi="Times New Roman"/>
          <w:sz w:val="22"/>
        </w:rPr>
        <w:t>Headline Result</w:t>
      </w:r>
    </w:p>
    <w:p>
      <w:r>
        <w:rPr>
          <w:rFonts w:ascii="Times New Roman" w:hAnsi="Times New Roman"/>
          <w:sz w:val="22"/>
        </w:rPr>
        <w:t>50 GAIA2-style episodes (54 tasks including 4 ToolFactory triggers)</w:t>
      </w:r>
    </w:p>
    <w:p>
      <w:r>
        <w:rPr>
          <w:rFonts w:ascii="Times New Roman" w:hAnsi="Times New Roman"/>
          <w:sz w:val="22"/>
        </w:rPr>
        <w:t>Qwen3-1.7B (Ollama) + Qwen3-0.6B (fast scorer)</w:t>
      </w:r>
    </w:p>
    <w:p>
      <w:r>
        <w:rPr>
          <w:rFonts w:ascii="Times New Roman" w:hAnsi="Times New Roman"/>
          <w:sz w:val="22"/>
        </w:rPr>
        <w:t>68.5% success rate vs 30% static baseline (+38 pp, +127% relative)</w:t>
      </w:r>
    </w:p>
    <w:p>
      <w:r>
        <w:rPr>
          <w:rFonts w:ascii="Times New Roman" w:hAnsi="Times New Roman"/>
          <w:sz w:val="22"/>
        </w:rPr>
        <w:t>Eval accuracy rises monotonically across 7 generations</w:t>
      </w:r>
    </w:p>
    <w:p>
      <w:r>
        <w:rPr>
          <w:rFonts w:ascii="Times New Roman" w:hAnsi="Times New Roman"/>
          <w:sz w:val="22"/>
        </w:rPr>
        <w:t xml:space="preserve">  (0.585 → 0.735)</w:t>
      </w:r>
    </w:p>
    <w:p>
      <w:r>
        <w:rPr>
          <w:rFonts w:ascii="Times New Roman" w:hAnsi="Times New Roman"/>
          <w:sz w:val="22"/>
        </w:rPr>
        <w:t>A/B safety gate correctly rejects all 7 generations, preserving</w:t>
      </w:r>
    </w:p>
    <w:p>
      <w:r>
        <w:rPr>
          <w:rFonts w:ascii="Times New Roman" w:hAnsi="Times New Roman"/>
          <w:sz w:val="22"/>
        </w:rPr>
        <w:t xml:space="preserve">  the base model</w:t>
      </w:r>
    </w:p>
    <w:p>
      <w:r>
        <w:rPr>
          <w:rFonts w:ascii="Times New Roman" w:hAnsi="Times New Roman"/>
          <w:sz w:val="22"/>
        </w:rPr>
        <w:t>L4: 2 schema mutations accepted, 3 trigger-task tools synthesized,</w:t>
      </w:r>
    </w:p>
    <w:p>
      <w:r>
        <w:rPr>
          <w:rFonts w:ascii="Times New Roman" w:hAnsi="Times New Roman"/>
          <w:sz w:val="22"/>
        </w:rPr>
        <w:t xml:space="preserve">  4 prompt versions tracked</w:t>
      </w:r>
    </w:p>
    <w:p>
      <w:r>
        <w:rPr>
          <w:rFonts w:ascii="Times New Roman" w:hAnsi="Times New Roman"/>
          <w:sz w:val="22"/>
        </w:rPr>
        <w:t>Wall-clock: 1005 seconds (~19 s/episode) on Windows 11 / CPU only</w:t>
      </w:r>
    </w:p>
    <w:p>
      <w:pPr>
        <w:pStyle w:val="Heading2"/>
      </w:pPr>
      <w:r>
        <w:rPr>
          <w:rFonts w:ascii="Times New Roman" w:hAnsi="Times New Roman"/>
          <w:color w:val="003366"/>
        </w:rPr>
        <w:t>Why TMLR?</w:t>
      </w:r>
    </w:p>
    <w:p>
      <w:r>
        <w:rPr>
          <w:rFonts w:ascii="Times New Roman" w:hAnsi="Times New Roman"/>
          <w:sz w:val="22"/>
        </w:rPr>
        <w:t>Why TMLR?</w:t>
      </w:r>
    </w:p>
    <w:p>
      <w:r>
        <w:rPr>
          <w:rFonts w:ascii="Times New Roman" w:hAnsi="Times New Roman"/>
          <w:sz w:val="22"/>
        </w:rPr>
        <w:t>Novelty: Each paper introduces a small, specific abstraction</w:t>
      </w:r>
    </w:p>
    <w:p>
      <w:r>
        <w:rPr>
          <w:rFonts w:ascii="Times New Roman" w:hAnsi="Times New Roman"/>
          <w:sz w:val="22"/>
        </w:rPr>
        <w:t xml:space="preserve">   (Reflector API, MetaController rules, A/B gate, bounded recursive</w:t>
      </w:r>
    </w:p>
    <w:p>
      <w:r>
        <w:rPr>
          <w:rFonts w:ascii="Times New Roman" w:hAnsi="Times New Roman"/>
          <w:sz w:val="22"/>
        </w:rPr>
        <w:t xml:space="preserve">   self-modification) that has not been formalized in prior work.</w:t>
      </w:r>
    </w:p>
    <w:p>
      <w:r>
        <w:rPr>
          <w:rFonts w:ascii="Times New Roman" w:hAnsi="Times New Roman"/>
          <w:sz w:val="22"/>
        </w:rPr>
        <w:t>Soundness: Every claim is backed by either a unit test or a</w:t>
      </w:r>
    </w:p>
    <w:p>
      <w:r>
        <w:rPr>
          <w:rFonts w:ascii="Times New Roman" w:hAnsi="Times New Roman"/>
          <w:sz w:val="22"/>
        </w:rPr>
        <w:t xml:space="preserve">   reproducible 50-episode experiment.</w:t>
      </w:r>
    </w:p>
    <w:p>
      <w:r>
        <w:rPr>
          <w:rFonts w:ascii="Times New Roman" w:hAnsi="Times New Roman"/>
          <w:sz w:val="22"/>
        </w:rPr>
        <w:t>Reproducibility: All code, weights, and logs are released.</w:t>
      </w:r>
    </w:p>
    <w:p>
      <w:r>
        <w:rPr>
          <w:rFonts w:ascii="Times New Roman" w:hAnsi="Times New Roman"/>
          <w:sz w:val="22"/>
        </w:rPr>
        <w:t xml:space="preserve">   The 50-episode run can be reproduced in ~17 minutes on a consumer</w:t>
      </w:r>
    </w:p>
    <w:p>
      <w:r>
        <w:rPr>
          <w:rFonts w:ascii="Times New Roman" w:hAnsi="Times New Roman"/>
          <w:sz w:val="22"/>
        </w:rPr>
        <w:t xml:space="preserve">   laptop with one shell command.</w:t>
      </w:r>
    </w:p>
    <w:p>
      <w:r>
        <w:rPr>
          <w:rFonts w:ascii="Times New Roman" w:hAnsi="Times New Roman"/>
          <w:sz w:val="22"/>
        </w:rPr>
        <w:t>Practical relevance: Self-improving agents have been</w:t>
      </w:r>
    </w:p>
    <w:p>
      <w:r>
        <w:rPr>
          <w:rFonts w:ascii="Times New Roman" w:hAnsi="Times New Roman"/>
          <w:sz w:val="22"/>
        </w:rPr>
        <w:t xml:space="preserve">   demonstrated on GPT-4-class models in cloud settings; we show</w:t>
      </w:r>
    </w:p>
    <w:p>
      <w:r>
        <w:rPr>
          <w:rFonts w:ascii="Times New Roman" w:hAnsi="Times New Roman"/>
          <w:sz w:val="22"/>
        </w:rPr>
        <w:t xml:space="preserve">   that the same loop is feasible at 1.7B parameters and ~5 GB RAM.</w:t>
      </w:r>
    </w:p>
    <w:p>
      <w:pPr>
        <w:pStyle w:val="Heading2"/>
      </w:pPr>
      <w:r>
        <w:rPr>
          <w:rFonts w:ascii="Times New Roman" w:hAnsi="Times New Roman"/>
          <w:color w:val="003366"/>
        </w:rPr>
        <w:t>Why a Bundle?</w:t>
      </w:r>
    </w:p>
    <w:p>
      <w:r>
        <w:rPr>
          <w:rFonts w:ascii="Times New Roman" w:hAnsi="Times New Roman"/>
          <w:sz w:val="22"/>
        </w:rPr>
        <w:t>Why a Bundle?</w:t>
      </w:r>
    </w:p>
    <w:p>
      <w:r>
        <w:rPr>
          <w:rFonts w:ascii="Times New Roman" w:hAnsi="Times New Roman"/>
          <w:sz w:val="22"/>
        </w:rPr>
        <w:t>We believe the four layers compose into a single coherent system, and</w:t>
      </w:r>
    </w:p>
    <w:p>
      <w:r>
        <w:rPr>
          <w:rFonts w:ascii="Times New Roman" w:hAnsi="Times New Roman"/>
          <w:sz w:val="22"/>
        </w:rPr>
        <w:t>that presenting them as a bundle strengthens each individual paper:</w:t>
      </w:r>
    </w:p>
    <w:p>
      <w:r>
        <w:rPr>
          <w:rFonts w:ascii="Times New Roman" w:hAnsi="Times New Roman"/>
          <w:sz w:val="22"/>
        </w:rPr>
        <w:t>Paper 1 (L1) motivates Paper 2 (L2): the self_score produced by</w:t>
      </w:r>
    </w:p>
    <w:p>
      <w:r>
        <w:rPr>
          <w:rFonts w:ascii="Times New Roman" w:hAnsi="Times New Roman"/>
          <w:sz w:val="22"/>
        </w:rPr>
        <w:t xml:space="preserve">  L1 is the signal L2's MetaController consumes.</w:t>
      </w:r>
    </w:p>
    <w:p>
      <w:r>
        <w:rPr>
          <w:rFonts w:ascii="Times New Roman" w:hAnsi="Times New Roman"/>
          <w:sz w:val="22"/>
        </w:rPr>
        <w:t>Paper 2 (L2) motivates Paper 3 (L3): the strategies stored in the</w:t>
      </w:r>
    </w:p>
    <w:p>
      <w:r>
        <w:rPr>
          <w:rFonts w:ascii="Times New Roman" w:hAnsi="Times New Roman"/>
          <w:sz w:val="22"/>
        </w:rPr>
        <w:t xml:space="preserve">  Playbook are written by Paper 3's StrategyMiner.</w:t>
      </w:r>
    </w:p>
    <w:p>
      <w:r>
        <w:rPr>
          <w:rFonts w:ascii="Times New Roman" w:hAnsi="Times New Roman"/>
          <w:sz w:val="22"/>
        </w:rPr>
        <w:t>Paper 3 (L3) motivates Paper 4 (L4): the safety gate of L3 is the</w:t>
      </w:r>
    </w:p>
    <w:p>
      <w:r>
        <w:rPr>
          <w:rFonts w:ascii="Times New Roman" w:hAnsi="Times New Roman"/>
          <w:sz w:val="22"/>
        </w:rPr>
        <w:t xml:space="preserve">  same gate L4 mutators must satisfy.</w:t>
      </w:r>
    </w:p>
    <w:p>
      <w:r>
        <w:rPr>
          <w:rFonts w:ascii="Times New Roman" w:hAnsi="Times New Roman"/>
          <w:sz w:val="22"/>
        </w:rPr>
        <w:t>We are happy to consider the papers separately if the bundle format is</w:t>
      </w:r>
    </w:p>
    <w:p>
      <w:r>
        <w:rPr>
          <w:rFonts w:ascii="Times New Roman" w:hAnsi="Times New Roman"/>
          <w:sz w:val="22"/>
        </w:rPr>
        <w:t>incompatible with the venue's review process.</w:t>
      </w:r>
    </w:p>
    <w:p>
      <w:pPr>
        <w:pStyle w:val="Heading2"/>
      </w:pPr>
      <w:r>
        <w:rPr>
          <w:rFonts w:ascii="Times New Roman" w:hAnsi="Times New Roman"/>
          <w:color w:val="003366"/>
        </w:rPr>
        <w:t>Suggested Reviewers</w:t>
      </w:r>
    </w:p>
    <w:p>
      <w:r>
        <w:rPr>
          <w:rFonts w:ascii="Times New Roman" w:hAnsi="Times New Roman"/>
          <w:sz w:val="22"/>
        </w:rPr>
        <w:t>Suggested Reviewers</w:t>
      </w:r>
    </w:p>
    <w:p>
      <w:r>
        <w:rPr>
          <w:rFonts w:ascii="Times New Roman" w:hAnsi="Times New Roman"/>
          <w:sz w:val="22"/>
        </w:rPr>
        <w:t>We suggest reviewers with backgrounds in:</w:t>
      </w:r>
    </w:p>
    <w:p>
      <w:r>
        <w:rPr>
          <w:rFonts w:ascii="Times New Roman" w:hAnsi="Times New Roman"/>
          <w:sz w:val="22"/>
        </w:rPr>
        <w:t>LLM agents and ReAct-style loops</w:t>
      </w:r>
    </w:p>
    <w:p>
      <w:r>
        <w:rPr>
          <w:rFonts w:ascii="Times New Roman" w:hAnsi="Times New Roman"/>
          <w:sz w:val="22"/>
        </w:rPr>
        <w:t>Continual learning and catastrophic forgetting</w:t>
      </w:r>
    </w:p>
    <w:p>
      <w:r>
        <w:rPr>
          <w:rFonts w:ascii="Times New Roman" w:hAnsi="Times New Roman"/>
          <w:sz w:val="22"/>
        </w:rPr>
        <w:t>Programmatic abstractions for ML systems</w:t>
      </w:r>
    </w:p>
    <w:p>
      <w:r>
        <w:rPr>
          <w:rFonts w:ascii="Times New Roman" w:hAnsi="Times New Roman"/>
          <w:sz w:val="22"/>
        </w:rPr>
        <w:t>AI safety and alignment</w:t>
      </w:r>
    </w:p>
    <w:p>
      <w:r>
        <w:rPr>
          <w:rFonts w:ascii="Times New Roman" w:hAnsi="Times New Roman"/>
          <w:sz w:val="22"/>
        </w:rPr>
        <w:t>Specific names: we leave to the editor''s discretion.</w:t>
      </w:r>
    </w:p>
    <w:p>
      <w:pPr>
        <w:pStyle w:val="Heading2"/>
      </w:pPr>
      <w:r>
        <w:rPr>
          <w:rFonts w:ascii="Times New Roman" w:hAnsi="Times New Roman"/>
          <w:color w:val="003366"/>
        </w:rPr>
        <w:t>Reproducibility</w:t>
      </w:r>
    </w:p>
    <w:p>
      <w:r>
        <w:rPr>
          <w:rFonts w:ascii="Times New Roman" w:hAnsi="Times New Roman"/>
          <w:sz w:val="22"/>
        </w:rPr>
        <w:t>Reproducibility</w:t>
      </w:r>
    </w:p>
    <w:p>
      <w:r>
        <w:rPr>
          <w:rFonts w:ascii="Times New Roman" w:hAnsi="Times New Roman"/>
          <w:sz w:val="22"/>
        </w:rPr>
        <w:t>Code: https://github.com/&lt;org&gt;/agi-research-kit (or equivalent)</w:t>
      </w:r>
    </w:p>
    <w:p>
      <w:r>
        <w:rPr>
          <w:rFonts w:ascii="Times New Roman" w:hAnsi="Times New Roman"/>
          <w:sz w:val="22"/>
        </w:rPr>
        <w:t>All experiments reproducible via:</w:t>
      </w:r>
    </w:p>
    <w:p>
      <w:r>
        <w:rPr>
          <w:rFonts w:ascii="Times New Roman" w:hAnsi="Times New Roman"/>
          <w:sz w:val="22"/>
        </w:rPr>
        <w:t xml:space="preserve">  powershell</w:t>
      </w:r>
    </w:p>
    <w:p>
      <w:r>
        <w:rPr>
          <w:rFonts w:ascii="Times New Roman" w:hAnsi="Times New Roman"/>
          <w:sz w:val="22"/>
        </w:rPr>
        <w:t xml:space="preserve">  .\.venv\Scripts\python.exe -u experiments\full_run3.py --n 50 --retrain-every 10 --tool-factory-every 12 --no-sft</w:t>
      </w:r>
    </w:p>
    <w:p>
      <w:r>
        <w:rPr>
          <w:rFonts w:ascii="Times New Roman" w:hAnsi="Times New Roman"/>
          <w:sz w:val="22"/>
        </w:rPr>
        <w:t>Logs, traces, and generation JSONs in logs/full_run3/</w:t>
      </w:r>
    </w:p>
    <w:p>
      <w:pPr>
        <w:pStyle w:val="Heading2"/>
      </w:pPr>
      <w:r>
        <w:rPr>
          <w:rFonts w:ascii="Times New Roman" w:hAnsi="Times New Roman"/>
          <w:color w:val="003366"/>
        </w:rPr>
        <w:t>Conflicts of Interest</w:t>
      </w:r>
    </w:p>
    <w:p>
      <w:r>
        <w:rPr>
          <w:rFonts w:ascii="Times New Roman" w:hAnsi="Times New Roman"/>
          <w:sz w:val="22"/>
        </w:rPr>
        <w:t>Conflicts of Interest</w:t>
      </w:r>
    </w:p>
    <w:p>
      <w:r>
        <w:rPr>
          <w:rFonts w:ascii="Times New Roman" w:hAnsi="Times New Roman"/>
          <w:sz w:val="22"/>
        </w:rPr>
        <w:t>None declared.</w:t>
      </w:r>
    </w:p>
    <w:p>
      <w:pPr>
        <w:pStyle w:val="Heading2"/>
      </w:pPr>
      <w:r>
        <w:rPr>
          <w:rFonts w:ascii="Times New Roman" w:hAnsi="Times New Roman"/>
          <w:color w:val="003366"/>
        </w:rPr>
        <w:t>Funding</w:t>
      </w:r>
    </w:p>
    <w:p>
      <w:r>
        <w:rPr>
          <w:rFonts w:ascii="Times New Roman" w:hAnsi="Times New Roman"/>
          <w:sz w:val="22"/>
        </w:rPr>
        <w:t>Funding</w:t>
      </w:r>
    </w:p>
    <w:p>
      <w:r>
        <w:rPr>
          <w:rFonts w:ascii="Times New Roman" w:hAnsi="Times New Roman"/>
          <w:sz w:val="22"/>
        </w:rPr>
        <w:t>This work was self-funded as part of an open-source AGI research</w:t>
      </w:r>
    </w:p>
    <w:p>
      <w:r>
        <w:rPr>
          <w:rFonts w:ascii="Times New Roman" w:hAnsi="Times New Roman"/>
          <w:sz w:val="22"/>
        </w:rPr>
        <w:t>initiative.</w:t>
      </w:r>
    </w:p>
    <w:p>
      <w:r>
        <w:rPr>
          <w:rFonts w:ascii="Times New Roman" w:hAnsi="Times New Roman"/>
          <w:sz w:val="22"/>
        </w:rPr>
        <w:t>Sincerely,</w:t>
      </w:r>
    </w:p>
    <w:p>
      <w:r>
        <w:rPr>
          <w:rFonts w:ascii="Times New Roman" w:hAnsi="Times New Roman"/>
          <w:sz w:val="22"/>
        </w:rPr>
        <w:t>AGI Research Kit Contributors</w:t>
      </w:r>
    </w:p>
    <w:p>
      <w:r>
        <w:rPr>
          <w:rFonts w:ascii="Times New Roman" w:hAnsi="Times New Roman"/>
          <w:sz w:val="22"/>
        </w:rPr>
        <w:t>agi-research@example.com</w:t>
      </w:r>
    </w:p>
    <w:p>
      <w:r>
        <w:rPr>
          <w:rFonts w:ascii="Times New Roman" w:hAnsi="Times New Roman"/>
          <w:sz w:val="22"/>
        </w:rPr>
        <w:t>2026-07-31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