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entirely on consumer hardware (CPU only, ~5 GB RAM) on small open-weight models (Qwen3-1.7B primary, Qwen3-0.6B scorer).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multi-step arithmetic chains where AGI Kit L1-L4 scores ~77.6%, so prompt design is a material confound.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sz w:val="21"/>
        </w:rPr>
        <w:t>Key proportions that carry inferential or paired weight are reported with exact 95% Clopper-Pearson intervals, and Section 4.5 provides a claim-versus-evidence ledger that labels every headline result as controlled, configuration-level, or descriptive.</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has been trained and executed through a real fine-tuning cycle, but no candidate has completed the full deployed path (conversion to the incumbent deployment backend, held-out eval, gate accept, audited swap). The hardened gate rejects non-executable candidates as </w:t>
      </w:r>
      <w:r>
        <w:rPr>
          <w:rFonts w:ascii="Courier New" w:hAnsi="Courier New" w:eastAsia="Courier New"/>
          <w:sz w:val="19"/>
        </w:rPr>
        <w:t>candidate_not_executable</w:t>
      </w:r>
      <w:r>
        <w:rPr>
          <w:rFonts w:ascii="Times New Roman" w:hAnsi="Times New Roman" w:eastAsia="Times New Roman"/>
          <w:sz w:val="21"/>
        </w:rPr>
        <w:t xml:space="preserve">; the strongest candidate (80/80 on a frozen protocol-learning test) ran through a non-deployed Transformers path and was therefore recorded as </w:t>
      </w:r>
      <w:r>
        <w:rPr>
          <w:rFonts w:ascii="Courier New" w:hAnsi="Courier New" w:eastAsia="Courier New"/>
          <w:sz w:val="19"/>
        </w:rPr>
        <w:t>not_accepted</w:t>
      </w:r>
      <w:r>
        <w:rPr>
          <w:rFonts w:ascii="Times New Roman" w:hAnsi="Times New Roman" w:eastAsia="Times New Roman"/>
          <w:sz w:val="21"/>
        </w:rPr>
        <w:t xml:space="preserve">.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Voyager/MetaGPT on identical hardware.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5 GB of RAM, no GPU, and an obligation to keep the system running for weeks without supervision.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Section 8.4).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048"/>
        <w:gridCol w:w="3672"/>
      </w:tblGrid>
      <w:tr>
        <w:trPr>
          <w:tblHeader w:val="true"/>
        </w:trP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Component</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Qwen3-1.7B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Qwen3-0.6B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Python process + experiments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~0.8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Total RSS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~3.3 GB</w:t>
            </w:r>
          </w:p>
        </w:tc>
      </w:tr>
    </w:tbl>
    <w:p>
      <w:pPr>
        <w:spacing w:after="40"/>
      </w:pPr>
    </w:p>
    <w:p>
      <w:r>
        <w:rPr>
          <w:rFonts w:ascii="Times New Roman" w:hAnsi="Times New Roman" w:eastAsia="Times New Roman"/>
          <w:sz w:val="21"/>
        </w:rPr>
        <w:t xml:space="preserve">Disk: ~3.2 GB of weights plus ~600 MB per continual generation. We measured this on Windows 11 Pro, 64 GB physical RAM, no GPU. The hardware we </w:t>
      </w:r>
      <w:r>
        <w:rPr>
          <w:rFonts w:ascii="Times New Roman" w:hAnsi="Times New Roman" w:eastAsia="Times New Roman"/>
          <w:i/>
          <w:sz w:val="21"/>
        </w:rPr>
        <w:t>target</w:t>
      </w:r>
      <w:r>
        <w:rPr>
          <w:rFonts w:ascii="Times New Roman" w:hAnsi="Times New Roman" w:eastAsia="Times New Roman"/>
          <w:sz w:val="21"/>
        </w:rPr>
        <w:t xml:space="preserve"> is 5 GB RAM, no GPU; the system is over-engineered for that target by ~2x headroom, which we treat as a safety margin.</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r>
        <w:rPr>
          <w:rFonts w:ascii="Times New Roman" w:hAnsi="Times New Roman" w:eastAsia="Times New Roman"/>
          <w:b/>
          <w:sz w:val="21"/>
        </w:rPr>
        <w:t>Statistical conventions.</w:t>
      </w:r>
      <w:r>
        <w:rPr>
          <w:rFonts w:ascii="Times New Roman" w:hAnsi="Times New Roman" w:eastAsia="Times New Roman"/>
          <w:sz w:val="21"/>
        </w:rPr>
        <w:t xml:space="preserve"> Proportions that carry inferential or paired weight (Section 4.5) are reported with exact 95% Clopper-Pearson confidence intervals, and paired comparisons use two-sided exact McNemar tests. Purely descriptive or deterministic tables state rates without intervals. Sample-size figures are two-proportion normal-approximation calculations (alpha=0.05, 80% power) and are labeled as design guidance, not observed evidence.</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The saturation reading is quantitative, not impressionistic. With 9 tasks and 7 successes, the observed rate is 77.8% with an exact 95% confidence interval of [40.0%, 97.2%] (Clopper-Pearson); the interval spans more than half of the probability range. A two-proportion design with 80% power at alpha=0.05 would require roughly 415 tasks per configuration to detect a 10 percentage-point difference from 77.8%, and roughly 113 per configuration for a 20-point difference. The 9-task ablation therefore cannot discriminate any layer effect smaller than tens of points. We report the flat 77.8% result as an uninformative comparison rather than as evidence that the layers are inert.</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-4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The arm-level exact 95% intervals are 19/20 = 95.0% [75.1%, 99.9%] for Static and 20/20 = 100.0% [83.2%, 100.0%] for L1; they overlap heavily, and the paired estimate is the only one we interpret.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w:t>
      </w:r>
    </w:p>
    <w:p>
      <w:pPr>
        <w:pStyle w:val="Heading2"/>
      </w:pPr>
      <w:r>
        <w:rPr>
          <w:rFonts w:ascii="Times New Roman" w:hAnsi="Times New Roman" w:eastAsia="Times New Roman"/>
          <w:sz w:val="24"/>
        </w:rPr>
        <w:t>4.5 Claim-Versus-Evidence Ledger</w:t>
      </w:r>
    </w:p>
    <w:p>
      <w:r>
        <w:rPr>
          <w:rFonts w:ascii="Times New Roman" w:hAnsi="Times New Roman" w:eastAsia="Times New Roman"/>
          <w:sz w:val="21"/>
        </w:rPr>
        <w:t xml:space="preserve">This table is the paper's central interpretive tool. The first column states the claim in the words we use elsewhere; the second points to the evidence; the third is the strongest causal label the evidence supports; the fourth reports the exact 95% confidence interval or paired test. A claim labeled </w:t>
      </w:r>
      <w:r>
        <w:rPr>
          <w:rFonts w:ascii="Times New Roman" w:hAnsi="Times New Roman" w:eastAsia="Times New Roman"/>
          <w:i/>
          <w:sz w:val="21"/>
        </w:rPr>
        <w:t>controlled</w:t>
      </w:r>
      <w:r>
        <w:rPr>
          <w:rFonts w:ascii="Times New Roman" w:hAnsi="Times New Roman" w:eastAsia="Times New Roman"/>
          <w:sz w:val="21"/>
        </w:rPr>
        <w:t xml:space="preserve"> isolates one intervention; </w:t>
      </w:r>
      <w:r>
        <w:rPr>
          <w:rFonts w:ascii="Times New Roman" w:hAnsi="Times New Roman" w:eastAsia="Times New Roman"/>
          <w:i/>
          <w:sz w:val="21"/>
        </w:rPr>
        <w:t>configuration-level</w:t>
      </w:r>
      <w:r>
        <w:rPr>
          <w:rFonts w:ascii="Times New Roman" w:hAnsi="Times New Roman" w:eastAsia="Times New Roman"/>
          <w:sz w:val="21"/>
        </w:rPr>
        <w:t xml:space="preserve"> changes several things at once; </w:t>
      </w:r>
      <w:r>
        <w:rPr>
          <w:rFonts w:ascii="Times New Roman" w:hAnsi="Times New Roman" w:eastAsia="Times New Roman"/>
          <w:i/>
          <w:sz w:val="21"/>
        </w:rPr>
        <w:t>descriptive</w:t>
      </w:r>
      <w:r>
        <w:rPr>
          <w:rFonts w:ascii="Times New Roman" w:hAnsi="Times New Roman" w:eastAsia="Times New Roman"/>
          <w:sz w:val="21"/>
        </w:rPr>
        <w:t xml:space="preserve"> carries no inferential interpretation.</w:t>
      </w:r>
    </w:p>
    <w:tbl>
      <w:tblPr>
        <w:tblStyle w:val="TableGrid"/>
        <w:tblW w:type="dxa" w:w="9720"/>
        <w:jc w:val="left"/>
        <w:tblLayout w:type="fixed"/>
        <w:tblLook w:firstColumn="1" w:firstRow="1" w:lastColumn="0" w:lastRow="0" w:noHBand="0" w:noVBand="1" w:val="04A0"/>
      </w:tblPr>
      <w:tblGrid>
        <w:gridCol w:w="2430"/>
        <w:gridCol w:w="2430"/>
        <w:gridCol w:w="2430"/>
        <w:gridCol w:w="2430"/>
      </w:tblGrid>
      <w:tr>
        <w:trPr>
          <w:tblHeader w:val="true"/>
        </w:trPr>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Evidence source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Causal status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Exact 95% CI / test</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L1 reflection corrects a tool-evidence mismatch</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4.1.2, 20 paired held-out tasks, Llama-3.2-3B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Controlled single intervention; 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19/20 [75.1, 99.9]; L1 20/20 [83.2, 100]; McNemar p=1.0 (1 discordant pair)</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L1-L4 configuration exceeds bare at matched step 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20-task hard arithmetic, Qwen3-1.7B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(prompt and control flow differ)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35.0% [15.4, 59.2]; full 95.0%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Layers add no measurable effect on synthetic GAIA2-mini</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9-task x 5-config ablation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Uninformative (saturated; CI spans 57 pp)</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7/9 = 77.8% [40.0, 97.2]</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wrapper changes bare Llama-3.2-1B behavior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4.4,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no cross-model 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0/20 [0.0, 16.8]; full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Corrected SFT can learn the narrow calculator protocol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8.4, frozen 80-task test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 xml:space="preserve">Strong paired evidence; </w:t>
            </w:r>
            <w:r>
              <w:rPr>
                <w:rFonts w:ascii="Times New Roman" w:hAnsi="Times New Roman" w:eastAsia="Times New Roman"/>
                <w:b/>
                <w:sz w:val="17"/>
              </w:rPr>
              <w:t>not</w:t>
            </w:r>
            <w:r>
              <w:rPr>
                <w:rFonts w:ascii="Times New Roman" w:hAnsi="Times New Roman" w:eastAsia="Times New Roman"/>
                <w:sz w:val="17"/>
              </w:rPr>
              <w:t xml:space="preserve"> a deployed L3 update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80/80 [95.5, 100] vs 0/80 [0.0, 4.5]; McNemar p=1.65e-24</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Safety gate behaves correctly at numeric boundaries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6.1-6.2, 12 hand-crafted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SchemaMutator blocks invalid changes, accepts valid controls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6.5, 30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18/18 [81.5, 100]; 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Step-verification prompt may help call-plan completeness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7.5, 6 GAIA2-mini scenarios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Exploratory; one discordant pair; runner not preserved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6/6 [54.1, 100] vs 5/6 [35.9, 99.6]</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Historical repeated-run emission rate is about 60%</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4.3, 3 runs x 16 episodes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only; clustered runs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No CI computed by design</w:t>
            </w:r>
          </w:p>
        </w:tc>
      </w:tr>
    </w:tbl>
    <w:p>
      <w:pPr>
        <w:spacing w:after="40"/>
      </w:pPr>
    </w:p>
    <w:p>
      <w:r>
        <w:rPr>
          <w:rFonts w:ascii="Times New Roman" w:hAnsi="Times New Roman" w:eastAsia="Times New Roman"/>
          <w:sz w:val="21"/>
        </w:rPr>
        <w:t>Any future revision that adds a number must also update this ledger.</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We lowered the threshold to 0.5 in a side experiment and observed two rejected candidates in seven that outperformed; we kept the default.</w:t>
      </w:r>
    </w:p>
    <w:p>
      <w:r>
        <w:rPr>
          <w:rFonts w:ascii="Times New Roman" w:hAnsi="Times New Roman" w:eastAsia="Times New Roman"/>
          <w:b/>
          <w:sz w:val="21"/>
        </w:rPr>
        <w:t>Acceptance protocol (proposed, not retroactive).</w:t>
      </w:r>
      <w:r>
        <w:rPr>
          <w:rFonts w:ascii="Times New Roman" w:hAnsi="Times New Roman" w:eastAsia="Times New Roman"/>
          <w:sz w:val="21"/>
        </w:rPr>
        <w:t xml:space="preserve"> To make the fail-closed behavior falsifiable, we define what we will count as a deployed L3 self-improvement update in future rounds. A candidate must satisfy all five criteria:</w:t>
      </w:r>
    </w:p>
    <w:p>
      <w:pPr>
        <w:pStyle w:val="ListNumber"/>
      </w:pPr>
      <w:r>
        <w:rPr>
          <w:rFonts w:ascii="Times New Roman" w:hAnsi="Times New Roman" w:eastAsia="Times New Roman"/>
          <w:b/>
          <w:sz w:val="21"/>
        </w:rPr>
        <w:t>Executable</w:t>
      </w:r>
      <w:r>
        <w:rPr>
          <w:rFonts w:ascii="Times New Roman" w:hAnsi="Times New Roman" w:eastAsia="Times New Roman"/>
          <w:sz w:val="21"/>
        </w:rPr>
        <w:t xml:space="preserve"> - the candidate runs through the same Ollama</w:t>
      </w:r>
    </w:p>
    <w:p>
      <w:r>
        <w:rPr>
          <w:rFonts w:ascii="Times New Roman" w:hAnsi="Times New Roman" w:eastAsia="Times New Roman"/>
          <w:sz w:val="21"/>
        </w:rPr>
        <w:t>deployment path as the incumbent; Transformers-only execution is insufficient.</w:t>
      </w:r>
    </w:p>
    <w:p>
      <w:pPr>
        <w:pStyle w:val="ListNumber"/>
      </w:pPr>
      <w:r>
        <w:rPr>
          <w:rFonts w:ascii="Times New Roman" w:hAnsi="Times New Roman" w:eastAsia="Times New Roman"/>
          <w:b/>
          <w:sz w:val="21"/>
        </w:rPr>
        <w:t>Frozen held-out eval</w:t>
      </w:r>
      <w:r>
        <w:rPr>
          <w:rFonts w:ascii="Times New Roman" w:hAnsi="Times New Roman" w:eastAsia="Times New Roman"/>
          <w:sz w:val="21"/>
        </w:rPr>
        <w:t xml:space="preserve"> - evaluated on a disjoint manifest with</w:t>
      </w:r>
    </w:p>
    <w:p>
      <w:r>
        <w:rPr>
          <w:rFonts w:ascii="Times New Roman" w:hAnsi="Times New Roman" w:eastAsia="Times New Roman"/>
          <w:sz w:val="21"/>
        </w:rPr>
        <w:t>the same prompt, parser, tool schema, and step budget as the incumbent, with per-task traces and manifest hashes recorded.</w:t>
      </w:r>
    </w:p>
    <w:p>
      <w:pPr>
        <w:pStyle w:val="ListNumber"/>
      </w:pPr>
      <w:r>
        <w:rPr>
          <w:rFonts w:ascii="Times New Roman" w:hAnsi="Times New Roman" w:eastAsia="Times New Roman"/>
          <w:b/>
          <w:sz w:val="21"/>
        </w:rPr>
        <w:t>Statistically qualified</w:t>
      </w:r>
      <w:r>
        <w:rPr>
          <w:rFonts w:ascii="Times New Roman" w:hAnsi="Times New Roman" w:eastAsia="Times New Roman"/>
          <w:sz w:val="21"/>
        </w:rPr>
        <w:t xml:space="preserve"> - a two-sided exact McNemar p &lt; 0.05 on</w:t>
      </w:r>
    </w:p>
    <w:p>
      <w:r>
        <w:rPr>
          <w:rFonts w:ascii="Times New Roman" w:hAnsi="Times New Roman" w:eastAsia="Times New Roman"/>
          <w:sz w:val="21"/>
        </w:rPr>
        <w:t>at least 80 paired tasks, or a pre-specified delta of +10 pp normalized-correct with a sample size sufficient to detect it.</w:t>
      </w:r>
    </w:p>
    <w:p>
      <w:pPr>
        <w:pStyle w:val="ListNumber"/>
      </w:pPr>
      <w:r>
        <w:rPr>
          <w:rFonts w:ascii="Times New Roman" w:hAnsi="Times New Roman" w:eastAsia="Times New Roman"/>
          <w:b/>
          <w:sz w:val="21"/>
        </w:rPr>
        <w:t>Gate accepted</w:t>
      </w:r>
      <w:r>
        <w:rPr>
          <w:rFonts w:ascii="Times New Roman" w:hAnsi="Times New Roman" w:eastAsia="Times New Roman"/>
          <w:sz w:val="21"/>
        </w:rPr>
        <w:t xml:space="preserve"> - </w:t>
      </w:r>
      <w:r>
        <w:rPr>
          <w:rFonts w:ascii="Courier New" w:hAnsi="Courier New" w:eastAsia="Courier New"/>
          <w:sz w:val="19"/>
        </w:rPr>
        <w:t>default_safety_check</w:t>
      </w:r>
      <w:r>
        <w:rPr>
          <w:rFonts w:ascii="Times New Roman" w:hAnsi="Times New Roman" w:eastAsia="Times New Roman"/>
          <w:sz w:val="21"/>
        </w:rPr>
        <w:t xml:space="preserve"> returns </w:t>
      </w:r>
      <w:r>
        <w:rPr>
          <w:rFonts w:ascii="Courier New" w:hAnsi="Courier New" w:eastAsia="Courier New"/>
          <w:sz w:val="19"/>
        </w:rPr>
        <w:t>accepted</w:t>
      </w:r>
      <w:r>
        <w:rPr>
          <w:rFonts w:ascii="Times New Roman" w:hAnsi="Times New Roman" w:eastAsia="Times New Roman"/>
          <w:sz w:val="21"/>
        </w:rPr>
        <w:t xml:space="preserve"> for</w:t>
      </w:r>
    </w:p>
    <w:p>
      <w:r>
        <w:rPr>
          <w:rFonts w:ascii="Times New Roman" w:hAnsi="Times New Roman" w:eastAsia="Times New Roman"/>
          <w:sz w:val="21"/>
        </w:rPr>
        <w:t>the candidate's held-out estimate against the incumbent's.</w:t>
      </w:r>
    </w:p>
    <w:p>
      <w:pPr>
        <w:pStyle w:val="ListNumber"/>
      </w:pPr>
      <w:r>
        <w:rPr>
          <w:rFonts w:ascii="Times New Roman" w:hAnsi="Times New Roman" w:eastAsia="Times New Roman"/>
          <w:b/>
          <w:sz w:val="21"/>
        </w:rPr>
        <w:t>Audited swap</w:t>
      </w:r>
      <w:r>
        <w:rPr>
          <w:rFonts w:ascii="Times New Roman" w:hAnsi="Times New Roman" w:eastAsia="Times New Roman"/>
          <w:sz w:val="21"/>
        </w:rPr>
        <w:t xml:space="preserve"> - the swap is logged with candidate and manifest</w:t>
      </w:r>
    </w:p>
    <w:p>
      <w:r>
        <w:rPr>
          <w:rFonts w:ascii="Times New Roman" w:hAnsi="Times New Roman" w:eastAsia="Times New Roman"/>
          <w:sz w:val="21"/>
        </w:rPr>
        <w:t>hashes, seeds, prompts, and the decision record.</w:t>
      </w:r>
    </w:p>
    <w:p>
      <w:r>
        <w:rPr>
          <w:rFonts w:ascii="Times New Roman" w:hAnsi="Times New Roman" w:eastAsia="Times New Roman"/>
          <w:sz w:val="21"/>
        </w:rPr>
        <w:t xml:space="preserve">No candidate in this paper satisfies all five. Round 18 fails criteria 1-3; Round 20 satisfies 2-3 numerically (80 paired tasks, p=1.65e-24) but fails 1, 4, and 5 and is therefore recorded as </w:t>
      </w:r>
      <w:r>
        <w:rPr>
          <w:rFonts w:ascii="Courier New" w:hAnsi="Courier New" w:eastAsia="Courier New"/>
          <w:sz w:val="19"/>
        </w:rPr>
        <w:t>not_accepted</w:t>
      </w:r>
      <w:r>
        <w:rPr>
          <w:rFonts w:ascii="Times New Roman" w:hAnsi="Times New Roman" w:eastAsia="Times New Roman"/>
          <w:sz w:val="21"/>
        </w:rPr>
        <w:t>. The protocol is a commitment for future work, not a post-hoc relabeling of existing results.</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 The arm-level exact 95% intervals overlap heavily: Static 5/6 = 83.3% [35.9%, 99.6%] and step-verification 6/6 = 100.0% [54.1%, 100.0%].</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arm-level exact 95% intervals are 80/80 = 100.0% [95.5%, 100.0%] and 0/80 = 0.0% [0.0%, 4.5%].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We therefore do not count Round 20 as a deployed L3 self-improvement update.</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architecture-level head-to-head baseline.</w:t>
      </w:r>
      <w:r>
        <w:rPr>
          <w:rFonts w:ascii="Times New Roman" w:hAnsi="Times New Roman" w:eastAsia="Times New Roman"/>
          <w:sz w:val="21"/>
        </w:rPr>
        <w:t xml:space="preserve"> We did not run</w:t>
      </w:r>
    </w:p>
    <w:p>
      <w:r>
        <w:rPr>
          <w:rFonts w:ascii="Times New Roman" w:hAnsi="Times New Roman" w:eastAsia="Times New Roman"/>
          <w:sz w:val="21"/>
        </w:rPr>
        <w:t>Voyager, MetaGPT, Reflexion, or ReAct implementations on identical hardware and tasks. Sections 7.2-7.5 compare prompt templates or contextual results, not full competing systems.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Sections 5.3, 8.4 and Appendix C show that real SmolLM2-135M SFT works and that a frozen 80-task protocol-learning test passes, but no candidate has completed the full deployed acceptance protocol defined in Section 5.3.</w:t>
      </w:r>
    </w:p>
    <w:p>
      <w:pPr>
        <w:pStyle w:val="ListBullet"/>
      </w:pPr>
      <w:r>
        <w:rPr>
          <w:rFonts w:ascii="Times New Roman" w:hAnsi="Times New Roman" w:eastAsia="Times New Roman"/>
          <w:b/>
          <w:sz w:val="21"/>
        </w:rPr>
        <w:t>No accepted L3 update.</w:t>
      </w:r>
      <w:r>
        <w:rPr>
          <w:rFonts w:ascii="Times New Roman" w:hAnsi="Times New Roman" w:eastAsia="Times New Roman"/>
          <w:sz w:val="21"/>
        </w:rPr>
        <w:t xml:space="preserve"> None of the real SFT candidates (Round 18,</w:t>
      </w:r>
    </w:p>
    <w:p>
      <w:r>
        <w:rPr>
          <w:rFonts w:ascii="Times New Roman" w:hAnsi="Times New Roman" w:eastAsia="Times New Roman"/>
          <w:sz w:val="21"/>
        </w:rPr>
        <w:t>Round 20) satisfies the five-criterion acceptance protocol in Section 5.3. The strongest positive result (80/80 protocol learning) is not a deployed self-improvement update and is reported as such.</w:t>
      </w:r>
    </w:p>
    <w:p>
      <w:pPr>
        <w:pStyle w:val="ListBullet"/>
      </w:pPr>
      <w:r>
        <w:rPr>
          <w:rFonts w:ascii="Times New Roman" w:hAnsi="Times New Roman" w:eastAsia="Times New Roman"/>
          <w:b/>
          <w:sz w:val="21"/>
        </w:rPr>
        <w:t>Underpowered small-sample designs.</w:t>
      </w:r>
      <w:r>
        <w:rPr>
          <w:rFonts w:ascii="Times New Roman" w:hAnsi="Times New Roman" w:eastAsia="Times New Roman"/>
          <w:sz w:val="21"/>
        </w:rPr>
        <w:t xml:space="preserve"> Exact 95% intervals are wide</w:t>
      </w:r>
    </w:p>
    <w:p>
      <w:r>
        <w:rPr>
          <w:rFonts w:ascii="Times New Roman" w:hAnsi="Times New Roman" w:eastAsia="Times New Roman"/>
          <w:sz w:val="21"/>
        </w:rPr>
        <w:t>wherever n is small: the 9-task ablation CI spans [40.0%, 97.2%], the controlled L1 check has one discordant pair with p=1.0, and the 6-scenario prompt comparison has one discordant scenario. These designs are labeled descriptive or underpowered in Section 4.5 rather than treated as confirmatory.</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Plus Ollama holding 1.6 GB (Qwen3-1.7B, Q4_K_M) and 0.5 GB (Qwen3-0.6B, Q4_K_M). Headroom for 5 GB RAM target: ~1.7 GB.</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https://github.com/aidless/AGI-KIT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2"/>
      </w:pPr>
      <w:r>
        <w:rPr>
          <w:rFonts w:ascii="Times New Roman" w:hAnsi="Times New Roman" w:eastAsia="Times New Roman"/>
          <w:sz w:val="24"/>
        </w:rPr>
        <w:t>Provenance ledger</w:t>
      </w:r>
    </w:p>
    <w:tbl>
      <w:tblPr>
        <w:tblStyle w:val="TableGrid"/>
        <w:tblW w:type="dxa" w:w="9720"/>
        <w:jc w:val="left"/>
        <w:tblLayout w:type="fixed"/>
        <w:tblLook w:firstColumn="1" w:firstRow="1" w:lastColumn="0" w:lastRow="0" w:noHBand="0" w:noVBand="1" w:val="04A0"/>
      </w:tblPr>
      <w:tblGrid>
        <w:gridCol w:w="2243"/>
        <w:gridCol w:w="2301"/>
        <w:gridCol w:w="2186"/>
        <w:gridCol w:w="1553"/>
        <w:gridCol w:w="1437"/>
      </w:tblGrid>
      <w:tr>
        <w:trPr>
          <w:tblHeader w:val="true"/>
        </w:trPr>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Experiment</w:t>
            </w:r>
          </w:p>
        </w:tc>
        <w:tc>
          <w:tcPr>
            <w:tcW w:type="dxa" w:w="2301"/>
            <w:vAlign w:val="center"/>
            <w:tcMar>
              <w:top w:w="80" w:type="dxa"/>
              <w:start w:w="90" w:type="dxa"/>
              <w:bottom w:w="80" w:type="dxa"/>
              <w:end w:w="90" w:type="dxa"/>
            </w:tcMar>
          </w:tcPr>
          <w:p>
            <w:pPr>
              <w:spacing w:after="0"/>
            </w:pPr>
            <w:r>
              <w:rPr>
                <w:rFonts w:ascii="Times New Roman" w:hAnsi="Times New Roman" w:eastAsia="Times New Roman"/>
                <w:b/>
                <w:sz w:val="17"/>
              </w:rPr>
              <w:t>Runner / artifact</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b/>
                <w:sz w:val="17"/>
              </w:rPr>
              <w:t>Seed-controlled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b/>
                <w:sz w:val="17"/>
              </w:rPr>
              <w:t>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Runner preserved</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Layer ablation (9 tasks x 5 configs)</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experiments/ablation_run.py</w:t>
            </w:r>
            <w:r>
              <w:rPr>
                <w:rFonts w:ascii="Times New Roman" w:hAnsi="Times New Roman" w:eastAsia="Times New Roman"/>
                <w:sz w:val="17"/>
              </w:rPr>
              <w:t xml:space="preserve">; </w:t>
            </w:r>
            <w:r>
              <w:rPr>
                <w:rFonts w:ascii="Courier New" w:hAnsi="Courier New" w:eastAsia="Courier New"/>
                <w:sz w:val="17"/>
              </w:rPr>
              <w:t>logs/ablation/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no (emission metric)</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Hard 20-task arithmetic</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experiments/cross_model_with_layers.py</w:t>
            </w:r>
            <w:r>
              <w:rPr>
                <w:rFonts w:ascii="Times New Roman" w:hAnsi="Times New Roman" w:eastAsia="Times New Roman"/>
                <w:sz w:val="17"/>
              </w:rPr>
              <w:t xml:space="preserve">; </w:t>
            </w:r>
            <w:r>
              <w:rPr>
                <w:rFonts w:ascii="Courier New" w:hAnsi="Courier New" w:eastAsia="Courier New"/>
                <w:sz w:val="17"/>
              </w:rPr>
              <w:t>logs/cross_model_layers/</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partial (Ollama seed)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independent gold recheck</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Controlled L1 check</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experiments/controlled_arithmetic_eval.py</w:t>
            </w:r>
            <w:r>
              <w:rPr>
                <w:rFonts w:ascii="Times New Roman" w:hAnsi="Times New Roman" w:eastAsia="Times New Roman"/>
                <w:sz w:val="17"/>
              </w:rPr>
              <w:t xml:space="preserve">; </w:t>
            </w:r>
            <w:r>
              <w:rPr>
                <w:rFonts w:ascii="Courier New" w:hAnsi="Courier New" w:eastAsia="Courier New"/>
                <w:sz w:val="17"/>
              </w:rPr>
              <w:t>logs/controlled_arithmetic/run-llama3b-20260802/</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(paired, call-level repeatability)</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GAIA2-mini prompt comparison (Round 16)</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logs/gaia2_baselines/compare_gaia2_v2.json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 (expected-action match)</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no</w:t>
            </w:r>
            <w:r>
              <w:rPr>
                <w:rFonts w:ascii="Times New Roman" w:hAnsi="Times New Roman" w:eastAsia="Times New Roman"/>
                <w:sz w:val="17"/>
              </w:rPr>
              <w:t xml:space="preserve"> (result JSON only)</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SFT Round 20</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experiments/eval_round20_sft.py</w:t>
            </w:r>
            <w:r>
              <w:rPr>
                <w:rFonts w:ascii="Times New Roman" w:hAnsi="Times New Roman" w:eastAsia="Times New Roman"/>
                <w:sz w:val="17"/>
              </w:rPr>
              <w:t xml:space="preserve">; </w:t>
            </w:r>
            <w:r>
              <w:rPr>
                <w:rFonts w:ascii="Courier New" w:hAnsi="Courier New" w:eastAsia="Courier New"/>
                <w:sz w:val="17"/>
              </w:rPr>
              <w:t>data/sft_round20/</w:t>
            </w:r>
            <w:r>
              <w:rPr>
                <w:rFonts w:ascii="Times New Roman" w:hAnsi="Times New Roman" w:eastAsia="Times New Roman"/>
                <w:sz w:val="17"/>
              </w:rPr>
              <w:t xml:space="preserve">, </w:t>
            </w:r>
            <w:r>
              <w:rPr>
                <w:rFonts w:ascii="Courier New" w:hAnsi="Courier New" w:eastAsia="Courier New"/>
                <w:sz w:val="17"/>
              </w:rPr>
              <w:t>logs/sft_round20/</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Safety gate</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experiments/stress_safety_gate.py</w:t>
            </w:r>
            <w:r>
              <w:rPr>
                <w:rFonts w:ascii="Times New Roman" w:hAnsi="Times New Roman" w:eastAsia="Times New Roman"/>
                <w:sz w:val="17"/>
              </w:rPr>
              <w:t xml:space="preserve">; </w:t>
            </w:r>
            <w:r>
              <w:rPr>
                <w:rFonts w:ascii="Courier New" w:hAnsi="Courier New" w:eastAsia="Courier New"/>
                <w:sz w:val="17"/>
              </w:rPr>
              <w:t>logs/safety_gate/</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L4 policy</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experiments/redteam/l4_redteam.py</w:t>
            </w:r>
            <w:r>
              <w:rPr>
                <w:rFonts w:ascii="Times New Roman" w:hAnsi="Times New Roman" w:eastAsia="Times New Roman"/>
                <w:sz w:val="17"/>
              </w:rPr>
              <w:t xml:space="preserve">; </w:t>
            </w:r>
            <w:r>
              <w:rPr>
                <w:rFonts w:ascii="Courier New" w:hAnsi="Courier New" w:eastAsia="Courier New"/>
                <w:sz w:val="17"/>
              </w:rPr>
              <w:t>logs/redteam/</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bl>
    <w:p>
      <w:pPr>
        <w:spacing w:after="40"/>
      </w:pPr>
    </w:p>
    <w:p>
      <w:r>
        <w:rPr>
          <w:rFonts w:ascii="Times New Roman" w:hAnsi="Times New Roman" w:eastAsia="Times New Roman"/>
          <w:sz w:val="21"/>
        </w:rPr>
        <w:t>The ledger in Section 4.5 and this table are the provenance summary. Entries marked "no" or "n/a" are retained as exploratory or descriptive only and are not used for inferential claims.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