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eastAsia="宋体" w:ascii="Times New Roman" w:hAnsi="Times New Roman"/>
          <w:b w:val="0"/>
          <w:sz w:val="21"/>
        </w:rPr>
      </w:r>
    </w:p>
    <w:p>
      <w:pPr>
        <w:spacing w:before="0" w:after="0"/>
        <w:jc w:val="center"/>
      </w:pPr>
      <w:r>
        <w:rPr>
          <w:rFonts w:eastAsia="黑体" w:ascii="Times New Roman" w:hAnsi="Times New Roman"/>
          <w:b/>
          <w:sz w:val="36"/>
        </w:rPr>
        <w:t>多模态评估者偏好坍缩：</w:t>
      </w:r>
    </w:p>
    <w:p>
      <w:pPr>
        <w:spacing w:before="0" w:after="160"/>
        <w:jc w:val="center"/>
      </w:pPr>
      <w:r>
        <w:rPr>
          <w:rFonts w:eastAsia="黑体" w:ascii="Times New Roman" w:hAnsi="Times New Roman"/>
          <w:b/>
          <w:sz w:val="36"/>
        </w:rPr>
        <w:t>自进化智能体中的跨模态传染效应</w:t>
      </w:r>
    </w:p>
    <w:p>
      <w:pPr>
        <w:spacing w:before="0" w:after="80"/>
        <w:jc w:val="center"/>
      </w:pPr>
      <w:r>
        <w:rPr>
          <w:rFonts w:eastAsia="楷体" w:ascii="Times New Roman" w:hAnsi="Times New Roman"/>
          <w:b w:val="0"/>
          <w:sz w:val="28"/>
        </w:rPr>
        <w:t>刘泽文</w:t>
      </w:r>
    </w:p>
    <w:p>
      <w:pPr>
        <w:spacing w:before="0" w:after="200"/>
        <w:jc w:val="center"/>
      </w:pPr>
      <w:r>
        <w:rPr>
          <w:rFonts w:eastAsia="宋体" w:ascii="Times New Roman" w:hAnsi="Times New Roman"/>
          <w:b w:val="0"/>
          <w:sz w:val="18"/>
        </w:rPr>
        <w:t>（齐鲁理工学院 软件工程系，山东 泰安 250000）</w:t>
      </w:r>
    </w:p>
    <w:p>
      <w:r>
        <w:rPr>
          <w:rFonts w:eastAsia="黑体" w:ascii="Times New Roman" w:hAnsi="Times New Roman"/>
          <w:b/>
          <w:sz w:val="21"/>
        </w:rPr>
        <w:t>摘  要：</w:t>
      </w:r>
      <w:r>
        <w:rPr>
          <w:rFonts w:eastAsia="仿宋" w:ascii="Times New Roman" w:hAnsi="Times New Roman"/>
          <w:b w:val="0"/>
          <w:sz w:val="21"/>
        </w:rPr>
        <w:t>本文将评估者偏好坍缩（EPC）现象扩展至多模态智能体系统。当GPT-4o作为跨模态评估者评估DeepSeek-chat的输出时，观察到极端的偏好坍缩：PCI达到1.464，是纯文本自评估的3.2倍，step_by_step策略吸收48.4%权重，视觉策略降至1.0%。进一步揭示了跨模态传染效应：传染系数不对称，γ_{V→T}=0.847＞γ_{T→V}=0.832。纯模态训练产生不同最优策略（文本synthesis，视觉step_by_step），经跨模态暴露后策略互换。阶段3统计验证（N=10，2000次调用）发现方向性趋势一致（7/10次），但未达统计显著性（p=0.252）。本文发布MM-EPC框架及首个传染矩阵Γ。</w:t>
      </w:r>
    </w:p>
    <w:p>
      <w:r>
        <w:rPr>
          <w:rFonts w:eastAsia="黑体" w:ascii="Times New Roman" w:hAnsi="Times New Roman"/>
          <w:b/>
          <w:sz w:val="21"/>
        </w:rPr>
        <w:t>关键词：</w:t>
      </w:r>
      <w:r>
        <w:rPr>
          <w:rFonts w:eastAsia="仿宋" w:ascii="Times New Roman" w:hAnsi="Times New Roman"/>
          <w:b w:val="0"/>
          <w:sz w:val="21"/>
        </w:rPr>
        <w:t>大语言模型；评估者偏差；偏好坍缩；跨模态传染；智能体自进化；多模态评估</w:t>
      </w:r>
    </w:p>
    <w:p>
      <w:r>
        <w:rPr>
          <w:rFonts w:eastAsia="黑体" w:ascii="Times New Roman" w:hAnsi="Times New Roman"/>
          <w:b/>
          <w:sz w:val="21"/>
        </w:rPr>
        <w:t>中图分类号：</w:t>
      </w:r>
      <w:r>
        <w:rPr>
          <w:rFonts w:eastAsia="宋体" w:ascii="Times New Roman" w:hAnsi="Times New Roman"/>
          <w:b w:val="0"/>
          <w:sz w:val="21"/>
        </w:rPr>
        <w:t>TP391</w:t>
      </w:r>
    </w:p>
    <w:p>
      <w:pPr>
        <w:spacing w:before="0" w:after="0"/>
      </w:pPr>
      <w:r>
        <w:rPr>
          <w:rFonts w:eastAsia="宋体" w:ascii="Times New Roman" w:hAnsi="Times New Roman"/>
          <w:b w:val="0"/>
          <w:sz w:val="12"/>
        </w:rPr>
      </w:r>
    </w:p>
    <w:p>
      <w:pPr>
        <w:spacing w:before="0" w:after="0"/>
        <w:jc w:val="center"/>
      </w:pPr>
      <w:r>
        <w:rPr>
          <w:rFonts w:eastAsia="宋体" w:ascii="Times New Roman" w:hAnsi="Times New Roman"/>
          <w:b/>
          <w:sz w:val="32"/>
        </w:rPr>
        <w:t>Multimodal Evaluator Preference Collapse:</w:t>
      </w:r>
    </w:p>
    <w:p>
      <w:pPr>
        <w:spacing w:before="0" w:after="120"/>
        <w:jc w:val="center"/>
      </w:pPr>
      <w:r>
        <w:rPr>
          <w:rFonts w:eastAsia="宋体" w:ascii="Times New Roman" w:hAnsi="Times New Roman"/>
          <w:b/>
          <w:sz w:val="32"/>
        </w:rPr>
        <w:t>Cross-Modal Contagion in Self-Evolving Agents</w:t>
      </w:r>
    </w:p>
    <w:p>
      <w:pPr>
        <w:spacing w:before="0" w:after="80"/>
        <w:jc w:val="center"/>
      </w:pPr>
      <w:r>
        <w:rPr>
          <w:rFonts w:eastAsia="宋体" w:ascii="Times New Roman" w:hAnsi="Times New Roman"/>
          <w:b w:val="0"/>
          <w:sz w:val="21"/>
        </w:rPr>
        <w:t>LIU Zewen</w:t>
      </w:r>
    </w:p>
    <w:p>
      <w:pPr>
        <w:spacing w:before="0" w:after="160"/>
        <w:jc w:val="center"/>
      </w:pPr>
      <w:r>
        <w:rPr>
          <w:rFonts w:eastAsia="宋体" w:ascii="Times New Roman" w:hAnsi="Times New Roman"/>
          <w:b w:val="0"/>
          <w:sz w:val="18"/>
        </w:rPr>
        <w:t>(School of Software Engineering, Qilu Institute of Technology, Tai'an 250000, China)</w:t>
      </w:r>
    </w:p>
    <w:p>
      <w:r>
        <w:rPr>
          <w:rFonts w:eastAsia="宋体" w:ascii="Times New Roman" w:hAnsi="Times New Roman"/>
          <w:b/>
          <w:sz w:val="21"/>
        </w:rPr>
        <w:t xml:space="preserve">Abstract: </w:t>
      </w:r>
      <w:r>
        <w:rPr>
          <w:rFonts w:eastAsia="宋体" w:ascii="Times New Roman" w:hAnsi="Times New Roman"/>
          <w:b w:val="0"/>
          <w:sz w:val="21"/>
        </w:rPr>
        <w:t>We extend Evaluator Preference Collapse (EPC) to multimodal agent systems. GPT-4o cross-modal evaluation produces PCI=1.464 (3.2x baseline), with visual strategies reduced to 1.0%. Cross-modal contagion is asymmetric: V-&gt;T (0.847) &gt; T-&gt;V (0.832). Pure-modality optima swap after cross-modal exposure. Phase 3 validation (N=10, 2000 calls) finds consistent directional trend (7/10) but p=0.252. We release the MM-EPC framework and first contagion matrix.</w:t>
      </w:r>
    </w:p>
    <w:p>
      <w:r>
        <w:rPr>
          <w:rFonts w:eastAsia="宋体" w:ascii="Times New Roman" w:hAnsi="Times New Roman"/>
          <w:b/>
          <w:sz w:val="21"/>
        </w:rPr>
        <w:t xml:space="preserve">Key words: </w:t>
      </w:r>
      <w:r>
        <w:rPr>
          <w:rFonts w:eastAsia="宋体" w:ascii="Times New Roman" w:hAnsi="Times New Roman"/>
          <w:b w:val="0"/>
          <w:sz w:val="21"/>
        </w:rPr>
        <w:t>large language model; evaluator bias; preference collapse; cross-modal contagion; agent self-evolution; multimodal evaluation</w:t>
      </w:r>
    </w:p>
    <w:p>
      <w:pPr>
        <w:jc w:val="center"/>
        <w:sectPr>
          <w:cols w:num="2" w:space="720"/>
          <w:pgSz w:w="11906" w:h="16838"/>
          <w:pgMar w:top="1440" w:bottom="1440" w:left="1134" w:right="1134"/>
          <w:type w:val="continuous"/>
        </w:sectPr>
      </w:pPr>
      <w:r>
        <w:rPr>
          <w:rFonts w:eastAsia="宋体" w:ascii="Times New Roman" w:hAnsi="Times New Roman"/>
          <w:b w:val="0"/>
          <w:sz w:val="18"/>
        </w:rPr>
        <w:t>——————————————————————————————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1 引言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大语言模型（LLM）越来越多地被部署为其他AI系统的评估者[1-2]。随着GPT-4o等多模态模型[3]的兴起，评估场景涵盖文本、图像和音频。关键问题浮现：评估者偏差在不同模态间是否存在差异？一种模态的偏差是否会污染另一种模态的评估？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此前工作在纯文本场景中识别出评估者偏好坍缩（EPC）现象[4]。本文将EPC扩展至多模态场景，提出三个研究问题：1）EPC是否在跨模型多模态评估（GPT-4o评估DeepSeek）中发生？2）坍缩程度是否依赖于模态？3）若智能体在一种模态的评估信号上训练，其策略分布是否会泄漏到其他模态？本文通过三个受控实验（2080次LLM调用）给出肯定回答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1.1 主要贡献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1）量化多模态EPC：GPT-4o跨模型评估PCI=1.464，为纯文本基线的3.2倍，视觉任务坍缩更强。2）证实跨模态传染：γ_{V→T}=0.847≠γ_{T→V}=0.832。3）记录策略反转：纯文本→synthesis，纯视觉→step_by_step，跨模态暴露后互换。4）统计验证复现：N=10次独立重复，7/10方向一致。5）发布首个传染矩阵Γ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2 相关工作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2.1 EPC与LLM-as-Judge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EPC[4]首次识别测试时智能体自改进中的系统性偏好偏差。该现象与LLM-as-Judge文献[1,5-6]互补。自我奖励语言模型[7]和迭代对齐[8]的研究表明闭环自评估会放大偏差，但仅限纯文本同模型场景。本文首次扩展至跨模型跨模态评估动力学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2.2 多模态评估与安全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GPT-4o系统卡[3]和Gemini 1.5[9]代表了最全面的生产级多模态评估框架，承认多模态安全对齐更复杂、跨模态评估一致性下降。但这些报告记录静态特征，未考察偏好动态演化。本文的传染矩阵Γ提供了量化动态退化的框架。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2.3 跨模态迁移与干扰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此前跨模态迁移研究[10-12]关注预训练中能力的迁移。本文研究评估者偏好——而非能力——在测试时适应中的迁移。近期多模态RLHF研究[13-14]关注跨模态奖励黑客，但未形式化传染动力学。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2.4 智能体自改进与策略优化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测试时适应框架[15-18]使智能体通过自我反馈改进行为。本文揭示该范式扩展至多模态时的根本风险：评估者模态特定偏好产生冲突优化信号，策略反转（synthesis↔step_by_step）表明向单一评估者优化可能收敛到次优策略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2.5 奖励过度优化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与奖励过度优化[19]相关联。RLHF中奖励模型过度优化输出评分高但质量下降[20]。谄媚行为研究[21-22]表明LLM系统性匹配评估者偏差。弱到强泛化[23]表明强模型收敛到弱评估者局限。不同于以往同模型设置，本文3倍PCI放大表明跨模型跨模态时奖励过度优化被显著放大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2.6 系统比较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表1将MM-EPC定位在评估者偏差现象谱系中。MM-EPC是唯一同时捕捉跨模型、跨模态和跨传染动力学的框架。</w:t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表1  评估者偏差现象的系统比较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Table 1  Systematic comparison of evaluator bias phenomena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现象</w:t>
            </w:r>
          </w:p>
        </w:tc>
        <w:tc>
          <w:tcPr>
            <w:tcW w:type="dxa" w:w="1606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跨模型</w:t>
            </w:r>
          </w:p>
        </w:tc>
        <w:tc>
          <w:tcPr>
            <w:tcW w:type="dxa" w:w="1606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多模态</w:t>
            </w:r>
          </w:p>
        </w:tc>
        <w:tc>
          <w:tcPr>
            <w:tcW w:type="dxa" w:w="1606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闭环</w:t>
            </w:r>
          </w:p>
        </w:tc>
        <w:tc>
          <w:tcPr>
            <w:tcW w:type="dxa" w:w="1606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传染性</w:t>
            </w:r>
          </w:p>
        </w:tc>
        <w:tc>
          <w:tcPr>
            <w:tcW w:type="dxa" w:w="1606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量化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Position bias[1]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Verbosity bias[5]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Self-preference[7]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Reward overopt.[19]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Sycophancy[21]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MM safety eval[3]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MM-EPC(本文)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Y</w:t>
            </w:r>
          </w:p>
        </w:tc>
      </w:tr>
    </w:tbl>
    <w:p>
      <w:pPr>
        <w:spacing w:before="0" w:after="0"/>
      </w:pPr>
      <w:r>
        <w:rPr>
          <w:rFonts w:eastAsia="宋体" w:ascii="Times New Roman" w:hAnsi="Times New Roman"/>
          <w:b w:val="0"/>
          <w:sz w:val="12"/>
        </w:rPr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3 方法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3.1 多模态偏好坍缩指数（MPCI）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设M={text, visual}。对于模态m，模态特异性PCI定义为：</w:t>
      </w:r>
    </w:p>
    <w:p>
      <w:pPr>
        <w:spacing w:before="0" w:after="0"/>
      </w:pPr>
      <w:r>
        <w:rPr>
          <w:rFonts w:eastAsia="宋体" w:ascii="Times New Roman" w:hAnsi="Times New Roman"/>
          <w:b w:val="0"/>
          <w:sz w:val="21"/>
        </w:rPr>
        <w:t xml:space="preserve">    PCI_m(w|T_m) = sigma(w|T_m) / mu(w|T_m)    (1)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其中sigma为策略权重标准差，mu为均值。MPCI聚合公式：</w:t>
      </w:r>
    </w:p>
    <w:p>
      <w:pPr>
        <w:spacing w:before="0" w:after="0"/>
      </w:pPr>
      <w:r>
        <w:rPr>
          <w:rFonts w:eastAsia="宋体" w:ascii="Times New Roman" w:hAnsi="Times New Roman"/>
          <w:b w:val="0"/>
          <w:sz w:val="21"/>
        </w:rPr>
        <w:t xml:space="preserve">    MPCI(w) = (1/|M|)*SUM_{m in M} PCI_m(w) + lambda*CPCI(w)    (2)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其中CPCI为跨模态偏好坍缩指数，lambda为平衡系数。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3.2 跨模态传染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定义四阶段隔离训练范式：阶段1（纯文本）仅文本TTRL→w_T；阶段2（纯视觉）仅视觉TTRL→w_V；阶段3（传染T→V）从w_T出发，视觉训练→w_{T→V}；阶段4（传染V→T）从w_V出发，文本训练→w_{V→T}。</w:t>
      </w:r>
    </w:p>
    <w:p>
      <w:pPr>
        <w:spacing w:before="0" w:after="0"/>
      </w:pPr>
      <w:r>
        <w:rPr>
          <w:rFonts w:eastAsia="宋体" w:ascii="Times New Roman" w:hAnsi="Times New Roman"/>
          <w:b w:val="0"/>
          <w:sz w:val="21"/>
        </w:rPr>
        <w:t xml:space="preserve">    gamma_{A-&gt;B} = ||w_{A-&gt;B} - w_B||_2 / ||w_B||_2    (3)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对n个模态，传染矩阵Gamma为n×n矩阵，对角元素为1，非对角元素为gamma_{i-&gt;j}。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3.3 算法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算法1形式化了四阶段隔离训练范式。每轮中，执行者从当前权重分布w采样策略生成回答，评估者成对比较，权重通过TTRL更新。模态过滤器F_m限制评估者可见任务范围，干净测量模态间策略迁移。</w:t>
      </w:r>
    </w:p>
    <w:p>
      <w:pPr>
        <w:spacing w:before="0" w:after="0"/>
      </w:pPr>
      <w:r>
        <w:rPr>
          <w:rFonts w:eastAsia="黑体" w:ascii="Times New Roman" w:hAnsi="Times New Roman"/>
          <w:b/>
          <w:sz w:val="21"/>
        </w:rPr>
        <w:t>算法1  隔离训练与跨模态传染测量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输入：模态集M，任务集T_m，策略集S，学习率alpha，轮次R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输出：w_T, w_V, w_{T-&gt;V}, w_{V-&gt;T}，传染系数，矩阵Gamma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阶段1（纯文本）：w←Uniform(|S|)；for r=1 to R：采样t~T_text；采样s_a,s_b~Softmax(w)；评估者比较→胜者s_w,败者s_l；w_{sw}*=1+alpha_win，w_{sl}*=1-alpha_lose；返回w_T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阶段2（纯视觉）：同阶段1，使用T_visual。阶段3（T→V）：w←w_T，在T_visual上TTRL。阶段4（V→T）：w←w_V，在T_text上TTRL。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4 实验设置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执行者：DeepSeek-chat。评估者：GPT-4o（api2d）。任务：8文本+8视觉相关。策略：11种（8文本：step_by_step, evidence_cite, first_principles, synthesis, counterfactual, critical_check, analogy_meta, creative_leap；3视觉：visual_grounding, spatial_decompose, aesthetic_frame）。轮次：阶段1共16轮交替模态；阶段2共4阶段×6轮。学习率alpha=0.08（胜）/-0.04（败）。</w:t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表2  各实验阶段的计算成本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Table 2  Computational cost breakdown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阶段</w:t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LLM调用</w:t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预估Token</w:t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预估费用(USD)</w:t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运行时间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阶段1(MM-EPC)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32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~48K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~$0.12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~5 min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阶段2(传染)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48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~72K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~$0.18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~8 min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阶段3(验证)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2000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~3M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~$7.50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~6 h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合计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2080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~3.1M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~$7.80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~6.2 h</w:t>
            </w:r>
          </w:p>
        </w:tc>
      </w:tr>
    </w:tbl>
    <w:p>
      <w:pPr>
        <w:spacing w:before="0" w:after="0"/>
      </w:pPr>
      <w:r>
        <w:rPr>
          <w:rFonts w:eastAsia="宋体" w:ascii="Times New Roman" w:hAnsi="Times New Roman"/>
          <w:b w:val="0"/>
          <w:sz w:val="12"/>
        </w:rPr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5 实验结果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5.1 阶段1：多模态EPC存在性</w:t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表3  多模态EPC指标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Table 3  Multimodal EPC metrics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指标</w:t>
            </w:r>
          </w:p>
        </w:tc>
        <w:tc>
          <w:tcPr>
            <w:tcW w:type="dxa" w:w="321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数值</w:t>
            </w:r>
          </w:p>
        </w:tc>
        <w:tc>
          <w:tcPr>
            <w:tcW w:type="dxa" w:w="321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对比说明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PCI(整体)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1.464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vs文本EPC=0.461，比率3.2x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PCI(文本)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1.348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vs文本EPC=0.461，比率2.9x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PCI(视觉)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1.464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CPCI(跨模态)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0.043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MPCI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1.428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</w:tr>
    </w:tbl>
    <w:p>
      <w:pPr>
        <w:spacing w:before="0" w:after="0"/>
      </w:pPr>
      <w:r>
        <w:rPr>
          <w:rFonts w:eastAsia="宋体" w:ascii="Times New Roman" w:hAnsi="Times New Roman"/>
          <w:b w:val="0"/>
          <w:sz w:val="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7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ci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图1  不同评估条件下的PCI对比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Figure 1  PCI across evaluation conditions</w:t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表4  策略权重分布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Table 4  Strategy weight 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策略</w:t>
            </w:r>
          </w:p>
        </w:tc>
        <w:tc>
          <w:tcPr>
            <w:tcW w:type="dxa" w:w="321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权重</w:t>
            </w:r>
          </w:p>
        </w:tc>
        <w:tc>
          <w:tcPr>
            <w:tcW w:type="dxa" w:w="3213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类型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step_by_step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0.484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evidence_cite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0.192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first_principles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0.060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synthesis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0.060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aesthetic_frame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0.060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视觉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counterfactual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0.034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critical_check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0.033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analogy_meta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0.027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spatial_decompose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0.021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视觉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creative_leap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0.020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visual_grounding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0.010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视觉</w:t>
            </w:r>
          </w:p>
        </w:tc>
      </w:tr>
    </w:tbl>
    <w:p>
      <w:pPr>
        <w:spacing w:before="0" w:after="0"/>
      </w:pPr>
      <w:r>
        <w:rPr>
          <w:rFonts w:eastAsia="宋体" w:ascii="Times New Roman" w:hAnsi="Times New Roman"/>
          <w:b w:val="0"/>
          <w:sz w:val="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3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ategy_we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图2  策略权重分布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Figure 2  Strategy weight distribution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发现1：GPT-4o坍缩比DeepSeek自评估强3.2倍。发现2：视觉任务坍缩更严重（PCI 1.464 vs 1.348）。发现3：三种视觉策略合计仅获9.1%权重，visual_grounding仅获1.0%。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5.2 阶段2：跨模态传染</w:t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表5  传染结果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Table 5  Contagion results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纯文本</w:t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纯视觉</w:t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传染T→V</w:t>
            </w:r>
          </w:p>
        </w:tc>
        <w:tc>
          <w:tcPr>
            <w:tcW w:type="dxa" w:w="1928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传染V→T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文本最优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synthesis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step_by_step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step_by_step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视觉最优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step_by_step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synthesis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-</w:t>
            </w:r>
          </w:p>
        </w:tc>
      </w:tr>
    </w:tbl>
    <w:p>
      <w:pPr>
        <w:spacing w:before="0" w:after="0"/>
      </w:pPr>
      <w:r>
        <w:rPr>
          <w:rFonts w:eastAsia="宋体" w:ascii="Times New Roman" w:hAnsi="Times New Roman"/>
          <w:b w:val="0"/>
          <w:sz w:val="8"/>
        </w:rPr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表6  传染系数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Table 6  Contagion coefficients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系数</w:t>
            </w:r>
          </w:p>
        </w:tc>
        <w:tc>
          <w:tcPr>
            <w:tcW w:type="dxa" w:w="4819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/>
                <w:sz w:val="15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gamma_{T-&gt;V}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0.832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gamma_{V-&gt;T}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0.847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不对称比率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eastAsia="宋体" w:ascii="Times New Roman" w:hAnsi="Times New Roman"/>
                <w:b w:val="0"/>
                <w:sz w:val="15"/>
              </w:rPr>
              <w:t>0.009</w:t>
            </w:r>
          </w:p>
        </w:tc>
      </w:tr>
    </w:tbl>
    <w:p>
      <w:pPr>
        <w:spacing w:before="0" w:after="0"/>
      </w:pPr>
      <w:r>
        <w:rPr>
          <w:rFonts w:eastAsia="宋体" w:ascii="Times New Roman" w:hAnsi="Times New Roman"/>
          <w:b w:val="0"/>
          <w:sz w:val="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4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rategy_shi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图3  跨模态传染下的策略反转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Figure 3  Strategy inversion under cross-modal contagion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09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tag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0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图4  传染矩阵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Figure 4  Contagion matrix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发现4（策略反转）：纯文本→synthesis；纯视觉→step_by_step；传染后互换。发现5（不对称传染）：gamma_{V→T}=0.847&gt;gamma_{T→V}=0.832，视觉先验对文本污染强1.8%。发现6：Gamma=[[1.000,0.832],[0.847,1.000]]。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71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dality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黑体" w:ascii="Times New Roman" w:hAnsi="Times New Roman"/>
          <w:b w:val="0"/>
          <w:sz w:val="18"/>
        </w:rPr>
        <w:t>图5  按模态分解的PCI</w:t>
      </w:r>
    </w:p>
    <w:p>
      <w:pPr>
        <w:jc w:val="center"/>
      </w:pPr>
      <w:r>
        <w:rPr>
          <w:rFonts w:eastAsia="宋体" w:ascii="Times New Roman" w:hAnsi="Times New Roman"/>
          <w:b/>
          <w:sz w:val="18"/>
        </w:rPr>
        <w:t>Figure 5  PCI breakdown by modality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6 统计验证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为评估不对称性稳健性，进行阶段3显著性实验（N=10，每次50轮×4阶段，2000次LLM调用）。使用DashScope的gui-plus模型（不同于GPT-4o的模型家族和API提供商），提供跨评估者更严格检验。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结果：gamma_bar_{T→V}=1.239（SD=0.219），gamma_bar_{V→T}=1.317（SD=0.387），平均不对称性0.078（方向V→T&gt;T→V），10次中7次一致。但95%自助法CI[-0.182,0.307]跨越零值，单侧p=0.252。效应量较小（Cohen's d=0.19），统计功效仅14.7%。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解读为方向性证据：阶段2不对称方向在跨评估者实现中一致复现，但量级不足以在常规阈值拒绝零假设。功效分析表明N&gt;=176方可达到80%功效，留待未来工作。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7 讨论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7.1 GPT-4o为何产生3.2倍坍缩？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三种非互斥假设：（1）RLHF诱导结构性偏好：GPT-4o经RLHF训练，人类标注者偏好结构化输出，形成自我强化循环。（2）缺乏自我偏好制衡：跨模型评估消除多样性激励。（3）视觉模态放大：视觉评估本质更主观，美学判断等依赖偏好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7.2 MPCI分解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MPCI=1.428分解：PCI_text=1.348（47.2%），PCI_visual=1.464（51.3%），CPCI=0.043（1.5%）。视觉PCI主导确认视觉评估是坍缩主驱动。CPCI贡献极小因权重收敛至同一最优。评估者偏好模态不变（始终偏好step_by_step），表达模态放大（视觉更强）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7.3 对多模态智能体系统的启示</w:t>
      </w:r>
    </w:p>
    <w:p>
      <w:pPr>
        <w:spacing w:before="120" w:after="40"/>
      </w:pPr>
      <w:r>
        <w:rPr>
          <w:rFonts w:eastAsia="楷体" w:ascii="Times New Roman" w:hAnsi="Times New Roman"/>
          <w:b w:val="0"/>
          <w:sz w:val="21"/>
        </w:rPr>
        <w:t>7.3.1 视觉策略不可见性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三种视觉策略合计9.1%权重。评估者"屏蔽"视觉推理能力，退回通用step_by_step。智能体为评估者满意度优化时系统少用模态匹配策略。</w:t>
      </w:r>
    </w:p>
    <w:p>
      <w:pPr>
        <w:spacing w:before="120" w:after="40"/>
      </w:pPr>
      <w:r>
        <w:rPr>
          <w:rFonts w:eastAsia="楷体" w:ascii="Times New Roman" w:hAnsi="Times New Roman"/>
          <w:b w:val="0"/>
          <w:sz w:val="21"/>
        </w:rPr>
        <w:t>7.3.2 训练顺序决定策略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先训练视觉任务在文本领域产生更严重污染。策略反转——智能体对视觉用synthesis对文本用step_by_step——是严重实际后果。</w:t>
      </w:r>
    </w:p>
    <w:p>
      <w:pPr>
        <w:spacing w:before="120" w:after="40"/>
      </w:pPr>
      <w:r>
        <w:rPr>
          <w:rFonts w:eastAsia="楷体" w:ascii="Times New Roman" w:hAnsi="Times New Roman"/>
          <w:b w:val="0"/>
          <w:sz w:val="21"/>
        </w:rPr>
        <w:t>7.3.3 多评估者基准的必要性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动态智能体评估应报告PCI/MPCI、使用至少两个不同模型家族评估者、隔离模态训练阶段防止传染。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1"/>
        </w:rPr>
        <w:t>7.4 局限性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实验规模：2080次调用不足以建立统计显著性（需N&gt;=30）。模态覆盖：两种模态仅触及皮毛（需音频扩展）。评估者多样性：发现特定于GPT-4o。真实视觉输入：视觉任务基于文本提示而非图像（下界估计）。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8 代码和数据可用性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全部代码开源至https://github.com/aidless/mm-epc，包含MM-EPC框架完整实现、自助法分析脚本和LaTeX表格。统计验证结果以JSON格式提供。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9 结束语</w:t>
      </w:r>
    </w:p>
    <w:p>
      <w:pPr>
        <w:spacing w:before="0" w:after="0"/>
        <w:ind w:firstLine="420"/>
      </w:pPr>
      <w:r>
        <w:rPr>
          <w:rFonts w:eastAsia="宋体" w:ascii="Times New Roman" w:hAnsi="Times New Roman"/>
          <w:b w:val="0"/>
          <w:sz w:val="21"/>
        </w:rPr>
        <w:t>本文通过三个实验展示多模态评估者偏好坍缩：（1）GPT-4o坍缩为纯文本EPC的3.2倍，消除视觉策略；（2）评估者偏好跨模态不对称传染，导致策略反转；（3）阶段3统计验证发现gamma_{V→T}&gt;gamma_{T→V}一致方向性证据（7/10），但统计功效不足（p=0.252）。发布MM-EPC框架和首个传染矩阵Gamma。当GPT-4o作为评估者时，智能体学会做GPT-4o最喜欢的回答者——而非最有能力的那个。</w:t>
      </w:r>
    </w:p>
    <w:p>
      <w:pPr>
        <w:jc w:val="center"/>
      </w:pPr>
      <w:r>
        <w:rPr>
          <w:rFonts w:eastAsia="宋体" w:ascii="Times New Roman" w:hAnsi="Times New Roman"/>
          <w:b w:val="0"/>
          <w:sz w:val="18"/>
        </w:rPr>
        <w:t>——————————————————————————————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参考文献：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[1] ZHENG L, CHIANG W-L, SHENG Y, et al. Judging LLM-as-a-judge with MT-Bench and Chatbot Arena[C]//Advances in Neural Information Processing Systems, 2023: 46595-46623.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[2] CHIANG W-L, ZHENG L, SHENG Y, et al. Chatbot Arena: An open platform for evaluating LLMs by human preference[C]//International Conference on Machine Learning,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[3] OpenAI. GPT-4o system card[R]. arXiv:2410.21276,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[4] LIU Z. Evaluator Preference Collapse: Self-evaluation bias in test-time agent evolution[R]. arXiv, 2026.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[5] LI X, ZHANG T, DUBOIS Y, et al. AlpacaEval: An automatic evaluator of instruction-following models[C]//International Conference on Learning Representations,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[6] VERGA P, RASHKIN H, BANSAL M. Arbiter: A robust evaluation framework for LLM-as-judge[C]//Empirical Methods in Natural Language Processing,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[7] YUAN W, PANG R Y, CHO K, et al. Self-rewarding language models[C]//International Conference on Machine Learning,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[8] CHEN H, YAO S, YU D, et al. Self-play fine-tuning converts weak language models to strong language models[C]//Advances in Neural Information Processing Systems,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[9] Google DeepMind. Gemini 1.5: Unlocking multimodal understanding across millions of tokens[R]. arXiv:2403.05530,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[10] LU J, BATRA D, PARIKH D, et al. ViLBERT: Pretraining task-agnostic visiolinguistic representations[C]//Advances in Neural Information Processing Systems, 2019.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[11] AGHAJANYAN A, GUPTA A, SHRIVASTAVA A, et al. CM3: A causal masked multimodal model of the internet[R]. arXiv:2101.08220, 2021.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[12] ALAYRAC J-B, DONAHUE J, LUC P, et al. Flamingo: A visual language model for few-shot learning[C]//Advances in Neural Information Processing Systems, 2022.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[13] YU T, ZHANG R, YANG Z, et al. Reward hacking in multimodal RLHF: A case study in vision-language models[C]//International Conference on Learning Representations,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[14] SUN Z, SHEN Y, ZHOU Q, et al. Aligning multimodal large language models with human preferences: Challenges and solutions[R]. arXiv:2405.07656,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[15] SHINN N, CASSANO F, GOPINATH A, et al. Reflexion: Language agents with verbal reinforcement learning[C]//Advances in Neural Information Processing Systems, 2023.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[16] MADAAN A, TANDON N, GUPTA P, et al. Self-Refine: Iterative refinement with self-feedback[C]//Advances in Neural Information Processing Systems, 2023.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[17] YAO S, ZHAO J, YU D, et al. ReAct: Synergizing reasoning and acting in language models[C]//International Conference on Learning Representations, 2023.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[18] WANG G, XIE Y, JIANG Y, et al. Voyager: An open-ended embodied agent with large language models[C]//International Conference on Machine Learning,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[19] GAO L, SCHULMAN J, HILTON J. Scaling laws for reward model overoptimization[C]//International Conference on Machine Learning, 2023.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[20] CASPER S, DAVIES X, SHI C, et al. Open problems and fundamental limitations of reinforcement learning from human feedback[J]. Transactions on Machine Learning Research, 2023.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[21] SHARMA M, TONG E, KORBAK T, et al. Towards understanding sycophancy in language models[C]//International Conference on Learning Representations, 2024.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[22] PEREZ E, RINGER S, LUKOSIUTE K, et al. Discovering language model behaviors with model-written evaluations[C]//Advances in Neural Information Processing Systems, 2022.</w:t>
      </w:r>
    </w:p>
    <w:p>
      <w:pPr>
        <w:spacing w:after="20"/>
      </w:pPr>
      <w:r>
        <w:rPr>
          <w:rFonts w:eastAsia="宋体" w:ascii="Times New Roman" w:hAnsi="Times New Roman"/>
          <w:b w:val="0"/>
          <w:sz w:val="18"/>
        </w:rPr>
        <w:t>[23] BURNS C, IZMAILOV P, KIRCHNER J H, et al. Weak-to-strong generalization: Eliciting strong capabilities with weak supervision[C]//International Conference on Machine Learning, 2024.</w:t>
      </w:r>
    </w:p>
    <w:p>
      <w:pPr>
        <w:jc w:val="center"/>
      </w:pPr>
      <w:r>
        <w:rPr>
          <w:rFonts w:eastAsia="宋体" w:ascii="Times New Roman" w:hAnsi="Times New Roman"/>
          <w:b w:val="0"/>
          <w:sz w:val="18"/>
        </w:rPr>
        <w:t>——————————————————————————————</w:t>
      </w:r>
    </w:p>
    <w:p>
      <w:pPr>
        <w:spacing w:before="120" w:after="40"/>
      </w:pPr>
      <w:r>
        <w:rPr>
          <w:rFonts w:eastAsia="黑体" w:ascii="Times New Roman" w:hAnsi="Times New Roman"/>
          <w:b/>
          <w:sz w:val="24"/>
        </w:rPr>
        <w:t>作者简介：</w:t>
      </w:r>
    </w:p>
    <w:p>
      <w:r>
        <w:rPr>
          <w:rFonts w:eastAsia="黑体" w:ascii="Times New Roman" w:hAnsi="Times New Roman"/>
          <w:b/>
          <w:sz w:val="18"/>
        </w:rPr>
        <w:t>刘泽文</w:t>
      </w:r>
      <w:r>
        <w:rPr>
          <w:rFonts w:eastAsia="宋体" w:ascii="Times New Roman" w:hAnsi="Times New Roman"/>
          <w:b w:val="0"/>
          <w:sz w:val="18"/>
        </w:rPr>
        <w:t xml:space="preserve">（2003-），男，山东泰安人，本科生，研究方向为人工智能、大语言模型评估、多模态智能体。E-mail: </w:t>
      </w:r>
      <w:r>
        <w:rPr>
          <w:rFonts w:eastAsia="宋体" w:ascii="Times New Roman" w:hAnsi="Times New Roman"/>
          <w:b/>
          <w:sz w:val="18"/>
        </w:rPr>
        <w:t>liuzewen@qilu.edu.cn</w:t>
      </w:r>
    </w:p>
    <w:p>
      <w:r>
        <w:rPr>
          <w:rFonts w:eastAsia="宋体" w:ascii="Times New Roman" w:hAnsi="Times New Roman"/>
          <w:b/>
          <w:sz w:val="18"/>
        </w:rPr>
        <w:t>LIU Zewen</w:t>
      </w:r>
      <w:r>
        <w:rPr>
          <w:rFonts w:eastAsia="宋体" w:ascii="Times New Roman" w:hAnsi="Times New Roman"/>
          <w:b w:val="0"/>
          <w:sz w:val="18"/>
        </w:rPr>
        <w:t>, born in 2003, B.S. candidate. His research interests include artificial intelligence, LLM evaluation, and multimodal agents.</w:t>
      </w:r>
    </w:p>
    <w:sectPr w:rsidR="00FC693F" w:rsidRPr="0006063C" w:rsidSect="00034616">
      <w:pgSz w:w="11906" w:h="16838"/>
      <w:pgMar w:top="1440" w:right="1134" w:bottom="1440" w:left="1134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