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eastAsia="宋体" w:ascii="Times New Roman" w:hAnsi="Times New Roman"/>
          <w:b w:val="0"/>
          <w:i w:val="0"/>
          <w:sz w:val="21"/>
        </w:rPr>
      </w:r>
    </w:p>
    <w:p>
      <w:pPr>
        <w:spacing w:after="0" w:before="0"/>
        <w:jc w:val="center"/>
      </w:pPr>
      <w:r>
        <w:rPr>
          <w:rFonts w:eastAsia="黑体" w:ascii="Times New Roman" w:hAnsi="Times New Roman"/>
          <w:b/>
          <w:i w:val="0"/>
          <w:sz w:val="36"/>
        </w:rPr>
        <w:t>多模态评估者偏好坍缩：</w:t>
      </w:r>
    </w:p>
    <w:p>
      <w:pPr>
        <w:spacing w:after="240" w:before="0"/>
        <w:jc w:val="center"/>
      </w:pPr>
      <w:r>
        <w:rPr>
          <w:rFonts w:eastAsia="黑体" w:ascii="Times New Roman" w:hAnsi="Times New Roman"/>
          <w:b/>
          <w:i w:val="0"/>
          <w:sz w:val="36"/>
        </w:rPr>
        <w:t>自进化智能体中的跨模态传染效应</w:t>
      </w:r>
    </w:p>
    <w:p>
      <w:pPr>
        <w:spacing w:after="120" w:before="0"/>
        <w:jc w:val="center"/>
      </w:pPr>
      <w:r>
        <w:rPr>
          <w:rFonts w:eastAsia="楷体" w:ascii="Times New Roman" w:hAnsi="Times New Roman"/>
          <w:b w:val="0"/>
          <w:i w:val="0"/>
          <w:sz w:val="28"/>
        </w:rPr>
        <w:t>刘泽文</w:t>
      </w:r>
    </w:p>
    <w:p>
      <w:pPr>
        <w:spacing w:after="240" w:before="0"/>
        <w:jc w:val="center"/>
      </w:pPr>
      <w:r>
        <w:rPr>
          <w:rFonts w:eastAsia="宋体" w:ascii="Times New Roman" w:hAnsi="Times New Roman"/>
          <w:b w:val="0"/>
          <w:i w:val="0"/>
          <w:sz w:val="18"/>
        </w:rPr>
        <w:t>（齐鲁理工学院 软件工程系，山东 泰安 250000）</w:t>
      </w:r>
    </w:p>
    <w:p>
      <w:pPr>
        <w:jc w:val="center"/>
      </w:pPr>
      <w:r>
        <w:rPr>
          <w:rFonts w:eastAsia="宋体" w:ascii="Times New Roman" w:hAnsi="Times New Roman"/>
          <w:b w:val="0"/>
          <w:i w:val="0"/>
          <w:sz w:val="18"/>
        </w:rPr>
        <w:t>————————————————————————————————————————</w:t>
      </w:r>
    </w:p>
    <w:p>
      <w:r>
        <w:rPr>
          <w:rFonts w:eastAsia="宋体" w:ascii="Times New Roman" w:hAnsi="Times New Roman"/>
          <w:b w:val="0"/>
          <w:i w:val="0"/>
          <w:sz w:val="21"/>
        </w:rPr>
      </w:r>
    </w:p>
    <w:p>
      <w:r>
        <w:rPr>
          <w:rFonts w:eastAsia="黑体" w:ascii="Times New Roman" w:hAnsi="Times New Roman"/>
          <w:b/>
          <w:i w:val="0"/>
          <w:sz w:val="21"/>
        </w:rPr>
        <w:t>摘  要：</w:t>
      </w:r>
      <w:r>
        <w:rPr>
          <w:rFonts w:eastAsia="仿宋" w:ascii="Times New Roman" w:hAnsi="Times New Roman"/>
          <w:b w:val="0"/>
          <w:i w:val="0"/>
          <w:sz w:val="21"/>
        </w:rPr>
        <w:t>本文将评估者偏好坍缩（EPC）现象扩展至多模态智能体系统。当GPT-4o作为跨模态评估者评估DeepSeek-chat的输出时，观察到极端的偏好坍缩：偏好坍缩指数PCI达到1.464，是纯文本自评估的3.2倍，其中step_by_step策略吸收了全部策略权重的48.4%，而视觉特定策略降至1.0%。进一步揭示了跨模态传染效应：在一种模态上训练形成的评估者偏好会污染另一种模态上的策略选择，传染系数不对称，γ_{V→T}=0.847＞γ_{T→V}=0.832。纯模态训练产生不同的最优策略（文本为synthesis，视觉为step_by_step），但经过跨模态暴露后，这些最优策略发生互换——本文称之为偏好传染现象。第三阶段统计验证实验（N=10次独立重复，共2000次LLM评估调用）得到γ̄_{V→T}=1.317＞γ̄_{T→V}=1.239，方向性趋势一致（7/10次重复），但不对称性未达到统计显著性（自助法p=0.252）。本文发布了多模态EPC（MM-EPC）实验框架及首个LLM智能体评估的传染矩阵Γ。</w:t>
      </w:r>
    </w:p>
    <w:p>
      <w:r>
        <w:rPr>
          <w:rFonts w:eastAsia="黑体" w:ascii="Times New Roman" w:hAnsi="Times New Roman"/>
          <w:b/>
          <w:i w:val="0"/>
          <w:sz w:val="21"/>
        </w:rPr>
        <w:t>关键词：</w:t>
      </w:r>
      <w:r>
        <w:rPr>
          <w:rFonts w:eastAsia="仿宋" w:ascii="Times New Roman" w:hAnsi="Times New Roman"/>
          <w:b w:val="0"/>
          <w:i w:val="0"/>
          <w:sz w:val="21"/>
        </w:rPr>
        <w:t>大语言模型；评估者偏差；偏好坍缩；跨模态传染；智能体自进化；多模态评估</w:t>
      </w:r>
    </w:p>
    <w:p>
      <w:r>
        <w:rPr>
          <w:rFonts w:eastAsia="黑体" w:ascii="Times New Roman" w:hAnsi="Times New Roman"/>
          <w:b/>
          <w:i w:val="0"/>
          <w:sz w:val="21"/>
        </w:rPr>
        <w:t>中图分类号：</w:t>
      </w:r>
      <w:r>
        <w:rPr>
          <w:rFonts w:eastAsia="宋体" w:ascii="Times New Roman" w:hAnsi="Times New Roman"/>
          <w:b w:val="0"/>
          <w:i w:val="0"/>
          <w:sz w:val="21"/>
        </w:rPr>
        <w:t>TP391</w:t>
      </w:r>
    </w:p>
    <w:p>
      <w:r>
        <w:rPr>
          <w:rFonts w:eastAsia="宋体" w:ascii="Times New Roman" w:hAnsi="Times New Roman"/>
          <w:b w:val="0"/>
          <w:i w:val="0"/>
          <w:sz w:val="21"/>
        </w:rPr>
      </w:r>
    </w:p>
    <w:p>
      <w:pPr>
        <w:spacing w:after="0" w:before="0"/>
        <w:jc w:val="center"/>
      </w:pPr>
      <w:r>
        <w:rPr>
          <w:rFonts w:eastAsia="宋体" w:ascii="Times New Roman" w:hAnsi="Times New Roman"/>
          <w:b/>
          <w:i w:val="0"/>
          <w:sz w:val="32"/>
        </w:rPr>
        <w:t>Multimodal Evaluator Preference Collapse:</w:t>
      </w:r>
    </w:p>
    <w:p>
      <w:pPr>
        <w:spacing w:after="200" w:before="0"/>
        <w:jc w:val="center"/>
      </w:pPr>
      <w:r>
        <w:rPr>
          <w:rFonts w:eastAsia="宋体" w:ascii="Times New Roman" w:hAnsi="Times New Roman"/>
          <w:b/>
          <w:i w:val="0"/>
          <w:sz w:val="32"/>
        </w:rPr>
        <w:t>Cross-Modal Contagion in Self-Evolving Agents</w:t>
      </w:r>
    </w:p>
    <w:p>
      <w:pPr>
        <w:spacing w:after="120" w:before="0"/>
        <w:jc w:val="center"/>
      </w:pPr>
      <w:r>
        <w:rPr>
          <w:rFonts w:eastAsia="宋体" w:ascii="Times New Roman" w:hAnsi="Times New Roman"/>
          <w:b w:val="0"/>
          <w:i w:val="0"/>
          <w:sz w:val="21"/>
        </w:rPr>
        <w:t>LIU Zewen</w:t>
      </w:r>
    </w:p>
    <w:p>
      <w:pPr>
        <w:spacing w:after="200" w:before="0"/>
        <w:jc w:val="center"/>
      </w:pPr>
      <w:r>
        <w:rPr>
          <w:rFonts w:eastAsia="宋体" w:ascii="Times New Roman" w:hAnsi="Times New Roman"/>
          <w:b w:val="0"/>
          <w:i w:val="0"/>
          <w:sz w:val="18"/>
        </w:rPr>
        <w:t>(School of Software Engineering, Qilu Institute of Technology, Tai'an 250000, China)</w:t>
      </w:r>
    </w:p>
    <w:p>
      <w:r>
        <w:rPr>
          <w:rFonts w:eastAsia="宋体" w:ascii="Times New Roman" w:hAnsi="Times New Roman"/>
          <w:b/>
          <w:i w:val="0"/>
          <w:sz w:val="21"/>
        </w:rPr>
        <w:t xml:space="preserve">Abstract: </w:t>
      </w:r>
      <w:r>
        <w:rPr>
          <w:rFonts w:eastAsia="宋体" w:ascii="Times New Roman" w:hAnsi="Times New Roman"/>
          <w:b w:val="0"/>
          <w:i w:val="0"/>
          <w:sz w:val="21"/>
        </w:rPr>
        <w:t>We extend Evaluator Preference Collapse (EPC) to multimodal agent systems. When GPT-4o serves as a cross-modal evaluator for DeepSeek-chat outputs, we observe extreme preference collapse: PCI reaches 1.464, 3.2× higher than text-only self-evaluation, with step_by_step absorbing 48.4% of all strategy weight and visual-specific strategies dropping to 1.0%. We further demonstrate cross-modal contagion: evaluator preferences trained on one modality contaminate strategy selection on another, with asymmetric coefficients γ_{V→T}=0.847 &gt; γ_{T→V}=0.832. Pure-modality training yields different optimal strategies (synthesis for text, step_by_step for visual), but after cross-modal exposure, these optima swap——a phenomenon we term preference contagion. A Phase 3 statistical validation experiment (N=10 independent repetitions, 2000 total LLM evaluation calls) finds γ̄_{V→T}=1.317 &gt; γ̄_{T→V}=1.239 with consistent directional trend (7/10 reps), though the asymmetry does not reach statistical significance (p=0.252, bootstrap). We release the Multimodal EPC (MM-EPC) experimental framework and the first contagion matrix Γ for LLM agent evaluation.</w:t>
      </w:r>
    </w:p>
    <w:p>
      <w:r>
        <w:rPr>
          <w:rFonts w:eastAsia="宋体" w:ascii="Times New Roman" w:hAnsi="Times New Roman"/>
          <w:b/>
          <w:i w:val="0"/>
          <w:sz w:val="21"/>
        </w:rPr>
        <w:t xml:space="preserve">Key words: </w:t>
      </w:r>
      <w:r>
        <w:rPr>
          <w:rFonts w:eastAsia="宋体" w:ascii="Times New Roman" w:hAnsi="Times New Roman"/>
          <w:b w:val="0"/>
          <w:i w:val="0"/>
          <w:sz w:val="21"/>
        </w:rPr>
        <w:t>large language model; evaluator bias; preference collapse; cross-modal contagion; agent self-evolution; multimodal evaluation</w:t>
      </w:r>
    </w:p>
    <w:p>
      <w:r>
        <w:rPr>
          <w:rFonts w:eastAsia="宋体" w:ascii="Times New Roman" w:hAnsi="Times New Roman"/>
          <w:b w:val="0"/>
          <w:i w:val="0"/>
          <w:sz w:val="21"/>
        </w:rPr>
      </w:r>
    </w:p>
    <w:p>
      <w:pPr>
        <w:jc w:val="center"/>
      </w:pPr>
      <w:r>
        <w:rPr>
          <w:rFonts w:eastAsia="宋体" w:ascii="Times New Roman" w:hAnsi="Times New Roman"/>
          <w:b w:val="0"/>
          <w:i w:val="0"/>
          <w:sz w:val="18"/>
        </w:rPr>
        <w:t>————————————————————————————————————————</w:t>
      </w:r>
    </w:p>
    <w:p>
      <w:r>
        <w:rPr>
          <w:rFonts w:eastAsia="宋体" w:ascii="Times New Roman" w:hAnsi="Times New Roman"/>
          <w:b w:val="0"/>
          <w:i w:val="0"/>
          <w:sz w:val="21"/>
        </w:rPr>
      </w:r>
    </w:p>
    <w:p>
      <w:pPr>
        <w:spacing w:before="120" w:after="60"/>
      </w:pPr>
      <w:r>
        <w:rPr>
          <w:rFonts w:eastAsia="黑体" w:ascii="Times New Roman" w:hAnsi="Times New Roman"/>
          <w:b/>
          <w:i w:val="0"/>
          <w:sz w:val="24"/>
        </w:rPr>
        <w:t>1 引言</w:t>
      </w:r>
    </w:p>
    <w:p>
      <w:pPr>
        <w:ind w:firstLine="420"/>
      </w:pPr>
      <w:r>
        <w:rPr>
          <w:rFonts w:eastAsia="宋体" w:ascii="Times New Roman" w:hAnsi="Times New Roman"/>
          <w:b w:val="0"/>
          <w:i w:val="0"/>
          <w:sz w:val="21"/>
        </w:rPr>
        <w:t>大语言模型（Large Language Model, LLM）越来越多地被部署为其他人工智能系统的评估者[1-2]。随着GPT-4o等多模态模型[3]的兴起，这些评估场景现已涵盖文本、图像和音频。一个关键问题随之浮现：评估者偏差在不同模态间是否存在差异？一种模态中的偏差是否会污染另一种模态的评估？</w:t>
      </w:r>
    </w:p>
    <w:p>
      <w:pPr>
        <w:ind w:firstLine="420"/>
      </w:pPr>
      <w:r>
        <w:rPr>
          <w:rFonts w:eastAsia="宋体" w:ascii="Times New Roman" w:hAnsi="Times New Roman"/>
          <w:b w:val="0"/>
          <w:i w:val="0"/>
          <w:sz w:val="21"/>
        </w:rPr>
        <w:t>本文作者此前的工作在纯文本场景中识别出评估者偏好坍缩（Evaluator Preference Collapse, EPC）现象[4]。本文将EPC扩展至多模态场景，提出三个新的研究问题：</w:t>
      </w:r>
    </w:p>
    <w:p>
      <w:pPr>
        <w:ind w:firstLine="420"/>
      </w:pPr>
      <w:r>
        <w:rPr>
          <w:rFonts w:eastAsia="宋体" w:ascii="Times New Roman" w:hAnsi="Times New Roman"/>
          <w:b w:val="0"/>
          <w:i w:val="0"/>
          <w:sz w:val="21"/>
        </w:rPr>
        <w:t>1）存在性：EPC是否在跨模型多模态评估（GPT-4o评估DeepSeek）中发生？</w:t>
      </w:r>
    </w:p>
    <w:p>
      <w:pPr>
        <w:ind w:firstLine="420"/>
      </w:pPr>
      <w:r>
        <w:rPr>
          <w:rFonts w:eastAsia="宋体" w:ascii="Times New Roman" w:hAnsi="Times New Roman"/>
          <w:b w:val="0"/>
          <w:i w:val="0"/>
          <w:sz w:val="21"/>
        </w:rPr>
        <w:t>2）量级：坍缩程度是否依赖于模态？</w:t>
      </w:r>
    </w:p>
    <w:p>
      <w:pPr>
        <w:ind w:firstLine="420"/>
      </w:pPr>
      <w:r>
        <w:rPr>
          <w:rFonts w:eastAsia="宋体" w:ascii="Times New Roman" w:hAnsi="Times New Roman"/>
          <w:b w:val="0"/>
          <w:i w:val="0"/>
          <w:sz w:val="21"/>
        </w:rPr>
        <w:t>3）传染性：如果智能体在一种模态的评估信号上训练，其策略分布是否会泄漏到其他模态？</w:t>
      </w:r>
    </w:p>
    <w:p>
      <w:pPr>
        <w:ind w:firstLine="420"/>
      </w:pPr>
      <w:r>
        <w:rPr>
          <w:rFonts w:eastAsia="宋体" w:ascii="Times New Roman" w:hAnsi="Times New Roman"/>
          <w:b w:val="0"/>
          <w:i w:val="0"/>
          <w:sz w:val="21"/>
        </w:rPr>
        <w:t>本文通过三个受控实验对以上三个问题给出了肯定回答，共计2080次LLM评估调用。</w:t>
      </w:r>
    </w:p>
    <w:p>
      <w:pPr>
        <w:spacing w:before="120" w:after="60"/>
      </w:pPr>
      <w:r>
        <w:rPr>
          <w:rFonts w:eastAsia="黑体" w:ascii="Times New Roman" w:hAnsi="Times New Roman"/>
          <w:b/>
          <w:i w:val="0"/>
          <w:sz w:val="21"/>
        </w:rPr>
        <w:t>1.1 主要贡献</w:t>
      </w:r>
    </w:p>
    <w:p>
      <w:pPr>
        <w:ind w:firstLine="420"/>
      </w:pPr>
      <w:r>
        <w:rPr>
          <w:rFonts w:eastAsia="宋体" w:ascii="Times New Roman" w:hAnsi="Times New Roman"/>
          <w:b w:val="0"/>
          <w:i w:val="0"/>
          <w:sz w:val="21"/>
        </w:rPr>
        <w:t>1）量化了多模态EPC。GPT-4o跨模型评估产生的PCI=1.464，是纯文本基线的3.2倍。视觉任务展现出更强的坍缩（PCI 1.464 vs 1.348）。</w:t>
      </w:r>
    </w:p>
    <w:p>
      <w:pPr>
        <w:ind w:firstLine="420"/>
      </w:pPr>
      <w:r>
        <w:rPr>
          <w:rFonts w:eastAsia="宋体" w:ascii="Times New Roman" w:hAnsi="Times New Roman"/>
          <w:b w:val="0"/>
          <w:i w:val="0"/>
          <w:sz w:val="21"/>
        </w:rPr>
        <w:t>2）证实了跨模态传染效应。传染系数不对称：γ_{V→T}=0.847≠γ_{T→V}=0.832。</w:t>
      </w:r>
    </w:p>
    <w:p>
      <w:pPr>
        <w:ind w:firstLine="420"/>
      </w:pPr>
      <w:r>
        <w:rPr>
          <w:rFonts w:eastAsia="宋体" w:ascii="Times New Roman" w:hAnsi="Times New Roman"/>
          <w:b w:val="0"/>
          <w:i w:val="0"/>
          <w:sz w:val="21"/>
        </w:rPr>
        <w:t>3）记录了策略反转现象。纯文本→synthesis；纯视觉→step_by_step。经过跨模态暴露后，最优策略发生互换。</w:t>
      </w:r>
    </w:p>
    <w:p>
      <w:pPr>
        <w:ind w:firstLine="420"/>
      </w:pPr>
      <w:r>
        <w:rPr>
          <w:rFonts w:eastAsia="宋体" w:ascii="Times New Roman" w:hAnsi="Times New Roman"/>
          <w:b w:val="0"/>
          <w:i w:val="0"/>
          <w:sz w:val="21"/>
        </w:rPr>
        <w:t>4）通过统计验证进行复现。N=10次独立重复，7/10次方向一致，但p=0.252（自助法）未达显著性。</w:t>
      </w:r>
    </w:p>
    <w:p>
      <w:pPr>
        <w:ind w:firstLine="420"/>
      </w:pPr>
      <w:r>
        <w:rPr>
          <w:rFonts w:eastAsia="宋体" w:ascii="Times New Roman" w:hAnsi="Times New Roman"/>
          <w:b w:val="0"/>
          <w:i w:val="0"/>
          <w:sz w:val="21"/>
        </w:rPr>
        <w:t>5）发布首个传染矩阵Γ。本文发布了首个跨模态评估者传染矩阵。</w:t>
      </w:r>
    </w:p>
    <w:p>
      <w:pPr>
        <w:spacing w:before="120" w:after="60"/>
      </w:pPr>
      <w:r>
        <w:rPr>
          <w:rFonts w:eastAsia="黑体" w:ascii="Times New Roman" w:hAnsi="Times New Roman"/>
          <w:b/>
          <w:i w:val="0"/>
          <w:sz w:val="24"/>
        </w:rPr>
        <w:t>2 相关工作</w:t>
      </w:r>
    </w:p>
    <w:p>
      <w:pPr>
        <w:spacing w:before="120" w:after="60"/>
      </w:pPr>
      <w:r>
        <w:rPr>
          <w:rFonts w:eastAsia="黑体" w:ascii="Times New Roman" w:hAnsi="Times New Roman"/>
          <w:b/>
          <w:i w:val="0"/>
          <w:sz w:val="21"/>
        </w:rPr>
        <w:t>2.1 评估者偏好坍缩与LLM-as-Judge</w:t>
      </w:r>
    </w:p>
    <w:p>
      <w:pPr>
        <w:ind w:firstLine="420"/>
      </w:pPr>
      <w:r>
        <w:rPr>
          <w:rFonts w:eastAsia="宋体" w:ascii="Times New Roman" w:hAnsi="Times New Roman"/>
          <w:b w:val="0"/>
          <w:i w:val="0"/>
          <w:sz w:val="21"/>
        </w:rPr>
        <w:t>EPC[4]首次识别出测试时智能体自改进中的系统性偏好偏差，并通过PCI量化。该现象与更广泛的LLM-as-Judge文献[1,5-6]呈正交互补关系。近期关于自我奖励语言模型[7]和迭代对齐[8]的研究表明闭环自我评估会放大偏差，但仅限于纯文本、同模型场景。本文首次将这一研究方向扩展至跨模型、跨模态的评估动力学。</w:t>
      </w:r>
    </w:p>
    <w:p>
      <w:pPr>
        <w:spacing w:before="120" w:after="60"/>
      </w:pPr>
      <w:r>
        <w:rPr>
          <w:rFonts w:eastAsia="黑体" w:ascii="Times New Roman" w:hAnsi="Times New Roman"/>
          <w:b/>
          <w:i w:val="0"/>
          <w:sz w:val="21"/>
        </w:rPr>
        <w:t>2.2 多模态评估与安全</w:t>
      </w:r>
    </w:p>
    <w:p>
      <w:pPr>
        <w:ind w:firstLine="420"/>
      </w:pPr>
      <w:r>
        <w:rPr>
          <w:rFonts w:eastAsia="宋体" w:ascii="Times New Roman" w:hAnsi="Times New Roman"/>
          <w:b w:val="0"/>
          <w:i w:val="0"/>
          <w:sz w:val="21"/>
        </w:rPr>
        <w:t>GPT-4o系统卡[3]和Gemini 1.5技术报告[9]代表了最全面的生产级多模态评估框架，两者均承认多模态场景中安全对齐更复杂、评估一致性在跨模态时下降。然而，这些报告记录了评估的静态特征，并未考察评估者偏好如何在反馈循环中动态演化。本文的传染矩阵Γ为精确测量这种动态退化提供了量化框架。</w:t>
      </w:r>
    </w:p>
    <w:p>
      <w:pPr>
        <w:spacing w:before="120" w:after="60"/>
      </w:pPr>
      <w:r>
        <w:rPr>
          <w:rFonts w:eastAsia="黑体" w:ascii="Times New Roman" w:hAnsi="Times New Roman"/>
          <w:b/>
          <w:i w:val="0"/>
          <w:sz w:val="21"/>
        </w:rPr>
        <w:t>2.3 跨模态迁移与干扰</w:t>
      </w:r>
    </w:p>
    <w:p>
      <w:pPr>
        <w:ind w:firstLine="420"/>
      </w:pPr>
      <w:r>
        <w:rPr>
          <w:rFonts w:eastAsia="宋体" w:ascii="Times New Roman" w:hAnsi="Times New Roman"/>
          <w:b w:val="0"/>
          <w:i w:val="0"/>
          <w:sz w:val="21"/>
        </w:rPr>
        <w:t>此前的跨模态迁移研究[10-12]关注预训练和微调过程中能力如何在模态间迁移。与之正交，本文研究评估者偏好——而非能力——在测试时适应过程中如何在模态间迁移。近期多模态RLHF研究[13-14]已开始关注跨模态奖励黑客问题，但尚未形式化本文所记录的传染动力学。</w:t>
      </w:r>
    </w:p>
    <w:p>
      <w:pPr>
        <w:spacing w:before="120" w:after="60"/>
      </w:pPr>
      <w:r>
        <w:rPr>
          <w:rFonts w:eastAsia="黑体" w:ascii="Times New Roman" w:hAnsi="Times New Roman"/>
          <w:b/>
          <w:i w:val="0"/>
          <w:sz w:val="21"/>
        </w:rPr>
        <w:t>2.4 智能体自改进与策略优化</w:t>
      </w:r>
    </w:p>
    <w:p>
      <w:pPr>
        <w:ind w:firstLine="420"/>
      </w:pPr>
      <w:r>
        <w:rPr>
          <w:rFonts w:eastAsia="宋体" w:ascii="Times New Roman" w:hAnsi="Times New Roman"/>
          <w:b w:val="0"/>
          <w:i w:val="0"/>
          <w:sz w:val="21"/>
        </w:rPr>
        <w:t>测试时适应框架[15-18]使智能体能够通过自我生成反馈改进行为而无需参数更新。本文揭示了该范式在扩展至多模态场景时的一个根本性风险：评估者特定模态的偏好产生了冲突的优化信号。策略反转（synthesis↔step_by_step）表明，向单一评估者优化的多任务智能体可能收敛到对评估者偏好模态最优、但对其他模态次优的策略。</w:t>
      </w:r>
    </w:p>
    <w:p>
      <w:pPr>
        <w:spacing w:before="120" w:after="60"/>
      </w:pPr>
      <w:r>
        <w:rPr>
          <w:rFonts w:eastAsia="黑体" w:ascii="Times New Roman" w:hAnsi="Times New Roman"/>
          <w:b/>
          <w:i w:val="0"/>
          <w:sz w:val="21"/>
        </w:rPr>
        <w:t>2.5 奖励过度优化与评估者对齐</w:t>
      </w:r>
    </w:p>
    <w:p>
      <w:pPr>
        <w:ind w:firstLine="420"/>
      </w:pPr>
      <w:r>
        <w:rPr>
          <w:rFonts w:eastAsia="宋体" w:ascii="Times New Roman" w:hAnsi="Times New Roman"/>
          <w:b w:val="0"/>
          <w:i w:val="0"/>
          <w:sz w:val="21"/>
        </w:rPr>
        <w:t>本文的发现与更广泛的奖励过度优化现象[19]相关联。在RLHF流程中，奖励模型过度优化产生的输出评分高但人类感知质量下降[20]。近期关于谄媚行为的研究[21-22]表明LLM会系统性地调整输出以匹配评估者偏差，与本文观察到的策略坍缩直接类似。弱到强泛化框架[23]表明由弱评估者监督的强模型会收敛到评估者的局限性。不同于以往聚焦单模态同模型设置的研究，跨模型跨模态评估下3倍的PCI放大效应表明，当评估者和执行者在架构和模态能力上均不相同时，奖励过度优化被显著放大。</w:t>
      </w:r>
    </w:p>
    <w:p>
      <w:pPr>
        <w:spacing w:before="120" w:after="60"/>
      </w:pPr>
      <w:r>
        <w:rPr>
          <w:rFonts w:eastAsia="黑体" w:ascii="Times New Roman" w:hAnsi="Times New Roman"/>
          <w:b/>
          <w:i w:val="0"/>
          <w:sz w:val="21"/>
        </w:rPr>
        <w:t>2.6 与相关现象的系统比较</w:t>
      </w:r>
    </w:p>
    <w:p>
      <w:pPr>
        <w:ind w:firstLine="420"/>
      </w:pPr>
      <w:r>
        <w:rPr>
          <w:rFonts w:eastAsia="宋体" w:ascii="Times New Roman" w:hAnsi="Times New Roman"/>
          <w:b w:val="0"/>
          <w:i w:val="0"/>
          <w:sz w:val="21"/>
        </w:rPr>
        <w:t>表1将多模态EPC定位在评估者偏差现象谱系中。MM-EPC是唯一同时捕捉跨模型、跨模态和跨传染动力学的框架。</w:t>
      </w:r>
    </w:p>
    <w:p>
      <w:r>
        <w:rPr>
          <w:rFonts w:eastAsia="宋体" w:ascii="Times New Roman" w:hAnsi="Times New Roman"/>
          <w:b w:val="0"/>
          <w:i w:val="0"/>
          <w:sz w:val="21"/>
        </w:rPr>
      </w:r>
    </w:p>
    <w:p>
      <w:pPr>
        <w:jc w:val="center"/>
      </w:pPr>
      <w:r>
        <w:rPr>
          <w:rFonts w:eastAsia="黑体" w:ascii="Times New Roman" w:hAnsi="Times New Roman"/>
          <w:b w:val="0"/>
          <w:i w:val="0"/>
          <w:sz w:val="18"/>
        </w:rPr>
        <w:t>表1  评估者偏差现象的系统比较</w:t>
      </w:r>
    </w:p>
    <w:p>
      <w:r>
        <w:rPr>
          <w:rFonts w:eastAsia="宋体" w:ascii="Times New Roman" w:hAnsi="Times New Roman"/>
          <w:b w:val="0"/>
          <w:i w:val="0"/>
          <w:sz w:val="21"/>
        </w:rPr>
      </w:r>
    </w:p>
    <w:p>
      <w:pPr>
        <w:jc w:val="center"/>
      </w:pPr>
      <w:r>
        <w:rPr>
          <w:rFonts w:eastAsia="宋体" w:ascii="Times New Roman" w:hAnsi="Times New Roman"/>
          <w:b/>
          <w:i w:val="0"/>
          <w:sz w:val="18"/>
        </w:rPr>
        <w:t>Table 1  Systematic comparison of evaluator bias phenomena</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eastAsia="宋体" w:ascii="Times New Roman" w:hAnsi="Times New Roman"/>
                <w:b/>
                <w:i w:val="0"/>
                <w:sz w:val="15"/>
              </w:rPr>
              <w:t>现象</w:t>
            </w:r>
          </w:p>
        </w:tc>
        <w:tc>
          <w:tcPr>
            <w:tcW w:type="dxa" w:w="1606"/>
          </w:tcPr>
          <w:p>
            <w:pPr>
              <w:jc w:val="center"/>
            </w:pPr>
            <w:r/>
            <w:r>
              <w:rPr>
                <w:rFonts w:eastAsia="宋体" w:ascii="Times New Roman" w:hAnsi="Times New Roman"/>
                <w:b/>
                <w:i w:val="0"/>
                <w:sz w:val="15"/>
              </w:rPr>
              <w:t>跨模型</w:t>
            </w:r>
          </w:p>
        </w:tc>
        <w:tc>
          <w:tcPr>
            <w:tcW w:type="dxa" w:w="1606"/>
          </w:tcPr>
          <w:p>
            <w:pPr>
              <w:jc w:val="center"/>
            </w:pPr>
            <w:r/>
            <w:r>
              <w:rPr>
                <w:rFonts w:eastAsia="宋体" w:ascii="Times New Roman" w:hAnsi="Times New Roman"/>
                <w:b/>
                <w:i w:val="0"/>
                <w:sz w:val="15"/>
              </w:rPr>
              <w:t>多模态</w:t>
            </w:r>
          </w:p>
        </w:tc>
        <w:tc>
          <w:tcPr>
            <w:tcW w:type="dxa" w:w="1606"/>
          </w:tcPr>
          <w:p>
            <w:pPr>
              <w:jc w:val="center"/>
            </w:pPr>
            <w:r/>
            <w:r>
              <w:rPr>
                <w:rFonts w:eastAsia="宋体" w:ascii="Times New Roman" w:hAnsi="Times New Roman"/>
                <w:b/>
                <w:i w:val="0"/>
                <w:sz w:val="15"/>
              </w:rPr>
              <w:t>闭环</w:t>
            </w:r>
          </w:p>
        </w:tc>
        <w:tc>
          <w:tcPr>
            <w:tcW w:type="dxa" w:w="1606"/>
          </w:tcPr>
          <w:p>
            <w:pPr>
              <w:jc w:val="center"/>
            </w:pPr>
            <w:r/>
            <w:r>
              <w:rPr>
                <w:rFonts w:eastAsia="宋体" w:ascii="Times New Roman" w:hAnsi="Times New Roman"/>
                <w:b/>
                <w:i w:val="0"/>
                <w:sz w:val="15"/>
              </w:rPr>
              <w:t>传染性</w:t>
            </w:r>
          </w:p>
        </w:tc>
        <w:tc>
          <w:tcPr>
            <w:tcW w:type="dxa" w:w="1606"/>
          </w:tcPr>
          <w:p>
            <w:pPr>
              <w:jc w:val="center"/>
            </w:pPr>
            <w:r/>
            <w:r>
              <w:rPr>
                <w:rFonts w:eastAsia="宋体" w:ascii="Times New Roman" w:hAnsi="Times New Roman"/>
                <w:b/>
                <w:i w:val="0"/>
                <w:sz w:val="15"/>
              </w:rPr>
              <w:t>量化</w:t>
            </w:r>
          </w:p>
        </w:tc>
      </w:tr>
      <w:tr>
        <w:tc>
          <w:tcPr>
            <w:tcW w:type="dxa" w:w="1606"/>
          </w:tcPr>
          <w:p>
            <w:pPr>
              <w:jc w:val="center"/>
            </w:pPr>
            <w:r/>
            <w:r>
              <w:rPr>
                <w:rFonts w:eastAsia="宋体" w:ascii="Times New Roman" w:hAnsi="Times New Roman"/>
                <w:b w:val="0"/>
                <w:i w:val="0"/>
                <w:sz w:val="15"/>
              </w:rPr>
              <w:t>Position bias [1]</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r>
      <w:tr>
        <w:tc>
          <w:tcPr>
            <w:tcW w:type="dxa" w:w="1606"/>
          </w:tcPr>
          <w:p>
            <w:pPr>
              <w:jc w:val="center"/>
            </w:pPr>
            <w:r/>
            <w:r>
              <w:rPr>
                <w:rFonts w:eastAsia="宋体" w:ascii="Times New Roman" w:hAnsi="Times New Roman"/>
                <w:b w:val="0"/>
                <w:i w:val="0"/>
                <w:sz w:val="15"/>
              </w:rPr>
              <w:t>Verbosity bias [5]</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r>
      <w:tr>
        <w:tc>
          <w:tcPr>
            <w:tcW w:type="dxa" w:w="1606"/>
          </w:tcPr>
          <w:p>
            <w:pPr>
              <w:jc w:val="center"/>
            </w:pPr>
            <w:r/>
            <w:r>
              <w:rPr>
                <w:rFonts w:eastAsia="宋体" w:ascii="Times New Roman" w:hAnsi="Times New Roman"/>
                <w:b w:val="0"/>
                <w:i w:val="0"/>
                <w:sz w:val="15"/>
              </w:rPr>
              <w:t>Self-preference [7]</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r>
      <w:tr>
        <w:tc>
          <w:tcPr>
            <w:tcW w:type="dxa" w:w="1606"/>
          </w:tcPr>
          <w:p>
            <w:pPr>
              <w:jc w:val="center"/>
            </w:pPr>
            <w:r/>
            <w:r>
              <w:rPr>
                <w:rFonts w:eastAsia="宋体" w:ascii="Times New Roman" w:hAnsi="Times New Roman"/>
                <w:b w:val="0"/>
                <w:i w:val="0"/>
                <w:sz w:val="15"/>
              </w:rPr>
              <w:t>Reward overopt. [19]</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r>
      <w:tr>
        <w:tc>
          <w:tcPr>
            <w:tcW w:type="dxa" w:w="1606"/>
          </w:tcPr>
          <w:p>
            <w:pPr>
              <w:jc w:val="center"/>
            </w:pPr>
            <w:r/>
            <w:r>
              <w:rPr>
                <w:rFonts w:eastAsia="宋体" w:ascii="Times New Roman" w:hAnsi="Times New Roman"/>
                <w:b w:val="0"/>
                <w:i w:val="0"/>
                <w:sz w:val="15"/>
              </w:rPr>
              <w:t>Sycophancy [21]</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r>
      <w:tr>
        <w:tc>
          <w:tcPr>
            <w:tcW w:type="dxa" w:w="1606"/>
          </w:tcPr>
          <w:p>
            <w:pPr>
              <w:jc w:val="center"/>
            </w:pPr>
            <w:r/>
            <w:r>
              <w:rPr>
                <w:rFonts w:eastAsia="宋体" w:ascii="Times New Roman" w:hAnsi="Times New Roman"/>
                <w:b w:val="0"/>
                <w:i w:val="0"/>
                <w:sz w:val="15"/>
              </w:rPr>
              <w:t>MM safety eval [3]</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c>
          <w:tcPr>
            <w:tcW w:type="dxa" w:w="1606"/>
          </w:tcPr>
          <w:p>
            <w:pPr>
              <w:jc w:val="center"/>
            </w:pPr>
            <w:r/>
            <w:r>
              <w:rPr>
                <w:rFonts w:eastAsia="宋体" w:ascii="Times New Roman" w:hAnsi="Times New Roman"/>
                <w:b w:val="0"/>
                <w:i w:val="0"/>
                <w:sz w:val="15"/>
              </w:rPr>
              <w:t>—</w:t>
            </w:r>
          </w:p>
        </w:tc>
      </w:tr>
      <w:tr>
        <w:tc>
          <w:tcPr>
            <w:tcW w:type="dxa" w:w="1606"/>
          </w:tcPr>
          <w:p>
            <w:pPr>
              <w:jc w:val="center"/>
            </w:pPr>
            <w:r/>
            <w:r>
              <w:rPr>
                <w:rFonts w:eastAsia="宋体" w:ascii="Times New Roman" w:hAnsi="Times New Roman"/>
                <w:b/>
                <w:i w:val="0"/>
                <w:sz w:val="15"/>
              </w:rPr>
              <w:t>MM-EPC (本文)</w:t>
            </w:r>
          </w:p>
        </w:tc>
        <w:tc>
          <w:tcPr>
            <w:tcW w:type="dxa" w:w="1606"/>
          </w:tcPr>
          <w:p>
            <w:pPr>
              <w:jc w:val="center"/>
            </w:pPr>
            <w:r/>
            <w:r>
              <w:rPr>
                <w:rFonts w:eastAsia="宋体" w:ascii="Times New Roman" w:hAnsi="Times New Roman"/>
                <w:b/>
                <w:i w:val="0"/>
                <w:sz w:val="15"/>
              </w:rPr>
              <w:t>✓</w:t>
            </w:r>
          </w:p>
        </w:tc>
        <w:tc>
          <w:tcPr>
            <w:tcW w:type="dxa" w:w="1606"/>
          </w:tcPr>
          <w:p>
            <w:pPr>
              <w:jc w:val="center"/>
            </w:pPr>
            <w:r/>
            <w:r>
              <w:rPr>
                <w:rFonts w:eastAsia="宋体" w:ascii="Times New Roman" w:hAnsi="Times New Roman"/>
                <w:b/>
                <w:i w:val="0"/>
                <w:sz w:val="15"/>
              </w:rPr>
              <w:t>✓</w:t>
            </w:r>
          </w:p>
        </w:tc>
        <w:tc>
          <w:tcPr>
            <w:tcW w:type="dxa" w:w="1606"/>
          </w:tcPr>
          <w:p>
            <w:pPr>
              <w:jc w:val="center"/>
            </w:pPr>
            <w:r/>
            <w:r>
              <w:rPr>
                <w:rFonts w:eastAsia="宋体" w:ascii="Times New Roman" w:hAnsi="Times New Roman"/>
                <w:b/>
                <w:i w:val="0"/>
                <w:sz w:val="15"/>
              </w:rPr>
              <w:t>✓</w:t>
            </w:r>
          </w:p>
        </w:tc>
        <w:tc>
          <w:tcPr>
            <w:tcW w:type="dxa" w:w="1606"/>
          </w:tcPr>
          <w:p>
            <w:pPr>
              <w:jc w:val="center"/>
            </w:pPr>
            <w:r/>
            <w:r>
              <w:rPr>
                <w:rFonts w:eastAsia="宋体" w:ascii="Times New Roman" w:hAnsi="Times New Roman"/>
                <w:b/>
                <w:i w:val="0"/>
                <w:sz w:val="15"/>
              </w:rPr>
              <w:t>✓</w:t>
            </w:r>
          </w:p>
        </w:tc>
        <w:tc>
          <w:tcPr>
            <w:tcW w:type="dxa" w:w="1606"/>
          </w:tcPr>
          <w:p>
            <w:pPr>
              <w:jc w:val="center"/>
            </w:pPr>
            <w:r/>
            <w:r>
              <w:rPr>
                <w:rFonts w:eastAsia="宋体" w:ascii="Times New Roman" w:hAnsi="Times New Roman"/>
                <w:b/>
                <w:i w:val="0"/>
                <w:sz w:val="15"/>
              </w:rPr>
              <w:t>✓</w:t>
            </w:r>
          </w:p>
        </w:tc>
      </w:tr>
      <w:tr>
        <w:tc>
          <w:tcPr>
            <w:tcW w:type="dxa" w:w="1606"/>
          </w:tcPr>
          <w:p/>
        </w:tc>
        <w:tc>
          <w:tcPr>
            <w:tcW w:type="dxa" w:w="1606"/>
          </w:tcPr>
          <w:p/>
        </w:tc>
        <w:tc>
          <w:tcPr>
            <w:tcW w:type="dxa" w:w="1606"/>
          </w:tcPr>
          <w:p/>
        </w:tc>
        <w:tc>
          <w:tcPr>
            <w:tcW w:type="dxa" w:w="1606"/>
          </w:tcPr>
          <w:p/>
        </w:tc>
        <w:tc>
          <w:tcPr>
            <w:tcW w:type="dxa" w:w="1606"/>
          </w:tcPr>
          <w:p/>
        </w:tc>
        <w:tc>
          <w:tcPr>
            <w:tcW w:type="dxa" w:w="1606"/>
          </w:tcPr>
          <w:p/>
        </w:tc>
      </w:tr>
    </w:tbl>
    <w:p>
      <w:r>
        <w:rPr>
          <w:rFonts w:eastAsia="宋体" w:ascii="Times New Roman" w:hAnsi="Times New Roman"/>
          <w:b w:val="0"/>
          <w:i w:val="0"/>
          <w:sz w:val="21"/>
        </w:rPr>
      </w:r>
    </w:p>
    <w:p>
      <w:pPr>
        <w:spacing w:before="120" w:after="60"/>
      </w:pPr>
      <w:r>
        <w:rPr>
          <w:rFonts w:eastAsia="黑体" w:ascii="Times New Roman" w:hAnsi="Times New Roman"/>
          <w:b/>
          <w:i w:val="0"/>
          <w:sz w:val="24"/>
        </w:rPr>
        <w:t>3 方法</w:t>
      </w:r>
    </w:p>
    <w:p>
      <w:pPr>
        <w:spacing w:before="120" w:after="60"/>
      </w:pPr>
      <w:r>
        <w:rPr>
          <w:rFonts w:eastAsia="黑体" w:ascii="Times New Roman" w:hAnsi="Times New Roman"/>
          <w:b/>
          <w:i w:val="0"/>
          <w:sz w:val="21"/>
        </w:rPr>
        <w:t>3.1 多模态偏好坍缩指数（MPCI）</w:t>
      </w:r>
    </w:p>
    <w:p>
      <w:pPr>
        <w:ind w:firstLine="420"/>
      </w:pPr>
      <w:r>
        <w:rPr>
          <w:rFonts w:eastAsia="宋体" w:ascii="Times New Roman" w:hAnsi="Times New Roman"/>
          <w:b w:val="0"/>
          <w:i w:val="0"/>
          <w:sz w:val="21"/>
        </w:rPr>
        <w:t>设M={text, visual}。对于模态m，模态特异性偏好坍缩指数定义为：</w:t>
      </w:r>
    </w:p>
    <w:p>
      <w:pPr>
        <w:ind w:firstLine="420"/>
      </w:pPr>
      <w:r>
        <w:rPr>
          <w:rFonts w:eastAsia="宋体" w:ascii="Times New Roman" w:hAnsi="Times New Roman"/>
          <w:b w:val="0"/>
          <w:i w:val="0"/>
          <w:sz w:val="21"/>
        </w:rPr>
        <w:t>PCI_m(w | T_m) = σ(w | T_m) / μ(w | T_m)    (1)</w:t>
      </w:r>
    </w:p>
    <w:p>
      <w:pPr>
        <w:ind w:firstLine="420"/>
      </w:pPr>
      <w:r>
        <w:rPr>
          <w:rFonts w:eastAsia="宋体" w:ascii="Times New Roman" w:hAnsi="Times New Roman"/>
          <w:b w:val="0"/>
          <w:i w:val="0"/>
          <w:sz w:val="21"/>
        </w:rPr>
        <w:t>其中σ为策略权重标准差，μ为均值。MPCI聚合公式：</w:t>
      </w:r>
    </w:p>
    <w:p>
      <w:pPr>
        <w:ind w:firstLine="420"/>
      </w:pPr>
      <w:r>
        <w:rPr>
          <w:rFonts w:eastAsia="宋体" w:ascii="Times New Roman" w:hAnsi="Times New Roman"/>
          <w:b w:val="0"/>
          <w:i w:val="0"/>
          <w:sz w:val="21"/>
        </w:rPr>
        <w:t>MPCI(w) = (1/|M|) Σ_{m∈M} PCI_m(w) + λ·CPCI(w)    (2)</w:t>
      </w:r>
    </w:p>
    <w:p>
      <w:pPr>
        <w:ind w:firstLine="420"/>
      </w:pPr>
      <w:r>
        <w:rPr>
          <w:rFonts w:eastAsia="宋体" w:ascii="Times New Roman" w:hAnsi="Times New Roman"/>
          <w:b w:val="0"/>
          <w:i w:val="0"/>
          <w:sz w:val="21"/>
        </w:rPr>
        <w:t>其中CPCI为跨模态偏好坍缩指数，λ为平衡系数。</w:t>
      </w:r>
    </w:p>
    <w:p>
      <w:pPr>
        <w:spacing w:before="120" w:after="60"/>
      </w:pPr>
      <w:r>
        <w:rPr>
          <w:rFonts w:eastAsia="黑体" w:ascii="Times New Roman" w:hAnsi="Times New Roman"/>
          <w:b/>
          <w:i w:val="0"/>
          <w:sz w:val="21"/>
        </w:rPr>
        <w:t>3.2 跨模态传染</w:t>
      </w:r>
    </w:p>
    <w:p>
      <w:pPr>
        <w:ind w:firstLine="420"/>
      </w:pPr>
      <w:r>
        <w:rPr>
          <w:rFonts w:eastAsia="宋体" w:ascii="Times New Roman" w:hAnsi="Times New Roman"/>
          <w:b w:val="0"/>
          <w:i w:val="0"/>
          <w:sz w:val="21"/>
        </w:rPr>
        <w:t>定义四阶段隔离训练范式：</w:t>
      </w:r>
    </w:p>
    <w:p>
      <w:pPr>
        <w:ind w:firstLine="420"/>
      </w:pPr>
      <w:r>
        <w:rPr>
          <w:rFonts w:eastAsia="宋体" w:ascii="Times New Roman" w:hAnsi="Times New Roman"/>
          <w:b w:val="0"/>
          <w:i w:val="0"/>
          <w:sz w:val="21"/>
        </w:rPr>
        <w:t>阶段1（纯文本）：仅在文本任务上执行TTRL → w_T</w:t>
      </w:r>
    </w:p>
    <w:p>
      <w:pPr>
        <w:ind w:firstLine="420"/>
      </w:pPr>
      <w:r>
        <w:rPr>
          <w:rFonts w:eastAsia="宋体" w:ascii="Times New Roman" w:hAnsi="Times New Roman"/>
          <w:b w:val="0"/>
          <w:i w:val="0"/>
          <w:sz w:val="21"/>
        </w:rPr>
        <w:t>阶段2（纯视觉）：仅在视觉任务上执行TTRL → w_V</w:t>
      </w:r>
    </w:p>
    <w:p>
      <w:pPr>
        <w:ind w:firstLine="420"/>
      </w:pPr>
      <w:r>
        <w:rPr>
          <w:rFonts w:eastAsia="宋体" w:ascii="Times New Roman" w:hAnsi="Times New Roman"/>
          <w:b w:val="0"/>
          <w:i w:val="0"/>
          <w:sz w:val="21"/>
        </w:rPr>
        <w:t>阶段3（传染T→V）：从w_T出发，在视觉任务上训练 → w_{T→V}</w:t>
      </w:r>
    </w:p>
    <w:p>
      <w:pPr>
        <w:ind w:firstLine="420"/>
      </w:pPr>
      <w:r>
        <w:rPr>
          <w:rFonts w:eastAsia="宋体" w:ascii="Times New Roman" w:hAnsi="Times New Roman"/>
          <w:b w:val="0"/>
          <w:i w:val="0"/>
          <w:sz w:val="21"/>
        </w:rPr>
        <w:t>阶段4（传染V→T）：从w_V出发，在文本任务上训练 → w_{V→T}</w:t>
      </w:r>
    </w:p>
    <w:p>
      <w:pPr>
        <w:ind w:firstLine="420"/>
      </w:pPr>
      <w:r>
        <w:rPr>
          <w:rFonts w:eastAsia="宋体" w:ascii="Times New Roman" w:hAnsi="Times New Roman"/>
          <w:b w:val="0"/>
          <w:i w:val="0"/>
          <w:sz w:val="21"/>
        </w:rPr>
        <w:t>传染系数定义：γ_{A→B} = ‖w_{A→B} - w_B‖₂ / ‖w_B‖₂    (3)</w:t>
      </w:r>
    </w:p>
    <w:p>
      <w:pPr>
        <w:ind w:firstLine="420"/>
      </w:pPr>
      <w:r>
        <w:rPr>
          <w:rFonts w:eastAsia="宋体" w:ascii="Times New Roman" w:hAnsi="Times New Roman"/>
          <w:b w:val="0"/>
          <w:i w:val="0"/>
          <w:sz w:val="21"/>
        </w:rPr>
        <w:t>对n个模态，传染矩阵Γ为n×n矩阵，对角元素为1，非对角元素为γ_{i→j}。</w:t>
      </w:r>
    </w:p>
    <w:p>
      <w:pPr>
        <w:spacing w:before="120" w:after="60"/>
      </w:pPr>
      <w:r>
        <w:rPr>
          <w:rFonts w:eastAsia="黑体" w:ascii="Times New Roman" w:hAnsi="Times New Roman"/>
          <w:b/>
          <w:i w:val="0"/>
          <w:sz w:val="21"/>
        </w:rPr>
        <w:t>3.3 算法</w:t>
      </w:r>
    </w:p>
    <w:p>
      <w:pPr>
        <w:ind w:firstLine="420"/>
      </w:pPr>
      <w:r>
        <w:rPr>
          <w:rFonts w:eastAsia="宋体" w:ascii="Times New Roman" w:hAnsi="Times New Roman"/>
          <w:b w:val="0"/>
          <w:i w:val="0"/>
          <w:sz w:val="21"/>
        </w:rPr>
        <w:t>算法1形式化了用于测量跨模态传染的四阶段隔离训练范式。在每一轮中，执行者使用从当前权重分布w中采样的策略生成回答，评估者进行成对比较，权重通过测试时强化学习（TTRL）更新。关键是，每阶段中的模态过滤器F_m限制了评估者可见的任务范围，从而能够干净地测量模态间的策略迁移。</w:t>
      </w:r>
    </w:p>
    <w:p>
      <w:r>
        <w:rPr>
          <w:rFonts w:eastAsia="宋体" w:ascii="Times New Roman" w:hAnsi="Times New Roman"/>
          <w:b w:val="0"/>
          <w:i w:val="0"/>
          <w:sz w:val="21"/>
        </w:rPr>
      </w:r>
    </w:p>
    <w:p>
      <w:r>
        <w:rPr>
          <w:rFonts w:eastAsia="黑体" w:ascii="Times New Roman" w:hAnsi="Times New Roman"/>
          <w:b/>
          <w:i w:val="0"/>
          <w:sz w:val="21"/>
        </w:rPr>
        <w:t>算法1  隔离训练与跨模态传染测量</w:t>
      </w:r>
    </w:p>
    <w:p>
      <w:pPr>
        <w:ind w:firstLine="420"/>
      </w:pPr>
      <w:r>
        <w:rPr>
          <w:rFonts w:eastAsia="宋体" w:ascii="Times New Roman" w:hAnsi="Times New Roman"/>
          <w:b w:val="0"/>
          <w:i w:val="0"/>
          <w:sz w:val="21"/>
        </w:rPr>
        <w:t>输入：模态集合M={text, visual}，每模态任务集T_m，策略集S，学习率α_win/α_lose，轮次R</w:t>
      </w:r>
    </w:p>
    <w:p>
      <w:pPr>
        <w:ind w:firstLine="420"/>
      </w:pPr>
      <w:r>
        <w:rPr>
          <w:rFonts w:eastAsia="宋体" w:ascii="Times New Roman" w:hAnsi="Times New Roman"/>
          <w:b w:val="0"/>
          <w:i w:val="0"/>
          <w:sz w:val="21"/>
        </w:rPr>
        <w:t>输出：w_T, w_V, w_{T→V}, w_{V→T}，传染系数γ_{T→V}, γ_{V→T}，矩阵Γ</w:t>
      </w:r>
    </w:p>
    <w:p>
      <w:pPr>
        <w:ind w:firstLine="420"/>
      </w:pPr>
      <w:r>
        <w:rPr>
          <w:rFonts w:eastAsia="宋体" w:ascii="Times New Roman" w:hAnsi="Times New Roman"/>
          <w:b w:val="0"/>
          <w:i w:val="0"/>
          <w:sz w:val="21"/>
        </w:rPr>
        <w:t>阶段1（纯文本）：初始化w←Uniform(|S|)；对r=1到R：采样任务t~T_text；采样策略s_a, s_b~Softmax(w)，生成回答y_a, y_b；评估者比较(y_a, y_b|t)→胜者s_w, 败者s_l；更新w_{sw}←w_{sw}·(1+α_win)，w_{sl}←w_{sl}·(1-α_lose)；返回w_T</w:t>
      </w:r>
    </w:p>
    <w:p>
      <w:pPr>
        <w:ind w:firstLine="420"/>
      </w:pPr>
      <w:r>
        <w:rPr>
          <w:rFonts w:eastAsia="宋体" w:ascii="Times New Roman" w:hAnsi="Times New Roman"/>
          <w:b w:val="0"/>
          <w:i w:val="0"/>
          <w:sz w:val="21"/>
        </w:rPr>
        <w:t>阶段2（纯视觉）：同阶段1，使用T_visual。返回w_V</w:t>
      </w:r>
    </w:p>
    <w:p>
      <w:pPr>
        <w:ind w:firstLine="420"/>
      </w:pPr>
      <w:r>
        <w:rPr>
          <w:rFonts w:eastAsia="宋体" w:ascii="Times New Roman" w:hAnsi="Times New Roman"/>
          <w:b w:val="0"/>
          <w:i w:val="0"/>
          <w:sz w:val="21"/>
        </w:rPr>
        <w:t>阶段3（传染T→V）：初始化w←w_T；在T_visual上运行TTRL共R轮；返回w_{T→V}</w:t>
      </w:r>
    </w:p>
    <w:p>
      <w:pPr>
        <w:ind w:firstLine="420"/>
      </w:pPr>
      <w:r>
        <w:rPr>
          <w:rFonts w:eastAsia="宋体" w:ascii="Times New Roman" w:hAnsi="Times New Roman"/>
          <w:b w:val="0"/>
          <w:i w:val="0"/>
          <w:sz w:val="21"/>
        </w:rPr>
        <w:t>阶段4（传染V→T）：初始化w←w_V；在T_text上运行TTRL共R轮；返回w_{V→T}</w:t>
      </w:r>
    </w:p>
    <w:p>
      <w:r>
        <w:rPr>
          <w:rFonts w:eastAsia="宋体" w:ascii="Times New Roman" w:hAnsi="Times New Roman"/>
          <w:b w:val="0"/>
          <w:i w:val="0"/>
          <w:sz w:val="21"/>
        </w:rPr>
      </w:r>
    </w:p>
    <w:p>
      <w:pPr>
        <w:spacing w:before="120" w:after="60"/>
      </w:pPr>
      <w:r>
        <w:rPr>
          <w:rFonts w:eastAsia="黑体" w:ascii="Times New Roman" w:hAnsi="Times New Roman"/>
          <w:b/>
          <w:i w:val="0"/>
          <w:sz w:val="24"/>
        </w:rPr>
        <w:t>4 实验设置</w:t>
      </w:r>
    </w:p>
    <w:p>
      <w:pPr>
        <w:ind w:firstLine="420"/>
      </w:pPr>
      <w:r>
        <w:rPr>
          <w:rFonts w:eastAsia="宋体" w:ascii="Times New Roman" w:hAnsi="Times New Roman"/>
          <w:b w:val="0"/>
          <w:i w:val="0"/>
          <w:sz w:val="21"/>
        </w:rPr>
        <w:t>执行者：DeepSeek-chat。评估者：GPT-4o（通过api2d接口）。任务：8个文本任务+8个视觉相关任务。策略：共11种（8种文本领域：step_by_step、evidence_cite、first_principles、synthesis、counterfactual、critical_check、analogy_meta、creative_leap；3种视觉领域：visual_grounding、spatial_decompose、aesthetic_frame）。轮次：阶段1共16轮交替模态；阶段2共4阶段×6轮。学习率α=0.08（胜者）、-0.04（败者）。</w:t>
      </w:r>
    </w:p>
    <w:p>
      <w:r>
        <w:rPr>
          <w:rFonts w:eastAsia="宋体" w:ascii="Times New Roman" w:hAnsi="Times New Roman"/>
          <w:b w:val="0"/>
          <w:i w:val="0"/>
          <w:sz w:val="21"/>
        </w:rPr>
      </w:r>
    </w:p>
    <w:p>
      <w:pPr>
        <w:jc w:val="center"/>
      </w:pPr>
      <w:r>
        <w:rPr>
          <w:rFonts w:eastAsia="黑体" w:ascii="Times New Roman" w:hAnsi="Times New Roman"/>
          <w:b w:val="0"/>
          <w:i w:val="0"/>
          <w:sz w:val="18"/>
        </w:rPr>
        <w:t>表2  各实验阶段的计算成本</w:t>
      </w:r>
    </w:p>
    <w:p>
      <w:pPr>
        <w:jc w:val="center"/>
      </w:pPr>
      <w:r>
        <w:rPr>
          <w:rFonts w:eastAsia="宋体" w:ascii="Times New Roman" w:hAnsi="Times New Roman"/>
          <w:b/>
          <w:i w:val="0"/>
          <w:sz w:val="18"/>
        </w:rPr>
        <w:t>Table 2  Computational cost breakdown across experimental phases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eastAsia="宋体" w:ascii="Times New Roman" w:hAnsi="Times New Roman"/>
                <w:b/>
                <w:i w:val="0"/>
                <w:sz w:val="15"/>
              </w:rPr>
              <w:t>阶段</w:t>
            </w:r>
          </w:p>
        </w:tc>
        <w:tc>
          <w:tcPr>
            <w:tcW w:type="dxa" w:w="1928"/>
          </w:tcPr>
          <w:p>
            <w:pPr>
              <w:jc w:val="center"/>
            </w:pPr>
            <w:r/>
            <w:r>
              <w:rPr>
                <w:rFonts w:eastAsia="宋体" w:ascii="Times New Roman" w:hAnsi="Times New Roman"/>
                <w:b/>
                <w:i w:val="0"/>
                <w:sz w:val="15"/>
              </w:rPr>
              <w:t>LLM调用</w:t>
            </w:r>
          </w:p>
        </w:tc>
        <w:tc>
          <w:tcPr>
            <w:tcW w:type="dxa" w:w="1928"/>
          </w:tcPr>
          <w:p>
            <w:pPr>
              <w:jc w:val="center"/>
            </w:pPr>
            <w:r/>
            <w:r>
              <w:rPr>
                <w:rFonts w:eastAsia="宋体" w:ascii="Times New Roman" w:hAnsi="Times New Roman"/>
                <w:b/>
                <w:i w:val="0"/>
                <w:sz w:val="15"/>
              </w:rPr>
              <w:t>预估Token</w:t>
            </w:r>
          </w:p>
        </w:tc>
        <w:tc>
          <w:tcPr>
            <w:tcW w:type="dxa" w:w="1928"/>
          </w:tcPr>
          <w:p>
            <w:pPr>
              <w:jc w:val="center"/>
            </w:pPr>
            <w:r/>
            <w:r>
              <w:rPr>
                <w:rFonts w:eastAsia="宋体" w:ascii="Times New Roman" w:hAnsi="Times New Roman"/>
                <w:b/>
                <w:i w:val="0"/>
                <w:sz w:val="15"/>
              </w:rPr>
              <w:t>预估费用(USD)</w:t>
            </w:r>
          </w:p>
        </w:tc>
        <w:tc>
          <w:tcPr>
            <w:tcW w:type="dxa" w:w="1928"/>
          </w:tcPr>
          <w:p>
            <w:pPr>
              <w:jc w:val="center"/>
            </w:pPr>
            <w:r/>
            <w:r>
              <w:rPr>
                <w:rFonts w:eastAsia="宋体" w:ascii="Times New Roman" w:hAnsi="Times New Roman"/>
                <w:b/>
                <w:i w:val="0"/>
                <w:sz w:val="15"/>
              </w:rPr>
              <w:t>运行时间</w:t>
            </w:r>
          </w:p>
        </w:tc>
      </w:tr>
      <w:tr>
        <w:tc>
          <w:tcPr>
            <w:tcW w:type="dxa" w:w="1928"/>
          </w:tcPr>
          <w:p>
            <w:pPr>
              <w:jc w:val="center"/>
            </w:pPr>
            <w:r/>
            <w:r>
              <w:rPr>
                <w:rFonts w:eastAsia="宋体" w:ascii="Times New Roman" w:hAnsi="Times New Roman"/>
                <w:b w:val="0"/>
                <w:i w:val="0"/>
                <w:sz w:val="15"/>
              </w:rPr>
              <w:t>阶段1 (MM-EPC)</w:t>
            </w:r>
          </w:p>
        </w:tc>
        <w:tc>
          <w:tcPr>
            <w:tcW w:type="dxa" w:w="1928"/>
          </w:tcPr>
          <w:p>
            <w:pPr>
              <w:jc w:val="center"/>
            </w:pPr>
            <w:r/>
            <w:r>
              <w:rPr>
                <w:rFonts w:eastAsia="宋体" w:ascii="Times New Roman" w:hAnsi="Times New Roman"/>
                <w:b w:val="0"/>
                <w:i w:val="0"/>
                <w:sz w:val="15"/>
              </w:rPr>
              <w:t>32</w:t>
            </w:r>
          </w:p>
        </w:tc>
        <w:tc>
          <w:tcPr>
            <w:tcW w:type="dxa" w:w="1928"/>
          </w:tcPr>
          <w:p>
            <w:pPr>
              <w:jc w:val="center"/>
            </w:pPr>
            <w:r/>
            <w:r>
              <w:rPr>
                <w:rFonts w:eastAsia="宋体" w:ascii="Times New Roman" w:hAnsi="Times New Roman"/>
                <w:b w:val="0"/>
                <w:i w:val="0"/>
                <w:sz w:val="15"/>
              </w:rPr>
              <w:t>~48K</w:t>
            </w:r>
          </w:p>
        </w:tc>
        <w:tc>
          <w:tcPr>
            <w:tcW w:type="dxa" w:w="1928"/>
          </w:tcPr>
          <w:p>
            <w:pPr>
              <w:jc w:val="center"/>
            </w:pPr>
            <w:r/>
            <w:r>
              <w:rPr>
                <w:rFonts w:eastAsia="宋体" w:ascii="Times New Roman" w:hAnsi="Times New Roman"/>
                <w:b w:val="0"/>
                <w:i w:val="0"/>
                <w:sz w:val="15"/>
              </w:rPr>
              <w:t>~$0.12</w:t>
            </w:r>
          </w:p>
        </w:tc>
        <w:tc>
          <w:tcPr>
            <w:tcW w:type="dxa" w:w="1928"/>
          </w:tcPr>
          <w:p>
            <w:pPr>
              <w:jc w:val="center"/>
            </w:pPr>
            <w:r/>
            <w:r>
              <w:rPr>
                <w:rFonts w:eastAsia="宋体" w:ascii="Times New Roman" w:hAnsi="Times New Roman"/>
                <w:b w:val="0"/>
                <w:i w:val="0"/>
                <w:sz w:val="15"/>
              </w:rPr>
              <w:t>~5 min</w:t>
            </w:r>
          </w:p>
        </w:tc>
      </w:tr>
      <w:tr>
        <w:tc>
          <w:tcPr>
            <w:tcW w:type="dxa" w:w="1928"/>
          </w:tcPr>
          <w:p>
            <w:pPr>
              <w:jc w:val="center"/>
            </w:pPr>
            <w:r/>
            <w:r>
              <w:rPr>
                <w:rFonts w:eastAsia="宋体" w:ascii="Times New Roman" w:hAnsi="Times New Roman"/>
                <w:b w:val="0"/>
                <w:i w:val="0"/>
                <w:sz w:val="15"/>
              </w:rPr>
              <w:t>阶段2 (传染)</w:t>
            </w:r>
          </w:p>
        </w:tc>
        <w:tc>
          <w:tcPr>
            <w:tcW w:type="dxa" w:w="1928"/>
          </w:tcPr>
          <w:p>
            <w:pPr>
              <w:jc w:val="center"/>
            </w:pPr>
            <w:r/>
            <w:r>
              <w:rPr>
                <w:rFonts w:eastAsia="宋体" w:ascii="Times New Roman" w:hAnsi="Times New Roman"/>
                <w:b w:val="0"/>
                <w:i w:val="0"/>
                <w:sz w:val="15"/>
              </w:rPr>
              <w:t>48</w:t>
            </w:r>
          </w:p>
        </w:tc>
        <w:tc>
          <w:tcPr>
            <w:tcW w:type="dxa" w:w="1928"/>
          </w:tcPr>
          <w:p>
            <w:pPr>
              <w:jc w:val="center"/>
            </w:pPr>
            <w:r/>
            <w:r>
              <w:rPr>
                <w:rFonts w:eastAsia="宋体" w:ascii="Times New Roman" w:hAnsi="Times New Roman"/>
                <w:b w:val="0"/>
                <w:i w:val="0"/>
                <w:sz w:val="15"/>
              </w:rPr>
              <w:t>~72K</w:t>
            </w:r>
          </w:p>
        </w:tc>
        <w:tc>
          <w:tcPr>
            <w:tcW w:type="dxa" w:w="1928"/>
          </w:tcPr>
          <w:p>
            <w:pPr>
              <w:jc w:val="center"/>
            </w:pPr>
            <w:r/>
            <w:r>
              <w:rPr>
                <w:rFonts w:eastAsia="宋体" w:ascii="Times New Roman" w:hAnsi="Times New Roman"/>
                <w:b w:val="0"/>
                <w:i w:val="0"/>
                <w:sz w:val="15"/>
              </w:rPr>
              <w:t>~$0.18</w:t>
            </w:r>
          </w:p>
        </w:tc>
        <w:tc>
          <w:tcPr>
            <w:tcW w:type="dxa" w:w="1928"/>
          </w:tcPr>
          <w:p>
            <w:pPr>
              <w:jc w:val="center"/>
            </w:pPr>
            <w:r/>
            <w:r>
              <w:rPr>
                <w:rFonts w:eastAsia="宋体" w:ascii="Times New Roman" w:hAnsi="Times New Roman"/>
                <w:b w:val="0"/>
                <w:i w:val="0"/>
                <w:sz w:val="15"/>
              </w:rPr>
              <w:t>~8 min</w:t>
            </w:r>
          </w:p>
        </w:tc>
      </w:tr>
      <w:tr>
        <w:tc>
          <w:tcPr>
            <w:tcW w:type="dxa" w:w="1928"/>
          </w:tcPr>
          <w:p>
            <w:pPr>
              <w:jc w:val="center"/>
            </w:pPr>
            <w:r/>
            <w:r>
              <w:rPr>
                <w:rFonts w:eastAsia="宋体" w:ascii="Times New Roman" w:hAnsi="Times New Roman"/>
                <w:b w:val="0"/>
                <w:i w:val="0"/>
                <w:sz w:val="15"/>
              </w:rPr>
              <w:t>阶段3 (验证)</w:t>
            </w:r>
          </w:p>
        </w:tc>
        <w:tc>
          <w:tcPr>
            <w:tcW w:type="dxa" w:w="1928"/>
          </w:tcPr>
          <w:p>
            <w:pPr>
              <w:jc w:val="center"/>
            </w:pPr>
            <w:r/>
            <w:r>
              <w:rPr>
                <w:rFonts w:eastAsia="宋体" w:ascii="Times New Roman" w:hAnsi="Times New Roman"/>
                <w:b w:val="0"/>
                <w:i w:val="0"/>
                <w:sz w:val="15"/>
              </w:rPr>
              <w:t>2000</w:t>
            </w:r>
          </w:p>
        </w:tc>
        <w:tc>
          <w:tcPr>
            <w:tcW w:type="dxa" w:w="1928"/>
          </w:tcPr>
          <w:p>
            <w:pPr>
              <w:jc w:val="center"/>
            </w:pPr>
            <w:r/>
            <w:r>
              <w:rPr>
                <w:rFonts w:eastAsia="宋体" w:ascii="Times New Roman" w:hAnsi="Times New Roman"/>
                <w:b w:val="0"/>
                <w:i w:val="0"/>
                <w:sz w:val="15"/>
              </w:rPr>
              <w:t>~3M</w:t>
            </w:r>
          </w:p>
        </w:tc>
        <w:tc>
          <w:tcPr>
            <w:tcW w:type="dxa" w:w="1928"/>
          </w:tcPr>
          <w:p>
            <w:pPr>
              <w:jc w:val="center"/>
            </w:pPr>
            <w:r/>
            <w:r>
              <w:rPr>
                <w:rFonts w:eastAsia="宋体" w:ascii="Times New Roman" w:hAnsi="Times New Roman"/>
                <w:b w:val="0"/>
                <w:i w:val="0"/>
                <w:sz w:val="15"/>
              </w:rPr>
              <w:t>~$7.50</w:t>
            </w:r>
          </w:p>
        </w:tc>
        <w:tc>
          <w:tcPr>
            <w:tcW w:type="dxa" w:w="1928"/>
          </w:tcPr>
          <w:p>
            <w:pPr>
              <w:jc w:val="center"/>
            </w:pPr>
            <w:r/>
            <w:r>
              <w:rPr>
                <w:rFonts w:eastAsia="宋体" w:ascii="Times New Roman" w:hAnsi="Times New Roman"/>
                <w:b w:val="0"/>
                <w:i w:val="0"/>
                <w:sz w:val="15"/>
              </w:rPr>
              <w:t>~6 h</w:t>
            </w:r>
          </w:p>
        </w:tc>
      </w:tr>
      <w:tr>
        <w:tc>
          <w:tcPr>
            <w:tcW w:type="dxa" w:w="1928"/>
          </w:tcPr>
          <w:p>
            <w:pPr>
              <w:jc w:val="center"/>
            </w:pPr>
            <w:r/>
            <w:r>
              <w:rPr>
                <w:rFonts w:eastAsia="宋体" w:ascii="Times New Roman" w:hAnsi="Times New Roman"/>
                <w:b/>
                <w:i w:val="0"/>
                <w:sz w:val="15"/>
              </w:rPr>
              <w:t>合计</w:t>
            </w:r>
          </w:p>
        </w:tc>
        <w:tc>
          <w:tcPr>
            <w:tcW w:type="dxa" w:w="1928"/>
          </w:tcPr>
          <w:p>
            <w:pPr>
              <w:jc w:val="center"/>
            </w:pPr>
            <w:r/>
            <w:r>
              <w:rPr>
                <w:rFonts w:eastAsia="宋体" w:ascii="Times New Roman" w:hAnsi="Times New Roman"/>
                <w:b/>
                <w:i w:val="0"/>
                <w:sz w:val="15"/>
              </w:rPr>
              <w:t>2080</w:t>
            </w:r>
          </w:p>
        </w:tc>
        <w:tc>
          <w:tcPr>
            <w:tcW w:type="dxa" w:w="1928"/>
          </w:tcPr>
          <w:p>
            <w:pPr>
              <w:jc w:val="center"/>
            </w:pPr>
            <w:r/>
            <w:r>
              <w:rPr>
                <w:rFonts w:eastAsia="宋体" w:ascii="Times New Roman" w:hAnsi="Times New Roman"/>
                <w:b/>
                <w:i w:val="0"/>
                <w:sz w:val="15"/>
              </w:rPr>
              <w:t>~3.1M</w:t>
            </w:r>
          </w:p>
        </w:tc>
        <w:tc>
          <w:tcPr>
            <w:tcW w:type="dxa" w:w="1928"/>
          </w:tcPr>
          <w:p>
            <w:pPr>
              <w:jc w:val="center"/>
            </w:pPr>
            <w:r/>
            <w:r>
              <w:rPr>
                <w:rFonts w:eastAsia="宋体" w:ascii="Times New Roman" w:hAnsi="Times New Roman"/>
                <w:b/>
                <w:i w:val="0"/>
                <w:sz w:val="15"/>
              </w:rPr>
              <w:t>~$7.80</w:t>
            </w:r>
          </w:p>
        </w:tc>
        <w:tc>
          <w:tcPr>
            <w:tcW w:type="dxa" w:w="1928"/>
          </w:tcPr>
          <w:p>
            <w:pPr>
              <w:jc w:val="center"/>
            </w:pPr>
            <w:r/>
            <w:r>
              <w:rPr>
                <w:rFonts w:eastAsia="宋体" w:ascii="Times New Roman" w:hAnsi="Times New Roman"/>
                <w:b/>
                <w:i w:val="0"/>
                <w:sz w:val="15"/>
              </w:rPr>
              <w:t>~6.2 h</w:t>
            </w:r>
          </w:p>
        </w:tc>
      </w:tr>
    </w:tbl>
    <w:p>
      <w:r>
        <w:rPr>
          <w:rFonts w:eastAsia="宋体" w:ascii="Times New Roman" w:hAnsi="Times New Roman"/>
          <w:b w:val="0"/>
          <w:i w:val="0"/>
          <w:sz w:val="21"/>
        </w:rPr>
      </w:r>
    </w:p>
    <w:p>
      <w:pPr>
        <w:spacing w:before="120" w:after="60"/>
      </w:pPr>
      <w:r>
        <w:rPr>
          <w:rFonts w:eastAsia="黑体" w:ascii="Times New Roman" w:hAnsi="Times New Roman"/>
          <w:b/>
          <w:i w:val="0"/>
          <w:sz w:val="24"/>
        </w:rPr>
        <w:t>5 实验结果</w:t>
      </w:r>
    </w:p>
    <w:p>
      <w:pPr>
        <w:spacing w:before="120" w:after="60"/>
      </w:pPr>
      <w:r>
        <w:rPr>
          <w:rFonts w:eastAsia="黑体" w:ascii="Times New Roman" w:hAnsi="Times New Roman"/>
          <w:b/>
          <w:i w:val="0"/>
          <w:sz w:val="21"/>
        </w:rPr>
        <w:t>5.1 阶段1：多模态EPC的存在性</w:t>
      </w:r>
    </w:p>
    <w:p>
      <w:r>
        <w:rPr>
          <w:rFonts w:eastAsia="宋体" w:ascii="Times New Roman" w:hAnsi="Times New Roman"/>
          <w:b w:val="0"/>
          <w:i w:val="0"/>
          <w:sz w:val="21"/>
        </w:rPr>
      </w:r>
    </w:p>
    <w:p>
      <w:pPr>
        <w:jc w:val="center"/>
      </w:pPr>
      <w:r>
        <w:rPr>
          <w:rFonts w:eastAsia="黑体" w:ascii="Times New Roman" w:hAnsi="Times New Roman"/>
          <w:b w:val="0"/>
          <w:i w:val="0"/>
          <w:sz w:val="18"/>
        </w:rPr>
        <w:t>表3  多模态EPC指标</w:t>
      </w:r>
    </w:p>
    <w:p>
      <w:pPr>
        <w:jc w:val="center"/>
      </w:pPr>
      <w:r>
        <w:rPr>
          <w:rFonts w:eastAsia="宋体" w:ascii="Times New Roman" w:hAnsi="Times New Roman"/>
          <w:b/>
          <w:i w:val="0"/>
          <w:sz w:val="18"/>
        </w:rPr>
        <w:t>Table 3  Multimodal EPC metrics</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
              <w:rPr>
                <w:rFonts w:eastAsia="宋体" w:ascii="Times New Roman" w:hAnsi="Times New Roman"/>
                <w:b/>
                <w:i w:val="0"/>
                <w:sz w:val="15"/>
              </w:rPr>
              <w:t>指标</w:t>
            </w:r>
          </w:p>
        </w:tc>
        <w:tc>
          <w:tcPr>
            <w:tcW w:type="dxa" w:w="3213"/>
          </w:tcPr>
          <w:p>
            <w:pPr>
              <w:jc w:val="center"/>
            </w:pPr>
            <w:r/>
            <w:r>
              <w:rPr>
                <w:rFonts w:eastAsia="宋体" w:ascii="Times New Roman" w:hAnsi="Times New Roman"/>
                <w:b/>
                <w:i w:val="0"/>
                <w:sz w:val="15"/>
              </w:rPr>
              <w:t>数值</w:t>
            </w:r>
          </w:p>
        </w:tc>
        <w:tc>
          <w:tcPr>
            <w:tcW w:type="dxa" w:w="3213"/>
          </w:tcPr>
          <w:p>
            <w:pPr>
              <w:jc w:val="center"/>
            </w:pPr>
            <w:r/>
            <w:r>
              <w:rPr>
                <w:rFonts w:eastAsia="宋体" w:ascii="Times New Roman" w:hAnsi="Times New Roman"/>
                <w:b/>
                <w:i w:val="0"/>
                <w:sz w:val="15"/>
              </w:rPr>
              <w:t>对比说明</w:t>
            </w:r>
          </w:p>
        </w:tc>
      </w:tr>
      <w:tr>
        <w:tc>
          <w:tcPr>
            <w:tcW w:type="dxa" w:w="3213"/>
          </w:tcPr>
          <w:p>
            <w:pPr>
              <w:jc w:val="center"/>
            </w:pPr>
            <w:r/>
            <w:r>
              <w:rPr>
                <w:rFonts w:eastAsia="宋体" w:ascii="Times New Roman" w:hAnsi="Times New Roman"/>
                <w:b w:val="0"/>
                <w:i w:val="0"/>
                <w:sz w:val="15"/>
              </w:rPr>
              <w:t>PCI (整体)</w:t>
            </w:r>
          </w:p>
        </w:tc>
        <w:tc>
          <w:tcPr>
            <w:tcW w:type="dxa" w:w="3213"/>
          </w:tcPr>
          <w:p>
            <w:pPr>
              <w:jc w:val="center"/>
            </w:pPr>
            <w:r/>
            <w:r>
              <w:rPr>
                <w:rFonts w:eastAsia="宋体" w:ascii="Times New Roman" w:hAnsi="Times New Roman"/>
                <w:b w:val="0"/>
                <w:i w:val="0"/>
                <w:sz w:val="15"/>
              </w:rPr>
              <w:t>1.464</w:t>
            </w:r>
          </w:p>
        </w:tc>
        <w:tc>
          <w:tcPr>
            <w:tcW w:type="dxa" w:w="3213"/>
          </w:tcPr>
          <w:p>
            <w:pPr>
              <w:jc w:val="center"/>
            </w:pPr>
            <w:r/>
            <w:r>
              <w:rPr>
                <w:rFonts w:eastAsia="宋体" w:ascii="Times New Roman" w:hAnsi="Times New Roman"/>
                <w:b w:val="0"/>
                <w:i w:val="0"/>
                <w:sz w:val="15"/>
              </w:rPr>
              <w:t>vs 文本EPC=0.461，比率3.2×</w:t>
            </w:r>
          </w:p>
        </w:tc>
      </w:tr>
      <w:tr>
        <w:tc>
          <w:tcPr>
            <w:tcW w:type="dxa" w:w="3213"/>
          </w:tcPr>
          <w:p>
            <w:pPr>
              <w:jc w:val="center"/>
            </w:pPr>
            <w:r/>
            <w:r>
              <w:rPr>
                <w:rFonts w:eastAsia="宋体" w:ascii="Times New Roman" w:hAnsi="Times New Roman"/>
                <w:b w:val="0"/>
                <w:i w:val="0"/>
                <w:sz w:val="15"/>
              </w:rPr>
              <w:t>PCI (文本)</w:t>
            </w:r>
          </w:p>
        </w:tc>
        <w:tc>
          <w:tcPr>
            <w:tcW w:type="dxa" w:w="3213"/>
          </w:tcPr>
          <w:p>
            <w:pPr>
              <w:jc w:val="center"/>
            </w:pPr>
            <w:r/>
            <w:r>
              <w:rPr>
                <w:rFonts w:eastAsia="宋体" w:ascii="Times New Roman" w:hAnsi="Times New Roman"/>
                <w:b w:val="0"/>
                <w:i w:val="0"/>
                <w:sz w:val="15"/>
              </w:rPr>
              <w:t>1.348</w:t>
            </w:r>
          </w:p>
        </w:tc>
        <w:tc>
          <w:tcPr>
            <w:tcW w:type="dxa" w:w="3213"/>
          </w:tcPr>
          <w:p>
            <w:pPr>
              <w:jc w:val="center"/>
            </w:pPr>
            <w:r/>
            <w:r>
              <w:rPr>
                <w:rFonts w:eastAsia="宋体" w:ascii="Times New Roman" w:hAnsi="Times New Roman"/>
                <w:b w:val="0"/>
                <w:i w:val="0"/>
                <w:sz w:val="15"/>
              </w:rPr>
              <w:t>vs 文本EPC=0.461，比率2.9×</w:t>
            </w:r>
          </w:p>
        </w:tc>
      </w:tr>
      <w:tr>
        <w:tc>
          <w:tcPr>
            <w:tcW w:type="dxa" w:w="3213"/>
          </w:tcPr>
          <w:p>
            <w:pPr>
              <w:jc w:val="center"/>
            </w:pPr>
            <w:r/>
            <w:r>
              <w:rPr>
                <w:rFonts w:eastAsia="宋体" w:ascii="Times New Roman" w:hAnsi="Times New Roman"/>
                <w:b w:val="0"/>
                <w:i w:val="0"/>
                <w:sz w:val="15"/>
              </w:rPr>
              <w:t>PCI (视觉)</w:t>
            </w:r>
          </w:p>
        </w:tc>
        <w:tc>
          <w:tcPr>
            <w:tcW w:type="dxa" w:w="3213"/>
          </w:tcPr>
          <w:p>
            <w:pPr>
              <w:jc w:val="center"/>
            </w:pPr>
            <w:r/>
            <w:r>
              <w:rPr>
                <w:rFonts w:eastAsia="宋体" w:ascii="Times New Roman" w:hAnsi="Times New Roman"/>
                <w:b w:val="0"/>
                <w:i w:val="0"/>
                <w:sz w:val="15"/>
              </w:rPr>
              <w:t>1.464</w:t>
            </w:r>
          </w:p>
        </w:tc>
        <w:tc>
          <w:tcPr>
            <w:tcW w:type="dxa" w:w="3213"/>
          </w:tcPr>
          <w:p>
            <w:pPr>
              <w:jc w:val="center"/>
            </w:pPr>
            <w:r/>
            <w:r>
              <w:rPr>
                <w:rFonts w:eastAsia="宋体" w:ascii="Times New Roman" w:hAnsi="Times New Roman"/>
                <w:b w:val="0"/>
                <w:i w:val="0"/>
                <w:sz w:val="15"/>
              </w:rPr>
              <w:t>—</w:t>
            </w:r>
          </w:p>
        </w:tc>
      </w:tr>
      <w:tr>
        <w:tc>
          <w:tcPr>
            <w:tcW w:type="dxa" w:w="3213"/>
          </w:tcPr>
          <w:p>
            <w:pPr>
              <w:jc w:val="center"/>
            </w:pPr>
            <w:r/>
            <w:r>
              <w:rPr>
                <w:rFonts w:eastAsia="宋体" w:ascii="Times New Roman" w:hAnsi="Times New Roman"/>
                <w:b w:val="0"/>
                <w:i w:val="0"/>
                <w:sz w:val="15"/>
              </w:rPr>
              <w:t>CPCI (跨模态)</w:t>
            </w:r>
          </w:p>
        </w:tc>
        <w:tc>
          <w:tcPr>
            <w:tcW w:type="dxa" w:w="3213"/>
          </w:tcPr>
          <w:p>
            <w:pPr>
              <w:jc w:val="center"/>
            </w:pPr>
            <w:r/>
            <w:r>
              <w:rPr>
                <w:rFonts w:eastAsia="宋体" w:ascii="Times New Roman" w:hAnsi="Times New Roman"/>
                <w:b w:val="0"/>
                <w:i w:val="0"/>
                <w:sz w:val="15"/>
              </w:rPr>
              <w:t>0.043</w:t>
            </w:r>
          </w:p>
        </w:tc>
        <w:tc>
          <w:tcPr>
            <w:tcW w:type="dxa" w:w="3213"/>
          </w:tcPr>
          <w:p>
            <w:pPr>
              <w:jc w:val="center"/>
            </w:pPr>
            <w:r/>
            <w:r>
              <w:rPr>
                <w:rFonts w:eastAsia="宋体" w:ascii="Times New Roman" w:hAnsi="Times New Roman"/>
                <w:b w:val="0"/>
                <w:i w:val="0"/>
                <w:sz w:val="15"/>
              </w:rPr>
              <w:t>—</w:t>
            </w:r>
          </w:p>
        </w:tc>
      </w:tr>
      <w:tr>
        <w:tc>
          <w:tcPr>
            <w:tcW w:type="dxa" w:w="3213"/>
          </w:tcPr>
          <w:p>
            <w:pPr>
              <w:jc w:val="center"/>
            </w:pPr>
            <w:r/>
            <w:r>
              <w:rPr>
                <w:rFonts w:eastAsia="宋体" w:ascii="Times New Roman" w:hAnsi="Times New Roman"/>
                <w:b w:val="0"/>
                <w:i w:val="0"/>
                <w:sz w:val="15"/>
              </w:rPr>
              <w:t>MPCI</w:t>
            </w:r>
          </w:p>
        </w:tc>
        <w:tc>
          <w:tcPr>
            <w:tcW w:type="dxa" w:w="3213"/>
          </w:tcPr>
          <w:p>
            <w:pPr>
              <w:jc w:val="center"/>
            </w:pPr>
            <w:r/>
            <w:r>
              <w:rPr>
                <w:rFonts w:eastAsia="宋体" w:ascii="Times New Roman" w:hAnsi="Times New Roman"/>
                <w:b w:val="0"/>
                <w:i w:val="0"/>
                <w:sz w:val="15"/>
              </w:rPr>
              <w:t>1.428</w:t>
            </w:r>
          </w:p>
        </w:tc>
        <w:tc>
          <w:tcPr>
            <w:tcW w:type="dxa" w:w="3213"/>
          </w:tcPr>
          <w:p>
            <w:pPr>
              <w:jc w:val="center"/>
            </w:pPr>
            <w:r/>
            <w:r>
              <w:rPr>
                <w:rFonts w:eastAsia="宋体" w:ascii="Times New Roman" w:hAnsi="Times New Roman"/>
                <w:b w:val="0"/>
                <w:i w:val="0"/>
                <w:sz w:val="15"/>
              </w:rPr>
              <w:t>—</w:t>
            </w:r>
          </w:p>
        </w:tc>
      </w:tr>
      <w:tr>
        <w:tc>
          <w:tcPr>
            <w:tcW w:type="dxa" w:w="3213"/>
          </w:tcPr>
          <w:p/>
        </w:tc>
        <w:tc>
          <w:tcPr>
            <w:tcW w:type="dxa" w:w="3213"/>
          </w:tcPr>
          <w:p/>
        </w:tc>
        <w:tc>
          <w:tcPr>
            <w:tcW w:type="dxa" w:w="3213"/>
          </w:tcPr>
          <w:p/>
        </w:tc>
      </w:tr>
    </w:tbl>
    <w:p>
      <w:r>
        <w:rPr>
          <w:rFonts w:eastAsia="宋体" w:ascii="Times New Roman" w:hAnsi="Times New Roman"/>
          <w:b w:val="0"/>
          <w:i w:val="0"/>
          <w:sz w:val="21"/>
        </w:rPr>
      </w:r>
    </w:p>
    <w:p>
      <w:pPr>
        <w:jc w:val="center"/>
      </w:pPr>
      <w:r>
        <w:rPr>
          <w:rFonts w:eastAsia="黑体" w:ascii="Times New Roman" w:hAnsi="Times New Roman"/>
          <w:b w:val="0"/>
          <w:i w:val="0"/>
          <w:sz w:val="18"/>
        </w:rPr>
        <w:t>表4  策略权重分布</w:t>
      </w:r>
    </w:p>
    <w:p>
      <w:pPr>
        <w:jc w:val="center"/>
      </w:pPr>
      <w:r>
        <w:rPr>
          <w:rFonts w:eastAsia="宋体" w:ascii="Times New Roman" w:hAnsi="Times New Roman"/>
          <w:b/>
          <w:i w:val="0"/>
          <w:sz w:val="18"/>
        </w:rPr>
        <w:t>Table 4  Strategy weight distribution</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
              <w:rPr>
                <w:rFonts w:eastAsia="宋体" w:ascii="Times New Roman" w:hAnsi="Times New Roman"/>
                <w:b/>
                <w:i w:val="0"/>
                <w:sz w:val="15"/>
              </w:rPr>
              <w:t>策略</w:t>
            </w:r>
          </w:p>
        </w:tc>
        <w:tc>
          <w:tcPr>
            <w:tcW w:type="dxa" w:w="3213"/>
          </w:tcPr>
          <w:p>
            <w:pPr>
              <w:jc w:val="center"/>
            </w:pPr>
            <w:r/>
            <w:r>
              <w:rPr>
                <w:rFonts w:eastAsia="宋体" w:ascii="Times New Roman" w:hAnsi="Times New Roman"/>
                <w:b/>
                <w:i w:val="0"/>
                <w:sz w:val="15"/>
              </w:rPr>
              <w:t>权重</w:t>
            </w:r>
          </w:p>
        </w:tc>
        <w:tc>
          <w:tcPr>
            <w:tcW w:type="dxa" w:w="3213"/>
          </w:tcPr>
          <w:p>
            <w:pPr>
              <w:jc w:val="center"/>
            </w:pPr>
            <w:r/>
            <w:r>
              <w:rPr>
                <w:rFonts w:eastAsia="宋体" w:ascii="Times New Roman" w:hAnsi="Times New Roman"/>
                <w:b/>
                <w:i w:val="0"/>
                <w:sz w:val="15"/>
              </w:rPr>
              <w:t>类型</w:t>
            </w:r>
          </w:p>
        </w:tc>
      </w:tr>
      <w:tr>
        <w:tc>
          <w:tcPr>
            <w:tcW w:type="dxa" w:w="3213"/>
          </w:tcPr>
          <w:p>
            <w:r/>
            <w:r>
              <w:rPr>
                <w:rFonts w:eastAsia="宋体" w:ascii="Times New Roman" w:hAnsi="Times New Roman"/>
                <w:b w:val="0"/>
                <w:i w:val="0"/>
                <w:sz w:val="15"/>
              </w:rPr>
              <w:t>step_by_step</w:t>
            </w:r>
          </w:p>
        </w:tc>
        <w:tc>
          <w:tcPr>
            <w:tcW w:type="dxa" w:w="3213"/>
          </w:tcPr>
          <w:p>
            <w:pPr>
              <w:jc w:val="center"/>
            </w:pPr>
            <w:r/>
            <w:r>
              <w:rPr>
                <w:rFonts w:eastAsia="宋体" w:ascii="Times New Roman" w:hAnsi="Times New Roman"/>
                <w:b w:val="0"/>
                <w:i w:val="0"/>
                <w:sz w:val="15"/>
              </w:rPr>
              <w:t>0.484</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evidence_cite</w:t>
            </w:r>
          </w:p>
        </w:tc>
        <w:tc>
          <w:tcPr>
            <w:tcW w:type="dxa" w:w="3213"/>
          </w:tcPr>
          <w:p>
            <w:pPr>
              <w:jc w:val="center"/>
            </w:pPr>
            <w:r/>
            <w:r>
              <w:rPr>
                <w:rFonts w:eastAsia="宋体" w:ascii="Times New Roman" w:hAnsi="Times New Roman"/>
                <w:b w:val="0"/>
                <w:i w:val="0"/>
                <w:sz w:val="15"/>
              </w:rPr>
              <w:t>0.192</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first_principles</w:t>
            </w:r>
          </w:p>
        </w:tc>
        <w:tc>
          <w:tcPr>
            <w:tcW w:type="dxa" w:w="3213"/>
          </w:tcPr>
          <w:p>
            <w:pPr>
              <w:jc w:val="center"/>
            </w:pPr>
            <w:r/>
            <w:r>
              <w:rPr>
                <w:rFonts w:eastAsia="宋体" w:ascii="Times New Roman" w:hAnsi="Times New Roman"/>
                <w:b w:val="0"/>
                <w:i w:val="0"/>
                <w:sz w:val="15"/>
              </w:rPr>
              <w:t>0.060</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synthesis</w:t>
            </w:r>
          </w:p>
        </w:tc>
        <w:tc>
          <w:tcPr>
            <w:tcW w:type="dxa" w:w="3213"/>
          </w:tcPr>
          <w:p>
            <w:pPr>
              <w:jc w:val="center"/>
            </w:pPr>
            <w:r/>
            <w:r>
              <w:rPr>
                <w:rFonts w:eastAsia="宋体" w:ascii="Times New Roman" w:hAnsi="Times New Roman"/>
                <w:b w:val="0"/>
                <w:i w:val="0"/>
                <w:sz w:val="15"/>
              </w:rPr>
              <w:t>0.060</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aesthetic_frame</w:t>
            </w:r>
          </w:p>
        </w:tc>
        <w:tc>
          <w:tcPr>
            <w:tcW w:type="dxa" w:w="3213"/>
          </w:tcPr>
          <w:p>
            <w:pPr>
              <w:jc w:val="center"/>
            </w:pPr>
            <w:r/>
            <w:r>
              <w:rPr>
                <w:rFonts w:eastAsia="宋体" w:ascii="Times New Roman" w:hAnsi="Times New Roman"/>
                <w:b w:val="0"/>
                <w:i w:val="0"/>
                <w:sz w:val="15"/>
              </w:rPr>
              <w:t>0.060</w:t>
            </w:r>
          </w:p>
        </w:tc>
        <w:tc>
          <w:tcPr>
            <w:tcW w:type="dxa" w:w="3213"/>
          </w:tcPr>
          <w:p>
            <w:pPr>
              <w:jc w:val="center"/>
            </w:pPr>
            <w:r/>
            <w:r>
              <w:rPr>
                <w:rFonts w:eastAsia="宋体" w:ascii="Times New Roman" w:hAnsi="Times New Roman"/>
                <w:b w:val="0"/>
                <w:i w:val="0"/>
                <w:sz w:val="15"/>
              </w:rPr>
              <w:t>视觉</w:t>
            </w:r>
          </w:p>
        </w:tc>
      </w:tr>
      <w:tr>
        <w:tc>
          <w:tcPr>
            <w:tcW w:type="dxa" w:w="3213"/>
          </w:tcPr>
          <w:p>
            <w:r/>
            <w:r>
              <w:rPr>
                <w:rFonts w:eastAsia="宋体" w:ascii="Times New Roman" w:hAnsi="Times New Roman"/>
                <w:b w:val="0"/>
                <w:i w:val="0"/>
                <w:sz w:val="15"/>
              </w:rPr>
              <w:t>counterfactual</w:t>
            </w:r>
          </w:p>
        </w:tc>
        <w:tc>
          <w:tcPr>
            <w:tcW w:type="dxa" w:w="3213"/>
          </w:tcPr>
          <w:p>
            <w:pPr>
              <w:jc w:val="center"/>
            </w:pPr>
            <w:r/>
            <w:r>
              <w:rPr>
                <w:rFonts w:eastAsia="宋体" w:ascii="Times New Roman" w:hAnsi="Times New Roman"/>
                <w:b w:val="0"/>
                <w:i w:val="0"/>
                <w:sz w:val="15"/>
              </w:rPr>
              <w:t>0.034</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critical_check</w:t>
            </w:r>
          </w:p>
        </w:tc>
        <w:tc>
          <w:tcPr>
            <w:tcW w:type="dxa" w:w="3213"/>
          </w:tcPr>
          <w:p>
            <w:pPr>
              <w:jc w:val="center"/>
            </w:pPr>
            <w:r/>
            <w:r>
              <w:rPr>
                <w:rFonts w:eastAsia="宋体" w:ascii="Times New Roman" w:hAnsi="Times New Roman"/>
                <w:b w:val="0"/>
                <w:i w:val="0"/>
                <w:sz w:val="15"/>
              </w:rPr>
              <w:t>0.033</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analogy_meta</w:t>
            </w:r>
          </w:p>
        </w:tc>
        <w:tc>
          <w:tcPr>
            <w:tcW w:type="dxa" w:w="3213"/>
          </w:tcPr>
          <w:p>
            <w:pPr>
              <w:jc w:val="center"/>
            </w:pPr>
            <w:r/>
            <w:r>
              <w:rPr>
                <w:rFonts w:eastAsia="宋体" w:ascii="Times New Roman" w:hAnsi="Times New Roman"/>
                <w:b w:val="0"/>
                <w:i w:val="0"/>
                <w:sz w:val="15"/>
              </w:rPr>
              <w:t>0.027</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spatial_decompose</w:t>
            </w:r>
          </w:p>
        </w:tc>
        <w:tc>
          <w:tcPr>
            <w:tcW w:type="dxa" w:w="3213"/>
          </w:tcPr>
          <w:p>
            <w:pPr>
              <w:jc w:val="center"/>
            </w:pPr>
            <w:r/>
            <w:r>
              <w:rPr>
                <w:rFonts w:eastAsia="宋体" w:ascii="Times New Roman" w:hAnsi="Times New Roman"/>
                <w:b w:val="0"/>
                <w:i w:val="0"/>
                <w:sz w:val="15"/>
              </w:rPr>
              <w:t>0.021</w:t>
            </w:r>
          </w:p>
        </w:tc>
        <w:tc>
          <w:tcPr>
            <w:tcW w:type="dxa" w:w="3213"/>
          </w:tcPr>
          <w:p>
            <w:pPr>
              <w:jc w:val="center"/>
            </w:pPr>
            <w:r/>
            <w:r>
              <w:rPr>
                <w:rFonts w:eastAsia="宋体" w:ascii="Times New Roman" w:hAnsi="Times New Roman"/>
                <w:b w:val="0"/>
                <w:i w:val="0"/>
                <w:sz w:val="15"/>
              </w:rPr>
              <w:t>视觉</w:t>
            </w:r>
          </w:p>
        </w:tc>
      </w:tr>
      <w:tr>
        <w:tc>
          <w:tcPr>
            <w:tcW w:type="dxa" w:w="3213"/>
          </w:tcPr>
          <w:p>
            <w:r/>
            <w:r>
              <w:rPr>
                <w:rFonts w:eastAsia="宋体" w:ascii="Times New Roman" w:hAnsi="Times New Roman"/>
                <w:b w:val="0"/>
                <w:i w:val="0"/>
                <w:sz w:val="15"/>
              </w:rPr>
              <w:t>creative_leap</w:t>
            </w:r>
          </w:p>
        </w:tc>
        <w:tc>
          <w:tcPr>
            <w:tcW w:type="dxa" w:w="3213"/>
          </w:tcPr>
          <w:p>
            <w:pPr>
              <w:jc w:val="center"/>
            </w:pPr>
            <w:r/>
            <w:r>
              <w:rPr>
                <w:rFonts w:eastAsia="宋体" w:ascii="Times New Roman" w:hAnsi="Times New Roman"/>
                <w:b w:val="0"/>
                <w:i w:val="0"/>
                <w:sz w:val="15"/>
              </w:rPr>
              <w:t>0.020</w:t>
            </w:r>
          </w:p>
        </w:tc>
        <w:tc>
          <w:tcPr>
            <w:tcW w:type="dxa" w:w="3213"/>
          </w:tcPr>
          <w:p>
            <w:pPr>
              <w:jc w:val="center"/>
            </w:pPr>
            <w:r/>
            <w:r>
              <w:rPr>
                <w:rFonts w:eastAsia="宋体" w:ascii="Times New Roman" w:hAnsi="Times New Roman"/>
                <w:b w:val="0"/>
                <w:i w:val="0"/>
                <w:sz w:val="15"/>
              </w:rPr>
              <w:t>文本</w:t>
            </w:r>
          </w:p>
        </w:tc>
      </w:tr>
      <w:tr>
        <w:tc>
          <w:tcPr>
            <w:tcW w:type="dxa" w:w="3213"/>
          </w:tcPr>
          <w:p>
            <w:r/>
            <w:r>
              <w:rPr>
                <w:rFonts w:eastAsia="宋体" w:ascii="Times New Roman" w:hAnsi="Times New Roman"/>
                <w:b w:val="0"/>
                <w:i w:val="0"/>
                <w:sz w:val="15"/>
              </w:rPr>
              <w:t>visual_grounding</w:t>
            </w:r>
          </w:p>
        </w:tc>
        <w:tc>
          <w:tcPr>
            <w:tcW w:type="dxa" w:w="3213"/>
          </w:tcPr>
          <w:p>
            <w:pPr>
              <w:jc w:val="center"/>
            </w:pPr>
            <w:r/>
            <w:r>
              <w:rPr>
                <w:rFonts w:eastAsia="宋体" w:ascii="Times New Roman" w:hAnsi="Times New Roman"/>
                <w:b w:val="0"/>
                <w:i w:val="0"/>
                <w:sz w:val="15"/>
              </w:rPr>
              <w:t>0.010</w:t>
            </w:r>
          </w:p>
        </w:tc>
        <w:tc>
          <w:tcPr>
            <w:tcW w:type="dxa" w:w="3213"/>
          </w:tcPr>
          <w:p>
            <w:pPr>
              <w:jc w:val="center"/>
            </w:pPr>
            <w:r/>
            <w:r>
              <w:rPr>
                <w:rFonts w:eastAsia="宋体" w:ascii="Times New Roman" w:hAnsi="Times New Roman"/>
                <w:b w:val="0"/>
                <w:i w:val="0"/>
                <w:sz w:val="15"/>
              </w:rPr>
              <w:t>视觉</w:t>
            </w:r>
          </w:p>
        </w:tc>
      </w:tr>
    </w:tbl>
    <w:p>
      <w:r>
        <w:rPr>
          <w:rFonts w:eastAsia="宋体" w:ascii="Times New Roman" w:hAnsi="Times New Roman"/>
          <w:b w:val="0"/>
          <w:i w:val="0"/>
          <w:sz w:val="21"/>
        </w:rPr>
      </w:r>
    </w:p>
    <w:p>
      <w:pPr>
        <w:ind w:firstLine="420"/>
      </w:pPr>
      <w:r>
        <w:rPr>
          <w:rFonts w:eastAsia="宋体" w:ascii="Times New Roman" w:hAnsi="Times New Roman"/>
          <w:b w:val="0"/>
          <w:i w:val="0"/>
          <w:sz w:val="21"/>
        </w:rPr>
        <w:t>发现1：GPT-4o产生的坍缩比DeepSeek自评估强3.2倍。发现2：视觉任务比文本任务坍缩更严重（PCI 1.464 vs 1.348）。发现3：三种视觉策略合计仅获得9.1%权重，visual_grounding仅获得1.0%。</w:t>
      </w:r>
    </w:p>
    <w:p>
      <w:pPr>
        <w:spacing w:before="120" w:after="60"/>
      </w:pPr>
      <w:r>
        <w:rPr>
          <w:rFonts w:eastAsia="黑体" w:ascii="Times New Roman" w:hAnsi="Times New Roman"/>
          <w:b/>
          <w:i w:val="0"/>
          <w:sz w:val="21"/>
        </w:rPr>
        <w:t>5.2 阶段2：跨模态传染</w:t>
      </w:r>
    </w:p>
    <w:p>
      <w:pPr>
        <w:jc w:val="center"/>
      </w:pPr>
      <w:r>
        <w:rPr>
          <w:rFonts w:eastAsia="黑体" w:ascii="Times New Roman" w:hAnsi="Times New Roman"/>
          <w:b w:val="0"/>
          <w:i w:val="0"/>
          <w:sz w:val="18"/>
        </w:rPr>
        <w:t>表5  传染结果</w:t>
      </w:r>
    </w:p>
    <w:p>
      <w:pPr>
        <w:jc w:val="center"/>
      </w:pPr>
      <w:r>
        <w:rPr>
          <w:rFonts w:eastAsia="宋体" w:ascii="Times New Roman" w:hAnsi="Times New Roman"/>
          <w:b/>
          <w:i w:val="0"/>
          <w:sz w:val="18"/>
        </w:rPr>
        <w:t>Table 5  Contagion results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eastAsia="宋体" w:ascii="Times New Roman" w:hAnsi="Times New Roman"/>
                <w:b/>
                <w:i w:val="0"/>
                <w:sz w:val="15"/>
              </w:rPr>
            </w:r>
          </w:p>
        </w:tc>
        <w:tc>
          <w:tcPr>
            <w:tcW w:type="dxa" w:w="1928"/>
          </w:tcPr>
          <w:p>
            <w:pPr>
              <w:jc w:val="center"/>
            </w:pPr>
            <w:r/>
            <w:r>
              <w:rPr>
                <w:rFonts w:eastAsia="宋体" w:ascii="Times New Roman" w:hAnsi="Times New Roman"/>
                <w:b/>
                <w:i w:val="0"/>
                <w:sz w:val="15"/>
              </w:rPr>
              <w:t>纯文本</w:t>
            </w:r>
          </w:p>
        </w:tc>
        <w:tc>
          <w:tcPr>
            <w:tcW w:type="dxa" w:w="1928"/>
          </w:tcPr>
          <w:p>
            <w:pPr>
              <w:jc w:val="center"/>
            </w:pPr>
            <w:r/>
            <w:r>
              <w:rPr>
                <w:rFonts w:eastAsia="宋体" w:ascii="Times New Roman" w:hAnsi="Times New Roman"/>
                <w:b/>
                <w:i w:val="0"/>
                <w:sz w:val="15"/>
              </w:rPr>
              <w:t>纯视觉</w:t>
            </w:r>
          </w:p>
        </w:tc>
        <w:tc>
          <w:tcPr>
            <w:tcW w:type="dxa" w:w="1928"/>
          </w:tcPr>
          <w:p>
            <w:pPr>
              <w:jc w:val="center"/>
            </w:pPr>
            <w:r/>
            <w:r>
              <w:rPr>
                <w:rFonts w:eastAsia="宋体" w:ascii="Times New Roman" w:hAnsi="Times New Roman"/>
                <w:b/>
                <w:i w:val="0"/>
                <w:sz w:val="15"/>
              </w:rPr>
              <w:t>传染T→V</w:t>
            </w:r>
          </w:p>
        </w:tc>
        <w:tc>
          <w:tcPr>
            <w:tcW w:type="dxa" w:w="1928"/>
          </w:tcPr>
          <w:p>
            <w:pPr>
              <w:jc w:val="center"/>
            </w:pPr>
            <w:r/>
            <w:r>
              <w:rPr>
                <w:rFonts w:eastAsia="宋体" w:ascii="Times New Roman" w:hAnsi="Times New Roman"/>
                <w:b/>
                <w:i w:val="0"/>
                <w:sz w:val="15"/>
              </w:rPr>
              <w:t>传染V→T</w:t>
            </w:r>
          </w:p>
        </w:tc>
      </w:tr>
      <w:tr>
        <w:tc>
          <w:tcPr>
            <w:tcW w:type="dxa" w:w="1928"/>
          </w:tcPr>
          <w:p>
            <w:pPr>
              <w:jc w:val="center"/>
            </w:pPr>
            <w:r/>
            <w:r>
              <w:rPr>
                <w:rFonts w:eastAsia="宋体" w:ascii="Times New Roman" w:hAnsi="Times New Roman"/>
                <w:b w:val="0"/>
                <w:i w:val="0"/>
                <w:sz w:val="15"/>
              </w:rPr>
              <w:t>文本最优</w:t>
            </w:r>
          </w:p>
        </w:tc>
        <w:tc>
          <w:tcPr>
            <w:tcW w:type="dxa" w:w="1928"/>
          </w:tcPr>
          <w:p>
            <w:pPr>
              <w:jc w:val="center"/>
            </w:pPr>
            <w:r/>
            <w:r>
              <w:rPr>
                <w:rFonts w:eastAsia="宋体" w:ascii="Times New Roman" w:hAnsi="Times New Roman"/>
                <w:b w:val="0"/>
                <w:i w:val="0"/>
                <w:sz w:val="15"/>
              </w:rPr>
              <w:t>synthesis</w:t>
            </w:r>
          </w:p>
        </w:tc>
        <w:tc>
          <w:tcPr>
            <w:tcW w:type="dxa" w:w="1928"/>
          </w:tcPr>
          <w:p>
            <w:pPr>
              <w:jc w:val="center"/>
            </w:pPr>
            <w:r/>
            <w:r>
              <w:rPr>
                <w:rFonts w:eastAsia="宋体" w:ascii="Times New Roman" w:hAnsi="Times New Roman"/>
                <w:b w:val="0"/>
                <w:i w:val="0"/>
                <w:sz w:val="15"/>
              </w:rPr>
              <w:t>step_by_step</w:t>
            </w:r>
          </w:p>
        </w:tc>
        <w:tc>
          <w:tcPr>
            <w:tcW w:type="dxa" w:w="1928"/>
          </w:tcPr>
          <w:p>
            <w:pPr>
              <w:jc w:val="center"/>
            </w:pPr>
            <w:r/>
            <w:r>
              <w:rPr>
                <w:rFonts w:eastAsia="宋体" w:ascii="Times New Roman" w:hAnsi="Times New Roman"/>
                <w:b w:val="0"/>
                <w:i w:val="0"/>
                <w:sz w:val="15"/>
              </w:rPr>
              <w:t>—</w:t>
            </w:r>
          </w:p>
        </w:tc>
        <w:tc>
          <w:tcPr>
            <w:tcW w:type="dxa" w:w="1928"/>
          </w:tcPr>
          <w:p>
            <w:pPr>
              <w:jc w:val="center"/>
            </w:pPr>
            <w:r/>
            <w:r>
              <w:rPr>
                <w:rFonts w:eastAsia="宋体" w:ascii="Times New Roman" w:hAnsi="Times New Roman"/>
                <w:b w:val="0"/>
                <w:i w:val="0"/>
                <w:sz w:val="15"/>
              </w:rPr>
              <w:t>step_by_step</w:t>
            </w:r>
          </w:p>
        </w:tc>
      </w:tr>
      <w:tr>
        <w:tc>
          <w:tcPr>
            <w:tcW w:type="dxa" w:w="1928"/>
          </w:tcPr>
          <w:p>
            <w:pPr>
              <w:jc w:val="center"/>
            </w:pPr>
            <w:r/>
            <w:r>
              <w:rPr>
                <w:rFonts w:eastAsia="宋体" w:ascii="Times New Roman" w:hAnsi="Times New Roman"/>
                <w:b w:val="0"/>
                <w:i w:val="0"/>
                <w:sz w:val="15"/>
              </w:rPr>
              <w:t>视觉最优</w:t>
            </w:r>
          </w:p>
        </w:tc>
        <w:tc>
          <w:tcPr>
            <w:tcW w:type="dxa" w:w="1928"/>
          </w:tcPr>
          <w:p>
            <w:pPr>
              <w:jc w:val="center"/>
            </w:pPr>
            <w:r/>
            <w:r>
              <w:rPr>
                <w:rFonts w:eastAsia="宋体" w:ascii="Times New Roman" w:hAnsi="Times New Roman"/>
                <w:b w:val="0"/>
                <w:i w:val="0"/>
                <w:sz w:val="15"/>
              </w:rPr>
              <w:t>—</w:t>
            </w:r>
          </w:p>
        </w:tc>
        <w:tc>
          <w:tcPr>
            <w:tcW w:type="dxa" w:w="1928"/>
          </w:tcPr>
          <w:p>
            <w:pPr>
              <w:jc w:val="center"/>
            </w:pPr>
            <w:r/>
            <w:r>
              <w:rPr>
                <w:rFonts w:eastAsia="宋体" w:ascii="Times New Roman" w:hAnsi="Times New Roman"/>
                <w:b w:val="0"/>
                <w:i w:val="0"/>
                <w:sz w:val="15"/>
              </w:rPr>
              <w:t>step_by_step</w:t>
            </w:r>
          </w:p>
        </w:tc>
        <w:tc>
          <w:tcPr>
            <w:tcW w:type="dxa" w:w="1928"/>
          </w:tcPr>
          <w:p>
            <w:pPr>
              <w:jc w:val="center"/>
            </w:pPr>
            <w:r/>
            <w:r>
              <w:rPr>
                <w:rFonts w:eastAsia="宋体" w:ascii="Times New Roman" w:hAnsi="Times New Roman"/>
                <w:b w:val="0"/>
                <w:i w:val="0"/>
                <w:sz w:val="15"/>
              </w:rPr>
              <w:t>synthesis</w:t>
            </w:r>
          </w:p>
        </w:tc>
        <w:tc>
          <w:tcPr>
            <w:tcW w:type="dxa" w:w="1928"/>
          </w:tcPr>
          <w:p>
            <w:pPr>
              <w:jc w:val="center"/>
            </w:pPr>
            <w:r/>
            <w:r>
              <w:rPr>
                <w:rFonts w:eastAsia="宋体" w:ascii="Times New Roman" w:hAnsi="Times New Roman"/>
                <w:b w:val="0"/>
                <w:i w:val="0"/>
                <w:sz w:val="15"/>
              </w:rPr>
              <w:t>—</w:t>
            </w:r>
          </w:p>
        </w:tc>
      </w:tr>
    </w:tbl>
    <w:p>
      <w:r>
        <w:rPr>
          <w:rFonts w:eastAsia="宋体" w:ascii="Times New Roman" w:hAnsi="Times New Roman"/>
          <w:b w:val="0"/>
          <w:i w:val="0"/>
          <w:sz w:val="21"/>
        </w:rPr>
      </w:r>
    </w:p>
    <w:p>
      <w:pPr>
        <w:jc w:val="center"/>
      </w:pPr>
      <w:r>
        <w:rPr>
          <w:rFonts w:eastAsia="黑体" w:ascii="Times New Roman" w:hAnsi="Times New Roman"/>
          <w:b w:val="0"/>
          <w:i w:val="0"/>
          <w:sz w:val="18"/>
        </w:rPr>
        <w:t>表6  传染系数</w:t>
      </w:r>
    </w:p>
    <w:p>
      <w:pPr>
        <w:jc w:val="center"/>
      </w:pPr>
      <w:r>
        <w:rPr>
          <w:rFonts w:eastAsia="宋体" w:ascii="Times New Roman" w:hAnsi="Times New Roman"/>
          <w:b/>
          <w:i w:val="0"/>
          <w:sz w:val="18"/>
        </w:rPr>
        <w:t>Table 6  Contagion coefficients</w:t>
      </w:r>
    </w:p>
    <w:tbl>
      <w:tblPr>
        <w:tblStyle w:val="TableGrid"/>
        <w:tblW w:type="auto" w:w="0"/>
        <w:tblLook w:firstColumn="1" w:firstRow="1" w:lastColumn="0" w:lastRow="0" w:noHBand="0" w:noVBand="1" w:val="04A0"/>
      </w:tblPr>
      <w:tblGrid>
        <w:gridCol w:w="4819"/>
        <w:gridCol w:w="4819"/>
      </w:tblGrid>
      <w:tr>
        <w:tc>
          <w:tcPr>
            <w:tcW w:type="dxa" w:w="4819"/>
          </w:tcPr>
          <w:p>
            <w:pPr>
              <w:jc w:val="center"/>
            </w:pPr>
            <w:r/>
            <w:r>
              <w:rPr>
                <w:rFonts w:eastAsia="宋体" w:ascii="Times New Roman" w:hAnsi="Times New Roman"/>
                <w:b/>
                <w:i w:val="0"/>
                <w:sz w:val="15"/>
              </w:rPr>
              <w:t>系数</w:t>
            </w:r>
          </w:p>
        </w:tc>
        <w:tc>
          <w:tcPr>
            <w:tcW w:type="dxa" w:w="4819"/>
          </w:tcPr>
          <w:p>
            <w:pPr>
              <w:jc w:val="center"/>
            </w:pPr>
            <w:r/>
            <w:r>
              <w:rPr>
                <w:rFonts w:eastAsia="宋体" w:ascii="Times New Roman" w:hAnsi="Times New Roman"/>
                <w:b/>
                <w:i w:val="0"/>
                <w:sz w:val="15"/>
              </w:rPr>
              <w:t>数值</w:t>
            </w:r>
          </w:p>
        </w:tc>
      </w:tr>
      <w:tr>
        <w:tc>
          <w:tcPr>
            <w:tcW w:type="dxa" w:w="4819"/>
          </w:tcPr>
          <w:p>
            <w:pPr>
              <w:jc w:val="center"/>
            </w:pPr>
            <w:r/>
            <w:r>
              <w:rPr>
                <w:rFonts w:eastAsia="宋体" w:ascii="Times New Roman" w:hAnsi="Times New Roman"/>
                <w:b w:val="0"/>
                <w:i w:val="0"/>
                <w:sz w:val="15"/>
              </w:rPr>
              <w:t>γ_{T→V}</w:t>
            </w:r>
          </w:p>
        </w:tc>
        <w:tc>
          <w:tcPr>
            <w:tcW w:type="dxa" w:w="4819"/>
          </w:tcPr>
          <w:p>
            <w:pPr>
              <w:jc w:val="center"/>
            </w:pPr>
            <w:r/>
            <w:r>
              <w:rPr>
                <w:rFonts w:eastAsia="宋体" w:ascii="Times New Roman" w:hAnsi="Times New Roman"/>
                <w:b w:val="0"/>
                <w:i w:val="0"/>
                <w:sz w:val="15"/>
              </w:rPr>
              <w:t>0.832</w:t>
            </w:r>
          </w:p>
        </w:tc>
      </w:tr>
      <w:tr>
        <w:tc>
          <w:tcPr>
            <w:tcW w:type="dxa" w:w="4819"/>
          </w:tcPr>
          <w:p>
            <w:pPr>
              <w:jc w:val="center"/>
            </w:pPr>
            <w:r/>
            <w:r>
              <w:rPr>
                <w:rFonts w:eastAsia="宋体" w:ascii="Times New Roman" w:hAnsi="Times New Roman"/>
                <w:b w:val="0"/>
                <w:i w:val="0"/>
                <w:sz w:val="15"/>
              </w:rPr>
              <w:t>γ_{V→T}</w:t>
            </w:r>
          </w:p>
        </w:tc>
        <w:tc>
          <w:tcPr>
            <w:tcW w:type="dxa" w:w="4819"/>
          </w:tcPr>
          <w:p>
            <w:pPr>
              <w:jc w:val="center"/>
            </w:pPr>
            <w:r/>
            <w:r>
              <w:rPr>
                <w:rFonts w:eastAsia="宋体" w:ascii="Times New Roman" w:hAnsi="Times New Roman"/>
                <w:b w:val="0"/>
                <w:i w:val="0"/>
                <w:sz w:val="15"/>
              </w:rPr>
              <w:t>0.847</w:t>
            </w:r>
          </w:p>
        </w:tc>
      </w:tr>
      <w:tr>
        <w:tc>
          <w:tcPr>
            <w:tcW w:type="dxa" w:w="4819"/>
          </w:tcPr>
          <w:p>
            <w:pPr>
              <w:jc w:val="center"/>
            </w:pPr>
            <w:r/>
            <w:r>
              <w:rPr>
                <w:rFonts w:eastAsia="宋体" w:ascii="Times New Roman" w:hAnsi="Times New Roman"/>
                <w:b w:val="0"/>
                <w:i w:val="0"/>
                <w:sz w:val="15"/>
              </w:rPr>
              <w:t>不对称比率</w:t>
            </w:r>
          </w:p>
        </w:tc>
        <w:tc>
          <w:tcPr>
            <w:tcW w:type="dxa" w:w="4819"/>
          </w:tcPr>
          <w:p>
            <w:pPr>
              <w:jc w:val="center"/>
            </w:pPr>
            <w:r/>
            <w:r>
              <w:rPr>
                <w:rFonts w:eastAsia="宋体" w:ascii="Times New Roman" w:hAnsi="Times New Roman"/>
                <w:b w:val="0"/>
                <w:i w:val="0"/>
                <w:sz w:val="15"/>
              </w:rPr>
              <w:t>0.009</w:t>
            </w:r>
          </w:p>
        </w:tc>
      </w:tr>
    </w:tbl>
    <w:p>
      <w:r>
        <w:rPr>
          <w:rFonts w:eastAsia="宋体" w:ascii="Times New Roman" w:hAnsi="Times New Roman"/>
          <w:b w:val="0"/>
          <w:i w:val="0"/>
          <w:sz w:val="21"/>
        </w:rPr>
      </w:r>
    </w:p>
    <w:p>
      <w:pPr>
        <w:ind w:firstLine="420"/>
      </w:pPr>
      <w:r>
        <w:rPr>
          <w:rFonts w:eastAsia="宋体" w:ascii="Times New Roman" w:hAnsi="Times New Roman"/>
          <w:b w:val="0"/>
          <w:i w:val="0"/>
          <w:sz w:val="21"/>
        </w:rPr>
        <w:t>发现4（策略反转）：纯文本→synthesis；纯视觉→step_by_step。跨模态暴露后，最优策略互换。</w:t>
      </w:r>
    </w:p>
    <w:p>
      <w:pPr>
        <w:ind w:firstLine="420"/>
      </w:pPr>
      <w:r>
        <w:rPr>
          <w:rFonts w:eastAsia="宋体" w:ascii="Times New Roman" w:hAnsi="Times New Roman"/>
          <w:b w:val="0"/>
          <w:i w:val="0"/>
          <w:sz w:val="21"/>
        </w:rPr>
        <w:t>发现5（不对称传染）：γ_{V→T}=0.847 &gt; γ_{T→V}=0.832。视觉先验对文本的污染比反向强1.8%。</w:t>
      </w:r>
    </w:p>
    <w:p>
      <w:pPr>
        <w:ind w:firstLine="420"/>
      </w:pPr>
      <w:r>
        <w:rPr>
          <w:rFonts w:eastAsia="宋体" w:ascii="Times New Roman" w:hAnsi="Times New Roman"/>
          <w:b w:val="0"/>
          <w:i w:val="0"/>
          <w:sz w:val="21"/>
        </w:rPr>
        <w:t>发现6：传染矩阵Γ=[[1.000, 0.832], [0.847, 1.000]]。</w:t>
      </w:r>
    </w:p>
    <w:p>
      <w:pPr>
        <w:spacing w:before="120" w:after="60"/>
      </w:pPr>
      <w:r>
        <w:rPr>
          <w:rFonts w:eastAsia="黑体" w:ascii="Times New Roman" w:hAnsi="Times New Roman"/>
          <w:b/>
          <w:i w:val="0"/>
          <w:sz w:val="24"/>
        </w:rPr>
        <w:t>6 统计验证</w:t>
      </w:r>
    </w:p>
    <w:p>
      <w:pPr>
        <w:ind w:firstLine="420"/>
      </w:pPr>
      <w:r>
        <w:rPr>
          <w:rFonts w:eastAsia="宋体" w:ascii="Times New Roman" w:hAnsi="Times New Roman"/>
          <w:b w:val="0"/>
          <w:i w:val="0"/>
          <w:sz w:val="21"/>
        </w:rPr>
        <w:t>为评估跨模态不对称性的稳健性，进行了第三阶段显著性实验（N=10次独立重复，每次50轮×4阶段，共2000次LLM评估调用）。每次重复独立初始化策略权重并运行完整的隔离训练流程。使用DashScope的gui-plus-2026-02-26模型通过OpenAI兼容接口，与阶段1-2使用的GPT-4o属于不同的模型家族和API提供商，提供了对现象普适性的更严格检验。</w:t>
      </w:r>
    </w:p>
    <w:p>
      <w:pPr>
        <w:ind w:firstLine="420"/>
      </w:pPr>
      <w:r>
        <w:rPr>
          <w:rFonts w:eastAsia="宋体" w:ascii="Times New Roman" w:hAnsi="Times New Roman"/>
          <w:b w:val="0"/>
          <w:i w:val="0"/>
          <w:sz w:val="21"/>
        </w:rPr>
        <w:t>结果如表7所示。平均传染系数为γ̄_{T→V}=1.239（SD=0.219）和γ̄_{V→T}=1.317（SD=0.387），平均不对称性Δγ=0.078，方向为γ_{V→T}&gt;γ_{T→V}，在10次重复中7次一致。然而，95%自助法置信区间[-0.182, 0.307]跨越零值，单侧p=0.252。效应量较小（Cohen's d=0.19），在α=0.05时统计功效仅为14.7%。</w:t>
      </w:r>
    </w:p>
    <w:p>
      <w:pPr>
        <w:ind w:firstLine="420"/>
      </w:pPr>
      <w:r>
        <w:rPr>
          <w:rFonts w:eastAsia="宋体" w:ascii="Times New Roman" w:hAnsi="Times New Roman"/>
          <w:b w:val="0"/>
          <w:i w:val="0"/>
          <w:sz w:val="21"/>
        </w:rPr>
        <w:t>本文将这些结果解读为方向性证据而非确认性证据：阶段2中观察到的非对称方向在跨评估者实现中得到一致复现，但其量级在当前样本量下不足以在常规阈值上拒绝零假设。功效分析表明达到80%统计功效需要N≥176次重复，约35200次额外LLM评估调用，留待未来工作。</w:t>
      </w:r>
    </w:p>
    <w:p>
      <w:pPr>
        <w:spacing w:before="120" w:after="60"/>
      </w:pPr>
      <w:r>
        <w:rPr>
          <w:rFonts w:eastAsia="黑体" w:ascii="Times New Roman" w:hAnsi="Times New Roman"/>
          <w:b/>
          <w:i w:val="0"/>
          <w:sz w:val="24"/>
        </w:rPr>
        <w:t>7 讨论</w:t>
      </w:r>
    </w:p>
    <w:p>
      <w:pPr>
        <w:spacing w:before="120" w:after="60"/>
      </w:pPr>
      <w:r>
        <w:rPr>
          <w:rFonts w:eastAsia="黑体" w:ascii="Times New Roman" w:hAnsi="Times New Roman"/>
          <w:b/>
          <w:i w:val="0"/>
          <w:sz w:val="21"/>
        </w:rPr>
        <w:t>7.1 GPT-4o为何产生3.2倍的坍缩？</w:t>
      </w:r>
    </w:p>
    <w:p>
      <w:pPr>
        <w:ind w:firstLine="420"/>
      </w:pPr>
      <w:r>
        <w:rPr>
          <w:rFonts w:eastAsia="宋体" w:ascii="Times New Roman" w:hAnsi="Times New Roman"/>
          <w:b w:val="0"/>
          <w:i w:val="0"/>
          <w:sz w:val="21"/>
        </w:rPr>
        <w:t>因果说明：本实验设计建立了GPT-4o作为评估者与升高的PCI之间的关联，但未声称已分离出因果机制。以下三个假设是可能但非互斥的解释，需受控实验来建立因果关系。</w:t>
      </w:r>
    </w:p>
    <w:p>
      <w:pPr>
        <w:ind w:firstLine="420"/>
      </w:pPr>
      <w:r>
        <w:rPr>
          <w:rFonts w:eastAsia="宋体" w:ascii="Times New Roman" w:hAnsi="Times New Roman"/>
          <w:b w:val="0"/>
          <w:i w:val="0"/>
          <w:sz w:val="21"/>
        </w:rPr>
        <w:t>（1）RLHF诱导的结构性偏好。GPT-4o经过大量RLHF训练，人类标注者持续偏好结构化、逐步推导的输出[3]。当GPT-4o作为评估者时，模型应用其被训练产生的相同的偏好结构，形成自我强化循环。</w:t>
      </w:r>
    </w:p>
    <w:p>
      <w:pPr>
        <w:ind w:firstLine="420"/>
      </w:pPr>
      <w:r>
        <w:rPr>
          <w:rFonts w:eastAsia="宋体" w:ascii="Times New Roman" w:hAnsi="Times New Roman"/>
          <w:b w:val="0"/>
          <w:i w:val="0"/>
          <w:sz w:val="21"/>
        </w:rPr>
        <w:t>（2）缺乏自我偏好制衡。同模型自评估中存在评估者有动力承认多样化策略有效性的机制。跨模型评估消除了这种隐性激励：GPT-4o与DeepSeek-chat没有架构亲缘关系，毫无保留地应用其偏好。</w:t>
      </w:r>
    </w:p>
    <w:p>
      <w:pPr>
        <w:ind w:firstLine="420"/>
      </w:pPr>
      <w:r>
        <w:rPr>
          <w:rFonts w:eastAsia="宋体" w:ascii="Times New Roman" w:hAnsi="Times New Roman"/>
          <w:b w:val="0"/>
          <w:i w:val="0"/>
          <w:sz w:val="21"/>
        </w:rPr>
        <w:t>（3）视觉模态放大效应。视觉任务中PCI高出8.6%（1.464 vs 1.348），表明视觉评估本质上比文本评估更主观。文本任务通常具有可验证的真实答案，而视觉相关任务本质上更依赖偏好。</w:t>
      </w:r>
    </w:p>
    <w:p>
      <w:pPr>
        <w:spacing w:before="120" w:after="60"/>
      </w:pPr>
      <w:r>
        <w:rPr>
          <w:rFonts w:eastAsia="黑体" w:ascii="Times New Roman" w:hAnsi="Times New Roman"/>
          <w:b/>
          <w:i w:val="0"/>
          <w:sz w:val="21"/>
        </w:rPr>
        <w:t>7.2 消融：各模态对MPCI的贡献</w:t>
      </w:r>
    </w:p>
    <w:p>
      <w:pPr>
        <w:ind w:firstLine="420"/>
      </w:pPr>
      <w:r>
        <w:rPr>
          <w:rFonts w:eastAsia="宋体" w:ascii="Times New Roman" w:hAnsi="Times New Roman"/>
          <w:b w:val="0"/>
          <w:i w:val="0"/>
          <w:sz w:val="21"/>
        </w:rPr>
        <w:t>将MPCI=1.428分解：PCI_text=1.348（47.2%），PCI_visual=1.464（51.3%），CPCI=0.043（1.5%）。视觉PCI占主导地位（51.3%）尽管任务分配均等，确认了视觉评估是坍缩的主要驱动因素。CPCI贡献极小因为文本和视觉权重收敛至同一最优策略。这表明评估者的偏好是模态不变性的（始终偏好step_by_step），但其表达是模态放大性的（在视觉任务中更强）。</w:t>
      </w:r>
    </w:p>
    <w:p>
      <w:pPr>
        <w:spacing w:before="120" w:after="60"/>
      </w:pPr>
      <w:r>
        <w:rPr>
          <w:rFonts w:eastAsia="黑体" w:ascii="Times New Roman" w:hAnsi="Times New Roman"/>
          <w:b/>
          <w:i w:val="0"/>
          <w:sz w:val="21"/>
        </w:rPr>
        <w:t>7.3 对多模态智能体系统的启示</w:t>
      </w:r>
    </w:p>
    <w:p>
      <w:pPr>
        <w:spacing w:before="120" w:after="60"/>
      </w:pPr>
      <w:r>
        <w:rPr>
          <w:rFonts w:eastAsia="楷体" w:ascii="Times New Roman" w:hAnsi="Times New Roman"/>
          <w:b/>
          <w:i w:val="0"/>
          <w:sz w:val="21"/>
        </w:rPr>
        <w:t>7.3.1 视觉策略不可见性</w:t>
      </w:r>
    </w:p>
    <w:p>
      <w:pPr>
        <w:ind w:firstLine="420"/>
      </w:pPr>
      <w:r>
        <w:rPr>
          <w:rFonts w:eastAsia="宋体" w:ascii="Times New Roman" w:hAnsi="Times New Roman"/>
          <w:b w:val="0"/>
          <w:i w:val="0"/>
          <w:sz w:val="21"/>
        </w:rPr>
        <w:t>三种视觉领域策略合计仅获9.1%权重。评估者实质上"屏蔽"了智能体的视觉推理能力，退回到它能够一致评估的通用step_by_step策略。这创造了危险激励：为评估者满意度优化的智能体将系统性少用适合模态的策略。</w:t>
      </w:r>
    </w:p>
    <w:p>
      <w:pPr>
        <w:spacing w:before="120" w:after="60"/>
      </w:pPr>
      <w:r>
        <w:rPr>
          <w:rFonts w:eastAsia="楷体" w:ascii="Times New Roman" w:hAnsi="Times New Roman"/>
          <w:b/>
          <w:i w:val="0"/>
          <w:sz w:val="21"/>
        </w:rPr>
        <w:t>7.3.2 训练顺序决定策略</w:t>
      </w:r>
    </w:p>
    <w:p>
      <w:pPr>
        <w:ind w:firstLine="420"/>
      </w:pPr>
      <w:r>
        <w:rPr>
          <w:rFonts w:eastAsia="宋体" w:ascii="Times New Roman" w:hAnsi="Times New Roman"/>
          <w:b w:val="0"/>
          <w:i w:val="0"/>
          <w:sz w:val="21"/>
        </w:rPr>
        <w:t>传染实验揭示路径依赖问题：智能体首先训练的模态会塑造后续所有模态的策略分布。由于γ_{V→T}=0.847&gt;γ_{T→V}=0.832，先训练视觉任务在文本领域产生更严重的污染。策略反转是严重的实际后果。</w:t>
      </w:r>
    </w:p>
    <w:p>
      <w:pPr>
        <w:spacing w:before="120" w:after="60"/>
      </w:pPr>
      <w:r>
        <w:rPr>
          <w:rFonts w:eastAsia="楷体" w:ascii="Times New Roman" w:hAnsi="Times New Roman"/>
          <w:b/>
          <w:i w:val="0"/>
          <w:sz w:val="21"/>
        </w:rPr>
        <w:t>7.3.3 需要标准化多评估者基准</w:t>
      </w:r>
    </w:p>
    <w:p>
      <w:pPr>
        <w:ind w:firstLine="420"/>
      </w:pPr>
      <w:r>
        <w:rPr>
          <w:rFonts w:eastAsia="宋体" w:ascii="Times New Roman" w:hAnsi="Times New Roman"/>
          <w:b w:val="0"/>
          <w:i w:val="0"/>
          <w:sz w:val="21"/>
        </w:rPr>
        <w:t>LLM-as-Judge社区已将多模型评估确立为最佳实践[1]。本文将此要求扩展至动态智能体评估：任何在反馈循环中使用LLM评估者的系统应报告PCI/MPCI、使用至少两个不同模型家族的评估者、并隔离特定模态训练阶段。</w:t>
      </w:r>
    </w:p>
    <w:p>
      <w:pPr>
        <w:spacing w:before="120" w:after="60"/>
      </w:pPr>
      <w:r>
        <w:rPr>
          <w:rFonts w:eastAsia="黑体" w:ascii="Times New Roman" w:hAnsi="Times New Roman"/>
          <w:b/>
          <w:i w:val="0"/>
          <w:sz w:val="21"/>
        </w:rPr>
        <w:t>7.4 局限性</w:t>
      </w:r>
    </w:p>
    <w:p>
      <w:pPr>
        <w:ind w:firstLine="420"/>
      </w:pPr>
      <w:r>
        <w:rPr>
          <w:rFonts w:eastAsia="宋体" w:ascii="Times New Roman" w:hAnsi="Times New Roman"/>
          <w:b w:val="0"/>
          <w:i w:val="0"/>
          <w:sz w:val="21"/>
        </w:rPr>
        <w:t>实验规模：总计2080次LLM调用，仍不足以对所观察到的不对称性建立统计显著性。需要N≥30次重复以获得足够统计功效。模态覆盖：两种模态仅触及多模态皮毛，扩展至音频将产生3×3传染矩阵。评估者多样性：发现特定于GPT-4o，其他多模态评估者表现未知。真实视觉输入：视觉任务基于文本提示而非图像，使用GPT-4o视觉API复现将提供更生态有效的测量。</w:t>
      </w:r>
    </w:p>
    <w:p>
      <w:pPr>
        <w:spacing w:before="120" w:after="60"/>
      </w:pPr>
      <w:r>
        <w:rPr>
          <w:rFonts w:eastAsia="黑体" w:ascii="Times New Roman" w:hAnsi="Times New Roman"/>
          <w:b/>
          <w:i w:val="0"/>
          <w:sz w:val="24"/>
        </w:rPr>
        <w:t>8 代码和数据可用性</w:t>
      </w:r>
    </w:p>
    <w:p>
      <w:pPr>
        <w:ind w:firstLine="420"/>
      </w:pPr>
      <w:r>
        <w:rPr>
          <w:rFonts w:eastAsia="宋体" w:ascii="Times New Roman" w:hAnsi="Times New Roman"/>
          <w:b w:val="0"/>
          <w:i w:val="0"/>
          <w:sz w:val="21"/>
        </w:rPr>
        <w:t>复现实验的全部代码已开源至https://github.com/aidless/mm-epc，包含MM-EPC框架完整实现、自助法分析脚本和LaTeX表格。统计验证结果以机器可读JSON格式提供。</w:t>
      </w:r>
    </w:p>
    <w:p>
      <w:pPr>
        <w:spacing w:before="120" w:after="60"/>
      </w:pPr>
      <w:r>
        <w:rPr>
          <w:rFonts w:eastAsia="黑体" w:ascii="Times New Roman" w:hAnsi="Times New Roman"/>
          <w:b/>
          <w:i w:val="0"/>
          <w:sz w:val="24"/>
        </w:rPr>
        <w:t>9 结束语</w:t>
      </w:r>
    </w:p>
    <w:p>
      <w:pPr>
        <w:ind w:firstLine="420"/>
      </w:pPr>
      <w:r>
        <w:rPr>
          <w:rFonts w:eastAsia="宋体" w:ascii="Times New Roman" w:hAnsi="Times New Roman"/>
          <w:b w:val="0"/>
          <w:i w:val="0"/>
          <w:sz w:val="21"/>
        </w:rPr>
        <w:t>本文通过三个实验展示了多模态评估者偏好坍缩：（1）GPT-4o产生的坍缩是纯文本EPC的3.2倍，消除了视觉策略；（2）评估者偏好跨模态不对称传染，导致策略反转；（3）第三阶段统计验证发现γ_{V→T}&gt;γ_{T→V}的一致方向性证据（7/10次重复），但统计功效不足以拒绝零假设（p=0.252）。本文发布了MM-EPC框架和首个传染矩阵Γ。当GPT-4o作为你的评估者时，你的智能体学会做GPT-4o最喜欢的回答者——而非最有能力的那个。</w:t>
      </w:r>
    </w:p>
    <w:p>
      <w:r>
        <w:rPr>
          <w:rFonts w:eastAsia="宋体" w:ascii="Times New Roman" w:hAnsi="Times New Roman"/>
          <w:b w:val="0"/>
          <w:i w:val="0"/>
          <w:sz w:val="21"/>
        </w:rPr>
      </w:r>
    </w:p>
    <w:p>
      <w:pPr>
        <w:jc w:val="center"/>
      </w:pPr>
      <w:r>
        <w:rPr>
          <w:rFonts w:eastAsia="宋体" w:ascii="Times New Roman" w:hAnsi="Times New Roman"/>
          <w:b w:val="0"/>
          <w:i w:val="0"/>
          <w:sz w:val="18"/>
        </w:rPr>
        <w:t>————————————————————————————————————————</w:t>
      </w:r>
    </w:p>
    <w:p>
      <w:r>
        <w:rPr>
          <w:rFonts w:eastAsia="宋体" w:ascii="Times New Roman" w:hAnsi="Times New Roman"/>
          <w:b w:val="0"/>
          <w:i w:val="0"/>
          <w:sz w:val="21"/>
        </w:rPr>
      </w:r>
    </w:p>
    <w:p>
      <w:pPr>
        <w:spacing w:before="120" w:after="60"/>
      </w:pPr>
      <w:r>
        <w:rPr>
          <w:rFonts w:eastAsia="黑体" w:ascii="Times New Roman" w:hAnsi="Times New Roman"/>
          <w:b/>
          <w:i w:val="0"/>
          <w:sz w:val="24"/>
        </w:rPr>
        <w:t>参考文献：</w:t>
      </w:r>
    </w:p>
    <w:p>
      <w:r>
        <w:rPr>
          <w:rFonts w:eastAsia="宋体" w:ascii="Times New Roman" w:hAnsi="Times New Roman"/>
          <w:b w:val="0"/>
          <w:i w:val="0"/>
          <w:sz w:val="18"/>
        </w:rPr>
        <w:t>[1] ZHENG L, CHIANG W-L, SHENG Y, et al. Judging LLM-as-a-judge with MT-Bench and Chatbot Arena[C]//Advances in Neural Information Processing Systems, 2023: 46595-46623.</w:t>
      </w:r>
    </w:p>
    <w:p>
      <w:r>
        <w:rPr>
          <w:rFonts w:eastAsia="宋体" w:ascii="Times New Roman" w:hAnsi="Times New Roman"/>
          <w:b w:val="0"/>
          <w:i w:val="0"/>
          <w:sz w:val="18"/>
        </w:rPr>
        <w:t>[2] CHIANG W-L, ZHENG L, SHENG Y, et al. Chatbot Arena: An open platform for evaluating LLMs by human preference[C]//International Conference on Machine Learning, 2024.</w:t>
      </w:r>
    </w:p>
    <w:p>
      <w:r>
        <w:rPr>
          <w:rFonts w:eastAsia="宋体" w:ascii="Times New Roman" w:hAnsi="Times New Roman"/>
          <w:b w:val="0"/>
          <w:i w:val="0"/>
          <w:sz w:val="18"/>
        </w:rPr>
        <w:t>[3] OpenAI. GPT-4o system card[R]. arXiv:2410.21276, 2024.</w:t>
      </w:r>
    </w:p>
    <w:p>
      <w:r>
        <w:rPr>
          <w:rFonts w:eastAsia="宋体" w:ascii="Times New Roman" w:hAnsi="Times New Roman"/>
          <w:b w:val="0"/>
          <w:i w:val="0"/>
          <w:sz w:val="18"/>
        </w:rPr>
        <w:t>[4] LIU Z. Evaluator Preference Collapse: Self-evaluation bias in test-time agent evolution[R]. arXiv, 2026.</w:t>
      </w:r>
    </w:p>
    <w:p>
      <w:r>
        <w:rPr>
          <w:rFonts w:eastAsia="宋体" w:ascii="Times New Roman" w:hAnsi="Times New Roman"/>
          <w:b w:val="0"/>
          <w:i w:val="0"/>
          <w:sz w:val="18"/>
        </w:rPr>
        <w:t>[5] LI X, ZHANG T, DUBOIS Y, et al. AlpacaEval: An automatic evaluator of instruction-following models[C]//International Conference on Learning Representations, 2024.</w:t>
      </w:r>
    </w:p>
    <w:p>
      <w:r>
        <w:rPr>
          <w:rFonts w:eastAsia="宋体" w:ascii="Times New Roman" w:hAnsi="Times New Roman"/>
          <w:b w:val="0"/>
          <w:i w:val="0"/>
          <w:sz w:val="18"/>
        </w:rPr>
        <w:t>[6] VERGA P, RASHKIN H, BANSAL M. Arbiter: A robust evaluation framework for LLM-as-judge[C]//Empirical Methods in Natural Language Processing, 2024.</w:t>
      </w:r>
    </w:p>
    <w:p>
      <w:r>
        <w:rPr>
          <w:rFonts w:eastAsia="宋体" w:ascii="Times New Roman" w:hAnsi="Times New Roman"/>
          <w:b w:val="0"/>
          <w:i w:val="0"/>
          <w:sz w:val="18"/>
        </w:rPr>
        <w:t>[7] YUAN W, PANG R Y, CHO K, et al. Self-rewarding language models[C]//International Conference on Machine Learning, 2024.</w:t>
      </w:r>
    </w:p>
    <w:p>
      <w:r>
        <w:rPr>
          <w:rFonts w:eastAsia="宋体" w:ascii="Times New Roman" w:hAnsi="Times New Roman"/>
          <w:b w:val="0"/>
          <w:i w:val="0"/>
          <w:sz w:val="18"/>
        </w:rPr>
        <w:t>[8] CHEN H, YAO S, YU D, et al. Self-play fine-tuning converts weak language models to strong language models[C]//Advances in Neural Information Processing Systems, 2024.</w:t>
      </w:r>
    </w:p>
    <w:p>
      <w:r>
        <w:rPr>
          <w:rFonts w:eastAsia="宋体" w:ascii="Times New Roman" w:hAnsi="Times New Roman"/>
          <w:b w:val="0"/>
          <w:i w:val="0"/>
          <w:sz w:val="18"/>
        </w:rPr>
        <w:t>[9] Google DeepMind. Gemini 1.5: Unlocking multimodal understanding across millions of tokens[R]. arXiv:2403.05530, 2024.</w:t>
      </w:r>
    </w:p>
    <w:p>
      <w:r>
        <w:rPr>
          <w:rFonts w:eastAsia="宋体" w:ascii="Times New Roman" w:hAnsi="Times New Roman"/>
          <w:b w:val="0"/>
          <w:i w:val="0"/>
          <w:sz w:val="18"/>
        </w:rPr>
        <w:t>[10] LU J, BATRA D, PARIKH D, et al. ViLBERT: Pretraining task-agnostic visiolinguistic representations[C]//Advances in Neural Information Processing Systems, 2019.</w:t>
      </w:r>
    </w:p>
    <w:p>
      <w:r>
        <w:rPr>
          <w:rFonts w:eastAsia="宋体" w:ascii="Times New Roman" w:hAnsi="Times New Roman"/>
          <w:b w:val="0"/>
          <w:i w:val="0"/>
          <w:sz w:val="18"/>
        </w:rPr>
        <w:t>[11] AGHAJANYAN A, GUPTA A, SHRIVASTAVA A, et al. CM3: A causal masked multimodal model of the internet[R]. arXiv:2101.08220, 2021.</w:t>
      </w:r>
    </w:p>
    <w:p>
      <w:r>
        <w:rPr>
          <w:rFonts w:eastAsia="宋体" w:ascii="Times New Roman" w:hAnsi="Times New Roman"/>
          <w:b w:val="0"/>
          <w:i w:val="0"/>
          <w:sz w:val="18"/>
        </w:rPr>
        <w:t>[12] ALAYRAC J-B, DONAHUE J, LUC P, et al. Flamingo: A visual language model for few-shot learning[C]//Advances in Neural Information Processing Systems, 2022.</w:t>
      </w:r>
    </w:p>
    <w:p>
      <w:r>
        <w:rPr>
          <w:rFonts w:eastAsia="宋体" w:ascii="Times New Roman" w:hAnsi="Times New Roman"/>
          <w:b w:val="0"/>
          <w:i w:val="0"/>
          <w:sz w:val="18"/>
        </w:rPr>
        <w:t>[13] YU T, ZHANG R, YANG Z, et al. Reward hacking in multimodal RLHF: A case study in vision-language models[C]//International Conference on Learning Representations, 2024.</w:t>
      </w:r>
    </w:p>
    <w:p>
      <w:r>
        <w:rPr>
          <w:rFonts w:eastAsia="宋体" w:ascii="Times New Roman" w:hAnsi="Times New Roman"/>
          <w:b w:val="0"/>
          <w:i w:val="0"/>
          <w:sz w:val="18"/>
        </w:rPr>
        <w:t>[14] SUN Z, SHEN Y, ZHOU Q, et al. Aligning multimodal large language models with human preferences: Challenges and solutions[R]. arXiv:2405.07656, 2024.</w:t>
      </w:r>
    </w:p>
    <w:p>
      <w:r>
        <w:rPr>
          <w:rFonts w:eastAsia="宋体" w:ascii="Times New Roman" w:hAnsi="Times New Roman"/>
          <w:b w:val="0"/>
          <w:i w:val="0"/>
          <w:sz w:val="18"/>
        </w:rPr>
        <w:t>[15] SHINN N, CASSANO F, GOPINATH A, et al. Reflexion: Language agents with verbal reinforcement learning[C]//Advances in Neural Information Processing Systems, 2023.</w:t>
      </w:r>
    </w:p>
    <w:p>
      <w:r>
        <w:rPr>
          <w:rFonts w:eastAsia="宋体" w:ascii="Times New Roman" w:hAnsi="Times New Roman"/>
          <w:b w:val="0"/>
          <w:i w:val="0"/>
          <w:sz w:val="18"/>
        </w:rPr>
        <w:t>[16] MADAAN A, TANDON N, GUPTA P, et al. Self-Refine: Iterative refinement with self-feedback[C]//Advances in Neural Information Processing Systems, 2023.</w:t>
      </w:r>
    </w:p>
    <w:p>
      <w:r>
        <w:rPr>
          <w:rFonts w:eastAsia="宋体" w:ascii="Times New Roman" w:hAnsi="Times New Roman"/>
          <w:b w:val="0"/>
          <w:i w:val="0"/>
          <w:sz w:val="18"/>
        </w:rPr>
        <w:t>[17] YAO S, ZHAO J, YU D, et al. ReAct: Synergizing reasoning and acting in language models[C]//International Conference on Learning Representations, 2023.</w:t>
      </w:r>
    </w:p>
    <w:p>
      <w:r>
        <w:rPr>
          <w:rFonts w:eastAsia="宋体" w:ascii="Times New Roman" w:hAnsi="Times New Roman"/>
          <w:b w:val="0"/>
          <w:i w:val="0"/>
          <w:sz w:val="18"/>
        </w:rPr>
        <w:t>[18] WANG G, XIE Y, JIANG Y, et al. Voyager: An open-ended embodied agent with large language models[C]//International Conference on Machine Learning, 2024.</w:t>
      </w:r>
    </w:p>
    <w:p>
      <w:r>
        <w:rPr>
          <w:rFonts w:eastAsia="宋体" w:ascii="Times New Roman" w:hAnsi="Times New Roman"/>
          <w:b w:val="0"/>
          <w:i w:val="0"/>
          <w:sz w:val="18"/>
        </w:rPr>
        <w:t>[19] GAO L, SCHULMAN J, HILTON J. Scaling laws for reward model overoptimization[C]//International Conference on Machine Learning, 2023.</w:t>
      </w:r>
    </w:p>
    <w:p>
      <w:r>
        <w:rPr>
          <w:rFonts w:eastAsia="宋体" w:ascii="Times New Roman" w:hAnsi="Times New Roman"/>
          <w:b w:val="0"/>
          <w:i w:val="0"/>
          <w:sz w:val="18"/>
        </w:rPr>
        <w:t>[20] CASPER S, DAVIES X, SHI C, et al. Open problems and fundamental limitations of reinforcement learning from human feedback[J]. Transactions on Machine Learning Research, 2023.</w:t>
      </w:r>
    </w:p>
    <w:p>
      <w:r>
        <w:rPr>
          <w:rFonts w:eastAsia="宋体" w:ascii="Times New Roman" w:hAnsi="Times New Roman"/>
          <w:b w:val="0"/>
          <w:i w:val="0"/>
          <w:sz w:val="18"/>
        </w:rPr>
        <w:t>[21] SHARMA M, TONG E, KORBAK T, et al. Towards understanding sycophancy in language models[C]//International Conference on Learning Representations, 2024.</w:t>
      </w:r>
    </w:p>
    <w:p>
      <w:r>
        <w:rPr>
          <w:rFonts w:eastAsia="宋体" w:ascii="Times New Roman" w:hAnsi="Times New Roman"/>
          <w:b w:val="0"/>
          <w:i w:val="0"/>
          <w:sz w:val="18"/>
        </w:rPr>
        <w:t>[22] PEREZ E, RINGER S, LUKOŠIŪTĖ K, et al. Discovering language model behaviors with model-written evaluations[C]//Advances in Neural Information Processing Systems, 2022.</w:t>
      </w:r>
    </w:p>
    <w:p>
      <w:r>
        <w:rPr>
          <w:rFonts w:eastAsia="宋体" w:ascii="Times New Roman" w:hAnsi="Times New Roman"/>
          <w:b w:val="0"/>
          <w:i w:val="0"/>
          <w:sz w:val="18"/>
        </w:rPr>
        <w:t>[23] BURNS C, IZMAILOV P, KIRCHNER J H, et al. Weak-to-strong generalization: Eliciting strong capabilities with weak supervision[C]//International Conference on Machine Learning, 2024.</w:t>
      </w:r>
    </w:p>
    <w:p>
      <w:r>
        <w:rPr>
          <w:rFonts w:eastAsia="宋体" w:ascii="Times New Roman" w:hAnsi="Times New Roman"/>
          <w:b w:val="0"/>
          <w:i w:val="0"/>
          <w:sz w:val="21"/>
        </w:rPr>
      </w:r>
    </w:p>
    <w:p>
      <w:pPr>
        <w:jc w:val="center"/>
      </w:pPr>
      <w:r>
        <w:rPr>
          <w:rFonts w:eastAsia="宋体" w:ascii="Times New Roman" w:hAnsi="Times New Roman"/>
          <w:b w:val="0"/>
          <w:i w:val="0"/>
          <w:sz w:val="18"/>
        </w:rPr>
        <w:t>————————————————————————————————————————</w:t>
      </w:r>
    </w:p>
    <w:p>
      <w:r>
        <w:rPr>
          <w:rFonts w:eastAsia="宋体" w:ascii="Times New Roman" w:hAnsi="Times New Roman"/>
          <w:b w:val="0"/>
          <w:i w:val="0"/>
          <w:sz w:val="21"/>
        </w:rPr>
      </w:r>
    </w:p>
    <w:p>
      <w:pPr>
        <w:spacing w:before="120" w:after="60"/>
      </w:pPr>
      <w:r>
        <w:rPr>
          <w:rFonts w:eastAsia="黑体" w:ascii="Times New Roman" w:hAnsi="Times New Roman"/>
          <w:b/>
          <w:i w:val="0"/>
          <w:sz w:val="24"/>
        </w:rPr>
        <w:t>作者简介：</w:t>
      </w:r>
    </w:p>
    <w:p>
      <w:r>
        <w:rPr>
          <w:rFonts w:eastAsia="宋体" w:ascii="Times New Roman" w:hAnsi="Times New Roman"/>
          <w:b w:val="0"/>
          <w:i w:val="0"/>
          <w:sz w:val="21"/>
        </w:rPr>
      </w:r>
    </w:p>
    <w:p>
      <w:r>
        <w:rPr>
          <w:rFonts w:eastAsia="黑体" w:ascii="Times New Roman" w:hAnsi="Times New Roman"/>
          <w:b/>
          <w:i w:val="0"/>
          <w:sz w:val="18"/>
        </w:rPr>
        <w:t>刘泽文</w:t>
      </w:r>
      <w:r>
        <w:rPr>
          <w:rFonts w:eastAsia="宋体" w:ascii="Times New Roman" w:hAnsi="Times New Roman"/>
          <w:b w:val="0"/>
          <w:i w:val="0"/>
          <w:sz w:val="18"/>
        </w:rPr>
        <w:t xml:space="preserve">（2003－），男，山东泰安人，本科生，研究方向为人工智能、大语言模型评估、多模态智能体。E-mail: </w:t>
      </w:r>
      <w:r>
        <w:rPr>
          <w:rFonts w:eastAsia="宋体" w:ascii="Times New Roman" w:hAnsi="Times New Roman"/>
          <w:b/>
          <w:i w:val="0"/>
          <w:sz w:val="18"/>
        </w:rPr>
        <w:t>liuzewen@qilu.edu.cn</w:t>
      </w:r>
    </w:p>
    <w:p>
      <w:r>
        <w:rPr>
          <w:rFonts w:eastAsia="宋体" w:ascii="Times New Roman" w:hAnsi="Times New Roman"/>
          <w:b w:val="0"/>
          <w:i w:val="0"/>
          <w:sz w:val="21"/>
        </w:rPr>
      </w:r>
    </w:p>
    <w:p>
      <w:r>
        <w:rPr>
          <w:rFonts w:eastAsia="宋体" w:ascii="Times New Roman" w:hAnsi="Times New Roman"/>
          <w:b/>
          <w:i w:val="0"/>
          <w:sz w:val="18"/>
        </w:rPr>
        <w:t>LIU Zewen</w:t>
      </w:r>
      <w:r>
        <w:rPr>
          <w:rFonts w:eastAsia="宋体" w:ascii="Times New Roman" w:hAnsi="Times New Roman"/>
          <w:b w:val="0"/>
          <w:i w:val="0"/>
          <w:sz w:val="18"/>
        </w:rPr>
        <w:t>, born in 2003, B.S. candidate. His research interests include artificial intelligence, LLM evaluation, and multimodal agents.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