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sz w:val="28"/>
        </w:rPr>
      </w:pPr>
      <w:r>
        <w:rPr>
          <w:rFonts w:eastAsia="ＭＳ Ｐゴシック" w:cs="ＭＳ Ｐゴシック" w:ascii="ＭＳ Ｐゴシック" w:hAnsi="ＭＳ Ｐゴシック"/>
          <w:sz w:val="28"/>
        </w:rPr>
        <w:t>224</w:t>
      </w:r>
      <w:r>
        <w:rPr>
          <w:rFonts w:ascii="ＭＳ Ｐゴシック" w:hAnsi="ＭＳ Ｐゴシック" w:cs="ＭＳ Ｐゴシック" w:eastAsia="ＭＳ Ｐゴシック"/>
          <w:sz w:val="28"/>
        </w:rPr>
        <w:t>　紫斑病性腎炎</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210"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ind w:left="210" w:hanging="0"/>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 xml:space="preserve">概要 </w:t>
      </w:r>
    </w:p>
    <w:p>
      <w:pPr>
        <w:pStyle w:val="Normal"/>
        <w:ind w:left="372" w:firstLine="42"/>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血管性紫斑病の一症状としてみられる腎炎で、紫斑病に伴い、糸球体に</w:t>
      </w:r>
      <w:r>
        <w:rPr>
          <w:rFonts w:eastAsia="ＭＳ Ｐゴシック" w:cs="ＭＳ Ｐゴシック" w:ascii="ＭＳ Ｐゴシック" w:hAnsi="ＭＳ Ｐゴシック"/>
          <w:szCs w:val="21"/>
        </w:rPr>
        <w:t>IgA</w:t>
      </w:r>
      <w:r>
        <w:rPr>
          <w:rFonts w:ascii="ＭＳ Ｐゴシック" w:hAnsi="ＭＳ Ｐゴシック" w:cs="ＭＳ Ｐゴシック" w:eastAsia="ＭＳ Ｐゴシック"/>
          <w:szCs w:val="21"/>
        </w:rPr>
        <w:t>が沈着することを特徴とする糸球体腎炎である。血管性紫斑病は、免疫学的反応に起因する全身性の小血管炎で、紫斑をはじめとした皮膚症状、腹部症状、関節症状を来す疾患である。およそ半数の例が腎炎を発症する。</w:t>
      </w:r>
    </w:p>
    <w:p>
      <w:pPr>
        <w:pStyle w:val="Normal"/>
        <w:ind w:left="372" w:firstLine="42"/>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372"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紫斑病性腎炎の病因は未だ明らかではないが、</w:t>
      </w:r>
      <w:r>
        <w:rPr>
          <w:rFonts w:eastAsia="ＭＳ Ｐゴシック" w:cs="ＭＳ Ｐゴシック" w:ascii="ＭＳ Ｐゴシック" w:hAnsi="ＭＳ Ｐゴシック"/>
          <w:szCs w:val="21"/>
        </w:rPr>
        <w:t>IgA</w:t>
      </w:r>
      <w:r>
        <w:rPr>
          <w:rFonts w:ascii="ＭＳ Ｐゴシック" w:hAnsi="ＭＳ Ｐゴシック" w:cs="ＭＳ Ｐゴシック" w:eastAsia="ＭＳ Ｐゴシック"/>
          <w:szCs w:val="21"/>
        </w:rPr>
        <w:t>を含む免疫複合体の関与する全身疾患である。</w:t>
      </w:r>
      <w:r>
        <w:rPr>
          <w:rFonts w:eastAsia="ＭＳ Ｐゴシック" w:cs="ＭＳ Ｐゴシック" w:ascii="ＭＳ Ｐゴシック" w:hAnsi="ＭＳ Ｐゴシック"/>
          <w:szCs w:val="21"/>
        </w:rPr>
        <w:t>IgA</w:t>
      </w:r>
      <w:r>
        <w:rPr>
          <w:rFonts w:ascii="ＭＳ Ｐゴシック" w:hAnsi="ＭＳ Ｐゴシック" w:cs="ＭＳ Ｐゴシック" w:eastAsia="ＭＳ Ｐゴシック"/>
          <w:szCs w:val="21"/>
        </w:rPr>
        <w:t>腎症と同様に、</w:t>
      </w:r>
      <w:r>
        <w:rPr>
          <w:rFonts w:eastAsia="ＭＳ Ｐゴシック" w:cs="ＭＳ Ｐゴシック" w:ascii="ＭＳ Ｐゴシック" w:hAnsi="ＭＳ Ｐゴシック"/>
          <w:szCs w:val="21"/>
        </w:rPr>
        <w:t>IgA1</w:t>
      </w:r>
      <w:r>
        <w:rPr>
          <w:rFonts w:ascii="ＭＳ Ｐゴシック" w:hAnsi="ＭＳ Ｐゴシック" w:cs="ＭＳ Ｐゴシック" w:eastAsia="ＭＳ Ｐゴシック"/>
          <w:szCs w:val="21"/>
        </w:rPr>
        <w:t>の糖鎖異常が指摘されている。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210"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血管性紫斑病の症状としては、紫斑</w:t>
      </w:r>
      <w:r>
        <w:rPr>
          <w:rFonts w:eastAsia="ＭＳ Ｐゴシック" w:cs="ＭＳ Ｐゴシック" w:ascii="ＭＳ Ｐゴシック" w:hAnsi="ＭＳ Ｐゴシック"/>
          <w:szCs w:val="21"/>
        </w:rPr>
        <w:t>100</w:t>
      </w:r>
      <w:r>
        <w:rPr>
          <w:rFonts w:ascii="ＭＳ Ｐゴシック" w:hAnsi="ＭＳ Ｐゴシック" w:cs="ＭＳ Ｐゴシック" w:eastAsia="ＭＳ Ｐゴシック"/>
          <w:szCs w:val="21"/>
        </w:rPr>
        <w:t>％、関節炎</w:t>
      </w:r>
      <w:r>
        <w:rPr>
          <w:rFonts w:eastAsia="ＭＳ Ｐゴシック" w:cs="ＭＳ Ｐゴシック" w:ascii="ＭＳ Ｐゴシック" w:hAnsi="ＭＳ Ｐゴシック"/>
          <w:szCs w:val="21"/>
        </w:rPr>
        <w:t>80</w:t>
      </w:r>
      <w:r>
        <w:rPr>
          <w:rFonts w:ascii="ＭＳ Ｐゴシック" w:hAnsi="ＭＳ Ｐゴシック" w:cs="ＭＳ Ｐゴシック" w:eastAsia="ＭＳ Ｐゴシック"/>
          <w:szCs w:val="21"/>
        </w:rPr>
        <w:t>％、腹痛</w:t>
      </w:r>
      <w:r>
        <w:rPr>
          <w:rFonts w:eastAsia="ＭＳ Ｐゴシック" w:cs="ＭＳ Ｐゴシック" w:ascii="ＭＳ Ｐゴシック" w:hAnsi="ＭＳ Ｐゴシック"/>
          <w:szCs w:val="21"/>
        </w:rPr>
        <w:t>60</w:t>
      </w:r>
      <w:r>
        <w:rPr>
          <w:rFonts w:ascii="ＭＳ Ｐゴシック" w:hAnsi="ＭＳ Ｐゴシック" w:cs="ＭＳ Ｐゴシック" w:eastAsia="ＭＳ Ｐゴシック"/>
          <w:szCs w:val="21"/>
        </w:rPr>
        <w:t>％、腎炎</w:t>
      </w:r>
      <w:r>
        <w:rPr>
          <w:rFonts w:eastAsia="ＭＳ Ｐゴシック" w:cs="ＭＳ Ｐゴシック" w:ascii="ＭＳ Ｐゴシック" w:hAnsi="ＭＳ Ｐゴシック"/>
          <w:szCs w:val="21"/>
        </w:rPr>
        <w:t>50</w:t>
      </w:r>
      <w:r>
        <w:rPr>
          <w:rFonts w:ascii="ＭＳ Ｐゴシック" w:hAnsi="ＭＳ Ｐゴシック" w:cs="ＭＳ Ｐゴシック" w:eastAsia="ＭＳ Ｐゴシック"/>
          <w:szCs w:val="21"/>
        </w:rPr>
        <w:t>％程度に認められる。腎炎は全身症状発現後の数日から１か月以内に尿所見異常が発現する。</w:t>
      </w:r>
      <w:r>
        <w:rPr>
          <w:rFonts w:eastAsia="ＭＳ Ｐゴシック" w:cs="ＭＳ Ｐゴシック" w:ascii="ＭＳ Ｐゴシック" w:hAnsi="ＭＳ Ｐゴシック"/>
          <w:szCs w:val="21"/>
        </w:rPr>
        <w:t>15</w:t>
      </w:r>
      <w:r>
        <w:rPr>
          <w:rFonts w:ascii="ＭＳ Ｐゴシック" w:hAnsi="ＭＳ Ｐゴシック" w:cs="ＭＳ Ｐゴシック" w:eastAsia="ＭＳ Ｐゴシック"/>
          <w:szCs w:val="21"/>
        </w:rPr>
        <w:t>％が血尿のみで、</w:t>
      </w:r>
      <w:r>
        <w:rPr>
          <w:rFonts w:eastAsia="ＭＳ Ｐゴシック" w:cs="ＭＳ Ｐゴシック" w:ascii="ＭＳ Ｐゴシック" w:hAnsi="ＭＳ Ｐゴシック"/>
          <w:szCs w:val="21"/>
        </w:rPr>
        <w:t>38</w:t>
      </w:r>
      <w:r>
        <w:rPr>
          <w:rFonts w:ascii="ＭＳ Ｐゴシック" w:hAnsi="ＭＳ Ｐゴシック" w:cs="ＭＳ Ｐゴシック" w:eastAsia="ＭＳ Ｐゴシック"/>
          <w:szCs w:val="21"/>
        </w:rPr>
        <w:t>％が血尿＋蛋白尿、</w:t>
      </w:r>
      <w:r>
        <w:rPr>
          <w:rFonts w:eastAsia="ＭＳ Ｐゴシック" w:cs="ＭＳ Ｐゴシック" w:ascii="ＭＳ Ｐゴシック" w:hAnsi="ＭＳ Ｐゴシック"/>
          <w:szCs w:val="21"/>
        </w:rPr>
        <w:t>15</w:t>
      </w:r>
      <w:r>
        <w:rPr>
          <w:rFonts w:ascii="ＭＳ Ｐゴシック" w:hAnsi="ＭＳ Ｐゴシック" w:cs="ＭＳ Ｐゴシック" w:eastAsia="ＭＳ Ｐゴシック"/>
          <w:szCs w:val="21"/>
        </w:rPr>
        <w:t>％が急性腎炎症候群、</w:t>
      </w:r>
      <w:r>
        <w:rPr>
          <w:rFonts w:eastAsia="ＭＳ Ｐゴシック" w:cs="ＭＳ Ｐゴシック" w:ascii="ＭＳ Ｐゴシック" w:hAnsi="ＭＳ Ｐゴシック"/>
          <w:szCs w:val="21"/>
        </w:rPr>
        <w:t>23</w:t>
      </w:r>
      <w:r>
        <w:rPr>
          <w:rFonts w:ascii="ＭＳ Ｐゴシック" w:hAnsi="ＭＳ Ｐゴシック" w:cs="ＭＳ Ｐゴシック" w:eastAsia="ＭＳ Ｐゴシック"/>
          <w:szCs w:val="21"/>
        </w:rPr>
        <w:t>％が腎炎＋ネフローゼ症候群、８％がネフローゼ症候群で発症している。腎炎の自覚症状としては、全身倦怠感、微熱などの不特定な症状を認める。ネフローゼ症候群や急性腎炎症候群を呈する例では、浮腫や高血圧に伴う頭痛がみられる。 検査所見としては、血尿＋たんぱく尿、腎機能の低下（血清クレアチニンの急速な上昇）などである。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firstLine="21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372"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血尿のみか、蛋白尿が</w:t>
      </w:r>
      <w:r>
        <w:rPr>
          <w:rFonts w:eastAsia="ＭＳ Ｐゴシック" w:cs="ＭＳ Ｐゴシック" w:ascii="ＭＳ Ｐゴシック" w:hAnsi="ＭＳ Ｐゴシック"/>
          <w:szCs w:val="21"/>
        </w:rPr>
        <w:t>0.5g/gCr</w:t>
      </w:r>
      <w:r>
        <w:rPr>
          <w:rFonts w:ascii="ＭＳ Ｐゴシック" w:hAnsi="ＭＳ Ｐゴシック" w:cs="ＭＳ Ｐゴシック" w:eastAsia="ＭＳ Ｐゴシック"/>
          <w:szCs w:val="21"/>
        </w:rPr>
        <w:t>未満であれば、経過観察あるいはレニン・アンジオテンシン系阻害薬、抗血小板薬を使用する。ただし軽度蛋白尿が１年以上続く場合には腎生検を行って治療方針を決める。</w:t>
      </w:r>
    </w:p>
    <w:p>
      <w:pPr>
        <w:pStyle w:val="Normal"/>
        <w:ind w:left="372"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血尿と中等度蛋白尿</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0.5</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1.0</w:t>
      </w:r>
      <w:r>
        <w:rPr>
          <w:rFonts w:eastAsia="ＭＳ Ｐゴシック" w:cs="ＭＳ Ｐゴシック" w:ascii="ＭＳ Ｐゴシック" w:hAnsi="ＭＳ Ｐゴシック"/>
          <w:szCs w:val="21"/>
        </w:rPr>
        <w:t>g/gCr</w:t>
      </w: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を認める場合も、腎生検は行わずにレニン・アンジオテンシン系阻害薬、抗血小板薬の投与を行う。ただし蛋白尿が６か月以上続く場合には腎生検を行って治療方針を決める。</w:t>
      </w:r>
    </w:p>
    <w:p>
      <w:pPr>
        <w:pStyle w:val="Normal"/>
        <w:ind w:left="372"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ネフローゼ症候群、高血圧、腎機能低下を認める症例や持続的蛋白尿（①高度蛋白尿（</w:t>
      </w:r>
      <w:r>
        <w:rPr>
          <w:rFonts w:eastAsia="ＭＳ Ｐゴシック" w:cs="ＭＳ Ｐゴシック" w:ascii="ＭＳ Ｐゴシック" w:hAnsi="ＭＳ Ｐゴシック"/>
          <w:szCs w:val="21"/>
        </w:rPr>
        <w:t>1.0</w:t>
      </w:r>
      <w:r>
        <w:rPr>
          <w:rFonts w:eastAsia="ＭＳ Ｐゴシック" w:cs="ＭＳ Ｐゴシック" w:ascii="ＭＳ Ｐゴシック" w:hAnsi="ＭＳ Ｐゴシック"/>
          <w:szCs w:val="21"/>
        </w:rPr>
        <w:t>g/gCr</w:t>
      </w:r>
      <w:r>
        <w:rPr>
          <w:rFonts w:ascii="ＭＳ Ｐゴシック" w:hAnsi="ＭＳ Ｐゴシック" w:cs="ＭＳ Ｐゴシック" w:eastAsia="ＭＳ Ｐゴシック"/>
          <w:szCs w:val="21"/>
        </w:rPr>
        <w:t>以上）が３か月以上、中等度蛋白尿（前述）が６か月以上、軽度蛋白尿（前述）が</w:t>
      </w:r>
      <w:r>
        <w:rPr>
          <w:rFonts w:eastAsia="ＭＳ Ｐゴシック" w:cs="ＭＳ Ｐゴシック" w:ascii="ＭＳ Ｐゴシック" w:hAnsi="ＭＳ Ｐゴシック"/>
          <w:szCs w:val="21"/>
        </w:rPr>
        <w:t>12</w:t>
      </w:r>
      <w:r>
        <w:rPr>
          <w:rFonts w:ascii="ＭＳ Ｐゴシック" w:hAnsi="ＭＳ Ｐゴシック" w:cs="ＭＳ Ｐゴシック" w:eastAsia="ＭＳ Ｐゴシック"/>
          <w:szCs w:val="21"/>
        </w:rPr>
        <w:t>か月以上）を認める場合、腎生検を施行し，組織学的重症度に応じて治療方針を決める。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ISKDC</w:t>
      </w:r>
      <w:r>
        <w:rPr>
          <w:rFonts w:ascii="ＭＳ Ｐゴシック" w:hAnsi="ＭＳ Ｐゴシック" w:cs="ＭＳ Ｐゴシック" w:eastAsia="ＭＳ Ｐゴシック"/>
          <w:szCs w:val="21"/>
        </w:rPr>
        <w:t>分類で</w:t>
      </w:r>
      <w:r>
        <w:rPr>
          <w:rFonts w:eastAsia="ＭＳ Ｐゴシック" w:cs="ＭＳ Ｐゴシック" w:ascii="ＭＳ Ｐゴシック" w:hAnsi="ＭＳ Ｐゴシック"/>
          <w:szCs w:val="21"/>
        </w:rPr>
        <w:t>I</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IIIa</w:t>
      </w:r>
      <w:r>
        <w:rPr>
          <w:rFonts w:ascii="ＭＳ Ｐゴシック" w:hAnsi="ＭＳ Ｐゴシック" w:cs="ＭＳ Ｐゴシック" w:eastAsia="ＭＳ Ｐゴシック"/>
          <w:szCs w:val="21"/>
        </w:rPr>
        <w:t>の場合には前述のような抗血小板剤の投与を行い、</w:t>
      </w:r>
      <w:r>
        <w:rPr>
          <w:rFonts w:eastAsia="ＭＳ Ｐゴシック" w:cs="ＭＳ Ｐゴシック" w:ascii="ＭＳ Ｐゴシック" w:hAnsi="ＭＳ Ｐゴシック"/>
          <w:szCs w:val="21"/>
        </w:rPr>
        <w:t>IIIb</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V</w:t>
      </w:r>
      <w:r>
        <w:rPr>
          <w:rFonts w:ascii="ＭＳ Ｐゴシック" w:hAnsi="ＭＳ Ｐゴシック" w:cs="ＭＳ Ｐゴシック" w:eastAsia="ＭＳ Ｐゴシック"/>
          <w:szCs w:val="21"/>
        </w:rPr>
        <w:t>の場合には多剤併用療法（カクテル療法）、ステロイドパルス療法、ステロイド・ウロキナーゼパルス療法、血漿交換療法、及びシクロスポリン療法などを行う。</w:t>
      </w:r>
    </w:p>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５．予後</w:t>
      </w:r>
    </w:p>
    <w:p>
      <w:pPr>
        <w:pStyle w:val="Normal"/>
        <w:ind w:left="279" w:hanging="0"/>
        <w:rPr>
          <w:rFonts w:ascii="ＭＳ 明朝;MS Mincho" w:hAnsi="ＭＳ 明朝;MS Mincho" w:cs="ＭＳ 明朝;MS Mincho"/>
          <w:szCs w:val="21"/>
        </w:rPr>
      </w:pPr>
      <w:r>
        <w:rPr>
          <w:rFonts w:ascii="ＭＳ Ｐゴシック" w:hAnsi="ＭＳ Ｐゴシック" w:cs="ＭＳ Ｐゴシック" w:eastAsia="ＭＳ Ｐゴシック"/>
          <w:szCs w:val="21"/>
        </w:rPr>
        <w:t>　　比較的良好と考えられていたが、早期に経過が良好と判断されていても、観察を中断すると数年後には、血尿、蛋白尿が再燃したり或いは組織学的に腎炎が存続している症例が高率</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66.7</w:t>
      </w: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に存在することが明らかにされた。</w:t>
      </w:r>
      <w:r>
        <w:br w:type="page"/>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13"/>
        <w:ind w:left="570" w:hanging="0"/>
        <w:rPr>
          <w:rFonts w:ascii="ＭＳ Ｐゴシック" w:hAnsi="ＭＳ Ｐゴシック" w:eastAsia="ＭＳ Ｐゴシック" w:cs="ＭＳ Ｐゴシック"/>
          <w:szCs w:val="21"/>
        </w:rPr>
      </w:pPr>
      <w:r>
        <w:rPr>
          <w:rFonts w:eastAsia="ＭＳ Ｐゴシック" w:cs="Arial" w:ascii="ＭＳ Ｐゴシック" w:hAnsi="ＭＳ Ｐゴシック"/>
          <w:szCs w:val="21"/>
        </w:rPr>
        <w:t>400</w:t>
      </w:r>
      <w:r>
        <w:rPr>
          <w:rFonts w:ascii="ＭＳ Ｐゴシック" w:hAnsi="ＭＳ Ｐゴシック" w:cs="ヒラギノ明朝 ProN W3;ＭＳ 明朝" w:eastAsia="ＭＳ Ｐゴシック"/>
          <w:szCs w:val="21"/>
        </w:rPr>
        <w:t>例～</w:t>
      </w:r>
      <w:r>
        <w:rPr>
          <w:rFonts w:eastAsia="ＭＳ Ｐゴシック" w:cs="Arial" w:ascii="ＭＳ Ｐゴシック" w:hAnsi="ＭＳ Ｐゴシック"/>
          <w:szCs w:val="21"/>
        </w:rPr>
        <w:t>640</w:t>
      </w:r>
      <w:r>
        <w:rPr>
          <w:rFonts w:ascii="ＭＳ Ｐゴシック" w:hAnsi="ＭＳ Ｐゴシック" w:cs="ヒラギノ明朝 ProN W3;ＭＳ 明朝" w:eastAsia="ＭＳ Ｐゴシック"/>
          <w:szCs w:val="21"/>
        </w:rPr>
        <w:t>例</w:t>
      </w:r>
      <w:r>
        <w:rPr>
          <w:rFonts w:eastAsia="ＭＳ Ｐゴシック" w:cs="ヒラギノ明朝 ProN W3;ＭＳ 明朝" w:ascii="ＭＳ Ｐゴシック" w:hAnsi="ＭＳ Ｐゴシック"/>
          <w:szCs w:val="21"/>
        </w:rPr>
        <w:t>/</w:t>
      </w:r>
      <w:r>
        <w:rPr>
          <w:rFonts w:ascii="ＭＳ Ｐゴシック" w:hAnsi="ＭＳ Ｐゴシック" w:cs="ヒラギノ明朝 ProN W3;ＭＳ 明朝" w:eastAsia="ＭＳ Ｐゴシック"/>
          <w:szCs w:val="21"/>
        </w:rPr>
        <w:t>年</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w:t>
      </w:r>
      <w:r>
        <w:rPr>
          <w:rFonts w:eastAsia="ＭＳ Ｐゴシック" w:cs="ＭＳ Ｐゴシック" w:ascii="ＭＳ Ｐゴシック" w:hAnsi="ＭＳ Ｐゴシック"/>
        </w:rPr>
        <w:t>IgA</w:t>
      </w:r>
      <w:r>
        <w:rPr>
          <w:rFonts w:ascii="ＭＳ Ｐゴシック" w:hAnsi="ＭＳ Ｐゴシック" w:cs="ＭＳ Ｐゴシック" w:eastAsia="ＭＳ Ｐゴシック"/>
        </w:rPr>
        <w:t>免疫複合体の関与が指摘されている。）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未確立（対症療法のみである。）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必要（長期の免疫療法や腎不全の進行による透析療法を行う必要がある。）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あり（アメリカリウマチ学会）</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widowControl/>
        <w:ind w:left="57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国際小児腎臓病研究班（</w:t>
      </w:r>
      <w:r>
        <w:rPr>
          <w:rFonts w:eastAsia="ＭＳ Ｐゴシック" w:cs="ＭＳ Ｐゴシック" w:ascii="ＭＳ Ｐゴシック" w:hAnsi="ＭＳ Ｐゴシック"/>
        </w:rPr>
        <w:t>ISKDC</w:t>
      </w:r>
      <w:r>
        <w:rPr>
          <w:rFonts w:ascii="ＭＳ Ｐゴシック" w:hAnsi="ＭＳ Ｐゴシック" w:cs="ＭＳ Ｐゴシック" w:eastAsia="ＭＳ Ｐゴシック"/>
        </w:rPr>
        <w:t>）による紫斑病性腎炎の組織分類を用い、</w:t>
      </w:r>
      <w:r>
        <w:rPr>
          <w:rFonts w:eastAsia="ＭＳ Ｐゴシック" w:cs="ＭＳ Ｐゴシック" w:ascii="ＭＳ Ｐゴシック" w:hAnsi="ＭＳ Ｐゴシック"/>
        </w:rPr>
        <w:t>Grade IIIb</w:t>
      </w:r>
      <w:r>
        <w:rPr>
          <w:rFonts w:ascii="ＭＳ Ｐゴシック" w:hAnsi="ＭＳ Ｐゴシック" w:cs="ＭＳ Ｐゴシック" w:eastAsia="ＭＳ Ｐゴシック"/>
        </w:rPr>
        <w:t>以上の場合を対象とする。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情報提供元</w:t>
      </w:r>
    </w:p>
    <w:p>
      <w:pPr>
        <w:pStyle w:val="Normal"/>
        <w:rPr>
          <w:rFonts w:ascii="ＭＳ Ｐゴシック" w:hAnsi="ＭＳ Ｐゴシック" w:eastAsia="ＭＳ Ｐゴシック" w:cs="ＭＳ Ｐゴシック"/>
          <w:szCs w:val="21"/>
          <w:highlight w:val="white"/>
        </w:rPr>
      </w:pPr>
      <w:r>
        <w:rPr>
          <w:rFonts w:ascii="ＭＳ ゴシック;MS Gothic" w:hAnsi="ＭＳ ゴシック;MS Gothic" w:cs="ＭＳ ゴシック;MS Gothic" w:eastAsia="ＭＳ ゴシック;MS Gothic"/>
          <w:sz w:val="22"/>
          <w:shd w:fill="FFFFFF" w:val="clear"/>
        </w:rPr>
        <w:t>　</w:t>
      </w:r>
      <w:r>
        <w:rPr>
          <w:rFonts w:ascii="ＭＳ Ｐゴシック" w:hAnsi="ＭＳ Ｐゴシック" w:cs="ＭＳ Ｐゴシック" w:eastAsia="ＭＳ Ｐゴシック"/>
          <w:szCs w:val="21"/>
          <w:shd w:fill="FFFFFF" w:val="clear"/>
        </w:rPr>
        <w:t>日本腎臓学会</w:t>
      </w:r>
    </w:p>
    <w:p>
      <w:pPr>
        <w:pStyle w:val="Normal"/>
        <w:spacing w:lineRule="exact" w:line="300"/>
        <w:ind w:firstLine="210"/>
        <w:rPr>
          <w:rFonts w:ascii="ＭＳ 明朝;MS Mincho" w:hAnsi="ＭＳ 明朝;MS Mincho" w:eastAsia="ＭＳ Ｐゴシック" w:cs="ＭＳ 明朝;MS Mincho"/>
          <w:szCs w:val="21"/>
          <w:shd w:fill="FFFFFF" w:val="clear"/>
        </w:rPr>
      </w:pPr>
      <w:r>
        <w:rPr>
          <w:rFonts w:eastAsia="ＭＳ Ｐゴシック" w:cs="ＭＳ 明朝;MS Mincho" w:ascii="ＭＳ 明朝;MS Mincho" w:hAnsi="ＭＳ 明朝;MS Mincho"/>
          <w:szCs w:val="21"/>
          <w:shd w:fill="FFFFFF" w:val="clear"/>
        </w:rPr>
      </w:r>
    </w:p>
    <w:p>
      <w:pPr>
        <w:pStyle w:val="Normal"/>
        <w:spacing w:lineRule="exact" w:line="300"/>
        <w:ind w:firstLine="210"/>
        <w:rPr>
          <w:rFonts w:ascii="ＭＳ 明朝;MS Mincho" w:hAnsi="ＭＳ 明朝;MS Mincho" w:cs="ＭＳ 明朝;MS Mincho"/>
          <w:szCs w:val="21"/>
        </w:rPr>
      </w:pPr>
      <w:r>
        <w:rPr>
          <w:rFonts w:cs="ＭＳ 明朝;MS Mincho" w:ascii="ＭＳ 明朝;MS Mincho" w:hAnsi="ＭＳ 明朝;MS Mincho"/>
          <w:szCs w:val="21"/>
        </w:rPr>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紫斑病性腎炎と確定診断された例（</w:t>
      </w: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米国リウマチ学会の</w:t>
      </w:r>
      <w:r>
        <w:rPr>
          <w:rFonts w:ascii="ＭＳ Ｐゴシック" w:hAnsi="ＭＳ Ｐゴシック" w:cs="ＭＳ Ｐゴシック" w:eastAsia="ＭＳ Ｐゴシック"/>
          <w:szCs w:val="21"/>
        </w:rPr>
        <w:t>血管性紫斑病</w:t>
      </w:r>
      <w:r>
        <w:rPr>
          <w:rFonts w:ascii="ＭＳ Ｐゴシック" w:hAnsi="ＭＳ Ｐゴシック" w:cs="ＭＳ Ｐゴシック" w:eastAsia="ＭＳ Ｐゴシック"/>
        </w:rPr>
        <w:t>診断基準</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隆起性の紫斑、②急性の腹部疝痛、③生検組織での小動静脈壁の顆粒球の存在、④年齢が</w:t>
      </w:r>
      <w:r>
        <w:rPr>
          <w:rFonts w:eastAsia="ＭＳ Ｐゴシック" w:cs="ＭＳ Ｐゴシック" w:ascii="ＭＳ Ｐゴシック" w:hAnsi="ＭＳ Ｐゴシック"/>
        </w:rPr>
        <w:t>20</w:t>
      </w:r>
      <w:r>
        <w:rPr>
          <w:rFonts w:ascii="ＭＳ Ｐゴシック" w:hAnsi="ＭＳ Ｐゴシック" w:cs="ＭＳ Ｐゴシック" w:eastAsia="ＭＳ Ｐゴシック"/>
        </w:rPr>
        <w:t>歳以下、のうち二つ以上を満たせば</w:t>
      </w:r>
      <w:r>
        <w:rPr>
          <w:rFonts w:ascii="ＭＳ Ｐゴシック" w:hAnsi="ＭＳ Ｐゴシック" w:cs="ＭＳ Ｐゴシック" w:eastAsia="ＭＳ Ｐゴシック"/>
          <w:szCs w:val="21"/>
        </w:rPr>
        <w:t>血管性紫斑病と診断する。</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血管性紫斑病</w:t>
      </w:r>
      <w:r>
        <w:rPr>
          <w:rFonts w:ascii="ＭＳ Ｐゴシック" w:hAnsi="ＭＳ Ｐゴシック" w:cs="ＭＳ Ｐゴシック" w:eastAsia="ＭＳ Ｐゴシック"/>
        </w:rPr>
        <w:t>発症後に顕微鏡的血尿や蛋白尿など尿検査異常を認めれば紫斑病性腎炎の臨床診断は可能である。</w:t>
      </w:r>
      <w:r>
        <w:rPr>
          <w:rFonts w:ascii="ＭＳ Ｐゴシック" w:hAnsi="ＭＳ Ｐゴシック" w:cs="ＭＳ Ｐゴシック" w:eastAsia="ＭＳ Ｐゴシック"/>
          <w:szCs w:val="21"/>
        </w:rPr>
        <w:t>血管性紫斑病</w:t>
      </w:r>
      <w:r>
        <w:rPr>
          <w:rFonts w:ascii="ＭＳ Ｐゴシック" w:hAnsi="ＭＳ Ｐゴシック" w:cs="ＭＳ Ｐゴシック" w:eastAsia="ＭＳ Ｐゴシック"/>
        </w:rPr>
        <w:t>の症状と腎炎の所見から判断するが、確定診断は腎生検病理組織診断（注）で行う。腎病変だけでは</w:t>
      </w:r>
      <w:r>
        <w:rPr>
          <w:rFonts w:eastAsia="ＭＳ Ｐゴシック" w:cs="ＭＳ Ｐゴシック" w:ascii="ＭＳ Ｐゴシック" w:hAnsi="ＭＳ Ｐゴシック"/>
        </w:rPr>
        <w:t>IgA</w:t>
      </w:r>
      <w:r>
        <w:rPr>
          <w:rFonts w:ascii="ＭＳ Ｐゴシック" w:hAnsi="ＭＳ Ｐゴシック" w:cs="ＭＳ Ｐゴシック" w:eastAsia="ＭＳ Ｐゴシック"/>
        </w:rPr>
        <w:t xml:space="preserve">腎症と鑑別困難であるが、腎外病変が認められる点で臨床症状から鑑別することができる。 </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＊診断の為に病理所見のレポートを添付する必要がある。</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（注）</w:t>
      </w:r>
    </w:p>
    <w:p>
      <w:pPr>
        <w:pStyle w:val="Normal"/>
        <w:widowControl/>
        <w:ind w:left="210" w:hanging="210"/>
        <w:jc w:val="left"/>
        <w:rPr/>
      </w:pPr>
      <w:r>
        <w:rPr>
          <w:rFonts w:ascii="ＭＳ Ｐゴシック" w:hAnsi="ＭＳ Ｐゴシック" w:cs="ＭＳ Ｐゴシック" w:eastAsia="ＭＳ Ｐゴシック"/>
        </w:rPr>
        <w:t>Ａ．光顕所見：巣状分節性からびまん性全節性（球状）までのメサンギウム増殖性変化が主体であるが、半月体、分節性硬化、全節性硬化など多彩な病変がみられる。</w:t>
      </w:r>
    </w:p>
    <w:p>
      <w:pPr>
        <w:pStyle w:val="Normal"/>
        <w:widowControl/>
        <w:ind w:left="210" w:hanging="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Ｂ．蛍光抗体法又は酵素抗体法所見：びまん性にメサンギウム領域を主体とする</w:t>
      </w:r>
      <w:r>
        <w:rPr>
          <w:rFonts w:eastAsia="ＭＳ Ｐゴシック" w:cs="ＭＳ Ｐゴシック" w:ascii="ＭＳ Ｐゴシック" w:hAnsi="ＭＳ Ｐゴシック"/>
        </w:rPr>
        <w:t>IgA</w:t>
      </w:r>
      <w:r>
        <w:rPr>
          <w:rFonts w:ascii="ＭＳ Ｐゴシック" w:hAnsi="ＭＳ Ｐゴシック" w:cs="ＭＳ Ｐゴシック" w:eastAsia="ＭＳ Ｐゴシック"/>
        </w:rPr>
        <w:t>の顆粒状沈着。（他の免疫グロブリンと比較してＩ</w:t>
      </w:r>
      <w:r>
        <w:rPr>
          <w:rFonts w:eastAsia="ＭＳ Ｐゴシック" w:cs="ＭＳ Ｐゴシック" w:ascii="ＭＳ Ｐゴシック" w:hAnsi="ＭＳ Ｐゴシック"/>
        </w:rPr>
        <w:t>gA</w:t>
      </w:r>
      <w:r>
        <w:rPr>
          <w:rFonts w:ascii="ＭＳ Ｐゴシック" w:hAnsi="ＭＳ Ｐゴシック" w:cs="ＭＳ Ｐゴシック" w:eastAsia="ＭＳ Ｐゴシック"/>
        </w:rPr>
        <w:t>が優位である。）</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Ｃ．電顕所見：メサンギウム基質内、特にパラメサンギウム領域を中心とする高電子密度物質の沈着。</w:t>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以下のいずれかを満たす場合を対象とする。</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ア）</w:t>
      </w:r>
      <w:r>
        <w:rPr>
          <w:rFonts w:ascii="ＭＳ Ｐゴシック" w:hAnsi="ＭＳ Ｐゴシック" w:cs="ＭＳ Ｐゴシック" w:eastAsia="ＭＳ Ｐゴシック"/>
        </w:rPr>
        <w:t>国際小児腎臓病研究班（</w:t>
      </w:r>
      <w:r>
        <w:rPr>
          <w:rFonts w:eastAsia="ＭＳ Ｐゴシック" w:cs="ＭＳ Ｐゴシック" w:ascii="ＭＳ Ｐゴシック" w:hAnsi="ＭＳ Ｐゴシック"/>
        </w:rPr>
        <w:t>ISKDC</w:t>
      </w:r>
      <w:r>
        <w:rPr>
          <w:rFonts w:ascii="ＭＳ Ｐゴシック" w:hAnsi="ＭＳ Ｐゴシック" w:cs="ＭＳ Ｐゴシック" w:eastAsia="ＭＳ Ｐゴシック"/>
        </w:rPr>
        <w:t>）による紫斑病性腎炎の組織分類で</w:t>
      </w:r>
      <w:r>
        <w:rPr>
          <w:rFonts w:eastAsia="ＭＳ Ｐゴシック" w:cs="ＭＳ Ｐゴシック" w:ascii="ＭＳ Ｐゴシック" w:hAnsi="ＭＳ Ｐゴシック"/>
        </w:rPr>
        <w:t>GradeIIIb</w:t>
      </w:r>
      <w:r>
        <w:rPr>
          <w:rFonts w:ascii="ＭＳ Ｐゴシック" w:hAnsi="ＭＳ Ｐゴシック" w:cs="ＭＳ Ｐゴシック" w:eastAsia="ＭＳ Ｐゴシック"/>
        </w:rPr>
        <w:t>以上の場合。</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イ）維持治療期では上記の慢性腎臓病重症度分類で重症（赤）に該当する場合。</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ウ）いずれの腎機能であっても蛋白尿</w:t>
      </w:r>
      <w:r>
        <w:rPr>
          <w:rFonts w:eastAsia="ＭＳ Ｐゴシック" w:cs="ＭＳ Ｐゴシック" w:ascii="ＭＳ Ｐゴシック" w:hAnsi="ＭＳ Ｐゴシック"/>
          <w:szCs w:val="21"/>
        </w:rPr>
        <w:t>0.5g/</w:t>
      </w:r>
      <w:r>
        <w:rPr>
          <w:rFonts w:ascii="ＭＳ Ｐゴシック" w:hAnsi="ＭＳ Ｐゴシック" w:cs="ＭＳ Ｐゴシック" w:eastAsia="ＭＳ Ｐゴシック"/>
          <w:szCs w:val="21"/>
        </w:rPr>
        <w:t>日以上の場合。</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国際小児腎臓病研究班（</w:t>
      </w:r>
      <w:r>
        <w:rPr>
          <w:rFonts w:eastAsia="ＭＳ Ｐゴシック" w:cs="ＭＳ Ｐゴシック" w:ascii="ＭＳ Ｐゴシック" w:hAnsi="ＭＳ Ｐゴシック"/>
        </w:rPr>
        <w:t>ISKDC</w:t>
      </w:r>
      <w:r>
        <w:rPr>
          <w:rFonts w:ascii="ＭＳ Ｐゴシック" w:hAnsi="ＭＳ Ｐゴシック" w:cs="ＭＳ Ｐゴシック" w:eastAsia="ＭＳ Ｐゴシック"/>
        </w:rPr>
        <w:t>）による紫斑病性腎炎の組織分類と予後</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Grade I </w:t>
      </w:r>
      <w:r>
        <w:rPr>
          <w:rFonts w:ascii="ＭＳ Ｐゴシック" w:hAnsi="ＭＳ Ｐゴシック" w:cs="ＭＳ Ｐゴシック" w:eastAsia="ＭＳ Ｐゴシック"/>
        </w:rPr>
        <w:t>微小変化</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Grade II </w:t>
      </w:r>
      <w:r>
        <w:rPr>
          <w:rFonts w:ascii="ＭＳ Ｐゴシック" w:hAnsi="ＭＳ Ｐゴシック" w:cs="ＭＳ Ｐゴシック" w:eastAsia="ＭＳ Ｐゴシック"/>
        </w:rPr>
        <w:t>メサンギウム増殖のみ</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Grade III a) </w:t>
      </w:r>
      <w:r>
        <w:rPr>
          <w:rFonts w:ascii="ＭＳ Ｐゴシック" w:hAnsi="ＭＳ Ｐゴシック" w:cs="ＭＳ Ｐゴシック" w:eastAsia="ＭＳ Ｐゴシック"/>
        </w:rPr>
        <w:t>巣状，</w:t>
      </w:r>
      <w:r>
        <w:rPr>
          <w:rFonts w:eastAsia="ＭＳ Ｐゴシック" w:cs="ＭＳ Ｐゴシック" w:ascii="ＭＳ Ｐゴシック" w:hAnsi="ＭＳ Ｐゴシック"/>
        </w:rPr>
        <w:t xml:space="preserve">b) </w:t>
      </w:r>
      <w:r>
        <w:rPr>
          <w:rFonts w:ascii="ＭＳ Ｐゴシック" w:hAnsi="ＭＳ Ｐゴシック" w:cs="ＭＳ Ｐゴシック" w:eastAsia="ＭＳ Ｐゴシック"/>
        </w:rPr>
        <w:t>びまん性メサンギウム増殖，半月体形成＜</w:t>
      </w:r>
      <w:r>
        <w:rPr>
          <w:rFonts w:eastAsia="ＭＳ Ｐゴシック" w:cs="ＭＳ Ｐゴシック" w:ascii="ＭＳ Ｐゴシック" w:hAnsi="ＭＳ Ｐゴシック"/>
        </w:rPr>
        <w:t>50</w:t>
      </w:r>
      <w:r>
        <w:rPr>
          <w:rFonts w:ascii="ＭＳ Ｐゴシック" w:hAnsi="ＭＳ Ｐゴシック" w:cs="ＭＳ Ｐゴシック" w:eastAsia="ＭＳ Ｐゴシック"/>
        </w:rPr>
        <w:t>％</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Grade IV a) </w:t>
      </w:r>
      <w:r>
        <w:rPr>
          <w:rFonts w:ascii="ＭＳ Ｐゴシック" w:hAnsi="ＭＳ Ｐゴシック" w:cs="ＭＳ Ｐゴシック" w:eastAsia="ＭＳ Ｐゴシック"/>
        </w:rPr>
        <w:t>巣状，</w:t>
      </w:r>
      <w:r>
        <w:rPr>
          <w:rFonts w:eastAsia="ＭＳ Ｐゴシック" w:cs="ＭＳ Ｐゴシック" w:ascii="ＭＳ Ｐゴシック" w:hAnsi="ＭＳ Ｐゴシック"/>
        </w:rPr>
        <w:t xml:space="preserve">b) </w:t>
      </w:r>
      <w:r>
        <w:rPr>
          <w:rFonts w:ascii="ＭＳ Ｐゴシック" w:hAnsi="ＭＳ Ｐゴシック" w:cs="ＭＳ Ｐゴシック" w:eastAsia="ＭＳ Ｐゴシック"/>
        </w:rPr>
        <w:t>びまん性メサンギウム増殖，半月体形成</w:t>
      </w:r>
      <w:r>
        <w:rPr>
          <w:rFonts w:eastAsia="ＭＳ Ｐゴシック" w:cs="ＭＳ Ｐゴシック" w:ascii="ＭＳ Ｐゴシック" w:hAnsi="ＭＳ Ｐゴシック"/>
        </w:rPr>
        <w:t>50</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75</w:t>
      </w:r>
      <w:r>
        <w:rPr>
          <w:rFonts w:ascii="ＭＳ Ｐゴシック" w:hAnsi="ＭＳ Ｐゴシック" w:cs="ＭＳ Ｐゴシック" w:eastAsia="ＭＳ Ｐゴシック"/>
        </w:rPr>
        <w:t>％</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Grade V a) </w:t>
      </w:r>
      <w:r>
        <w:rPr>
          <w:rFonts w:ascii="ＭＳ Ｐゴシック" w:hAnsi="ＭＳ Ｐゴシック" w:cs="ＭＳ Ｐゴシック" w:eastAsia="ＭＳ Ｐゴシック"/>
        </w:rPr>
        <w:t>巣状，</w:t>
      </w:r>
      <w:r>
        <w:rPr>
          <w:rFonts w:eastAsia="ＭＳ Ｐゴシック" w:cs="ＭＳ Ｐゴシック" w:ascii="ＭＳ Ｐゴシック" w:hAnsi="ＭＳ Ｐゴシック"/>
        </w:rPr>
        <w:t xml:space="preserve">b) </w:t>
      </w:r>
      <w:r>
        <w:rPr>
          <w:rFonts w:ascii="ＭＳ Ｐゴシック" w:hAnsi="ＭＳ Ｐゴシック" w:cs="ＭＳ Ｐゴシック" w:eastAsia="ＭＳ Ｐゴシック"/>
        </w:rPr>
        <w:t>びまん性メサンギウム増殖，半月体形成＞</w:t>
      </w:r>
      <w:r>
        <w:rPr>
          <w:rFonts w:eastAsia="ＭＳ Ｐゴシック" w:cs="ＭＳ Ｐゴシック" w:ascii="ＭＳ Ｐゴシック" w:hAnsi="ＭＳ Ｐゴシック"/>
        </w:rPr>
        <w:t>75</w:t>
      </w:r>
      <w:r>
        <w:rPr>
          <w:rFonts w:ascii="ＭＳ Ｐゴシック" w:hAnsi="ＭＳ Ｐゴシック" w:cs="ＭＳ Ｐゴシック" w:eastAsia="ＭＳ Ｐゴシック"/>
        </w:rPr>
        <w:t>％</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Grade VI </w:t>
      </w:r>
      <w:r>
        <w:rPr>
          <w:rFonts w:ascii="ＭＳ Ｐゴシック" w:hAnsi="ＭＳ Ｐゴシック" w:cs="ＭＳ Ｐゴシック" w:eastAsia="ＭＳ Ｐゴシック"/>
        </w:rPr>
        <w:t>膜性増殖性腎炎様病変</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腎不全移行率について、血尿単独あるいは血尿と軽度蛋白尿のみで臨床症状を認めない場合は５％未満であるが、血尿と高度蛋白尿が持続する場合や急性腎炎症候群を呈する場合には</w:t>
      </w:r>
      <w:r>
        <w:rPr>
          <w:rFonts w:eastAsia="ＭＳ Ｐゴシック" w:cs="ＭＳ Ｐゴシック" w:ascii="ＭＳ Ｐゴシック" w:hAnsi="ＭＳ Ｐゴシック"/>
        </w:rPr>
        <w:t>15</w:t>
      </w:r>
      <w:r>
        <w:rPr>
          <w:rFonts w:ascii="ＭＳ Ｐゴシック" w:hAnsi="ＭＳ Ｐゴシック" w:cs="ＭＳ Ｐゴシック" w:eastAsia="ＭＳ Ｐゴシック"/>
        </w:rPr>
        <w:t>％、ネフローゼ症候群を呈する場合には</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％とされ、さらに急性腎炎症候群症状でなおかつネフローゼ症候群を呈したものでは尿異常が持続し、</w:t>
      </w:r>
      <w:r>
        <w:rPr>
          <w:rFonts w:eastAsia="ＭＳ Ｐゴシック" w:cs="ＭＳ Ｐゴシック" w:ascii="ＭＳ Ｐゴシック" w:hAnsi="ＭＳ Ｐゴシック"/>
        </w:rPr>
        <w:t>50</w:t>
      </w:r>
      <w:r>
        <w:rPr>
          <w:rFonts w:ascii="ＭＳ Ｐゴシック" w:hAnsi="ＭＳ Ｐゴシック" w:cs="ＭＳ Ｐゴシック" w:eastAsia="ＭＳ Ｐゴシック"/>
        </w:rPr>
        <w:t>％以上が腎不全に進展する。組織学的には</w:t>
      </w:r>
      <w:r>
        <w:rPr>
          <w:rFonts w:eastAsia="ＭＳ Ｐゴシック" w:cs="ＭＳ Ｐゴシック" w:ascii="ＭＳ Ｐゴシック" w:hAnsi="ＭＳ Ｐゴシック"/>
        </w:rPr>
        <w:t>ISKDC</w:t>
      </w:r>
      <w:r>
        <w:rPr>
          <w:rFonts w:ascii="ＭＳ Ｐゴシック" w:hAnsi="ＭＳ Ｐゴシック" w:cs="ＭＳ Ｐゴシック" w:eastAsia="ＭＳ Ｐゴシック"/>
        </w:rPr>
        <w:t>の重症度分類で</w:t>
      </w:r>
      <w:r>
        <w:rPr>
          <w:rFonts w:eastAsia="ＭＳ Ｐゴシック" w:cs="ＭＳ Ｐゴシック" w:ascii="ＭＳ Ｐゴシック" w:hAnsi="ＭＳ Ｐゴシック"/>
        </w:rPr>
        <w:t>GradeIII</w:t>
      </w:r>
      <w:r>
        <w:rPr>
          <w:rFonts w:ascii="ＭＳ Ｐゴシック" w:hAnsi="ＭＳ Ｐゴシック" w:cs="ＭＳ Ｐゴシック" w:eastAsia="ＭＳ Ｐゴシック"/>
        </w:rPr>
        <w:t>以上の場合には約</w:t>
      </w:r>
      <w:r>
        <w:rPr>
          <w:rFonts w:eastAsia="ＭＳ Ｐゴシック" w:cs="ＭＳ Ｐゴシック" w:ascii="ＭＳ Ｐゴシック" w:hAnsi="ＭＳ Ｐゴシック"/>
        </w:rPr>
        <w:t>20</w:t>
      </w:r>
      <w:r>
        <w:rPr>
          <w:rFonts w:ascii="ＭＳ Ｐゴシック" w:hAnsi="ＭＳ Ｐゴシック" w:cs="ＭＳ Ｐゴシック" w:eastAsia="ＭＳ Ｐゴシック"/>
        </w:rPr>
        <w:t>％が末期腎不全に進行している。したがって臨床的にはネフローゼ症候群、高血圧、腎機能低下を認める症例や腎組織所見が</w:t>
      </w:r>
      <w:r>
        <w:rPr>
          <w:rFonts w:eastAsia="ＭＳ Ｐゴシック" w:cs="ＭＳ Ｐゴシック" w:ascii="ＭＳ Ｐゴシック" w:hAnsi="ＭＳ Ｐゴシック"/>
        </w:rPr>
        <w:t>ISKDC</w:t>
      </w:r>
      <w:r>
        <w:rPr>
          <w:rFonts w:ascii="ＭＳ Ｐゴシック" w:hAnsi="ＭＳ Ｐゴシック" w:cs="ＭＳ Ｐゴシック" w:eastAsia="ＭＳ Ｐゴシック"/>
        </w:rPr>
        <w:t>の重症度分類で</w:t>
      </w:r>
      <w:r>
        <w:rPr>
          <w:rFonts w:eastAsia="ＭＳ Ｐゴシック" w:cs="ＭＳ Ｐゴシック" w:ascii="ＭＳ Ｐゴシック" w:hAnsi="ＭＳ Ｐゴシック"/>
        </w:rPr>
        <w:t>GradeIIIb</w:t>
      </w:r>
      <w:r>
        <w:rPr>
          <w:rFonts w:ascii="ＭＳ Ｐゴシック" w:hAnsi="ＭＳ Ｐゴシック" w:cs="ＭＳ Ｐゴシック" w:eastAsia="ＭＳ Ｐゴシック"/>
        </w:rPr>
        <w:t>以上の場合には重症紫斑病性腎炎と考えて積極的治療が行必要である。</w:t>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臨床所見のスコア化による重症度分類（維持治療用）</w:t>
      </w:r>
    </w:p>
    <w:p>
      <w:pPr>
        <w:pStyle w:val="Normal"/>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4"/>
        </w:rPr>
        <w:t>CKD</w:t>
      </w:r>
      <w:r>
        <w:rPr>
          <w:rFonts w:ascii="ＭＳ Ｐゴシック" w:hAnsi="ＭＳ Ｐゴシック" w:cs="ＭＳ Ｐゴシック" w:eastAsia="ＭＳ Ｐゴシック"/>
          <w:sz w:val="24"/>
        </w:rPr>
        <w:t>重症度分類ヒートマップ</w:t>
      </w:r>
    </w:p>
    <w:tbl>
      <w:tblPr>
        <w:tblW w:w="10870" w:type="dxa"/>
        <w:jc w:val="left"/>
        <w:tblInd w:w="-562" w:type="dxa"/>
        <w:tblBorders>
          <w:top w:val="single" w:sz="4" w:space="0" w:color="000000"/>
          <w:left w:val="single" w:sz="4" w:space="0" w:color="000000"/>
          <w:bottom w:val="single" w:sz="4" w:space="0" w:color="000000"/>
          <w:insideH w:val="single" w:sz="4" w:space="0" w:color="000000"/>
        </w:tblBorders>
        <w:tblCellMar>
          <w:top w:w="0" w:type="dxa"/>
          <w:left w:w="94" w:type="dxa"/>
          <w:bottom w:w="0" w:type="dxa"/>
          <w:right w:w="99" w:type="dxa"/>
        </w:tblCellMar>
      </w:tblPr>
      <w:tblGrid>
        <w:gridCol w:w="1642"/>
        <w:gridCol w:w="1275"/>
        <w:gridCol w:w="1843"/>
        <w:gridCol w:w="1172"/>
        <w:gridCol w:w="1663"/>
        <w:gridCol w:w="1625"/>
        <w:gridCol w:w="1650"/>
      </w:tblGrid>
      <w:tr>
        <w:trPr>
          <w:trHeight w:val="300" w:hRule="atLeast"/>
        </w:trPr>
        <w:tc>
          <w:tcPr>
            <w:tcW w:w="2917" w:type="dxa"/>
            <w:gridSpan w:val="2"/>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　</w:t>
            </w:r>
          </w:p>
        </w:tc>
        <w:tc>
          <w:tcPr>
            <w:tcW w:w="3015" w:type="dxa"/>
            <w:gridSpan w:val="2"/>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蛋白尿区分</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A1</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A2</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A3</w:t>
            </w:r>
          </w:p>
        </w:tc>
      </w:tr>
      <w:tr>
        <w:trPr>
          <w:trHeight w:val="360" w:hRule="atLeast"/>
        </w:trPr>
        <w:tc>
          <w:tcPr>
            <w:tcW w:w="2917"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　</w:t>
            </w:r>
          </w:p>
        </w:tc>
        <w:tc>
          <w:tcPr>
            <w:tcW w:w="3015"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尿蛋白定量</w:t>
            </w:r>
            <w:r>
              <w:rPr>
                <w:rFonts w:eastAsia="HGP創英角ｺﾞｼｯｸUB" w:cs="ＭＳ Ｐゴシック" w:ascii="HGP創英角ｺﾞｼｯｸUB" w:hAnsi="HGP創英角ｺﾞｼｯｸUB"/>
                <w:sz w:val="26"/>
                <w:szCs w:val="26"/>
              </w:rPr>
              <w:br/>
              <w:t>(g/</w:t>
            </w:r>
            <w:r>
              <w:rPr>
                <w:rFonts w:ascii="HGP創英角ｺﾞｼｯｸUB" w:hAnsi="HGP創英角ｺﾞｼｯｸUB" w:cs="ＭＳ Ｐゴシック" w:eastAsia="HGP創英角ｺﾞｼｯｸUB"/>
                <w:sz w:val="26"/>
                <w:szCs w:val="26"/>
              </w:rPr>
              <w:t>日</w:t>
            </w:r>
            <w:r>
              <w:rPr>
                <w:rFonts w:eastAsia="HGP創英角ｺﾞｼｯｸUB" w:cs="ＭＳ Ｐゴシック" w:ascii="HGP創英角ｺﾞｼｯｸUB" w:hAnsi="HGP創英角ｺﾞｼｯｸUB"/>
                <w:sz w:val="26"/>
                <w:szCs w:val="26"/>
              </w:rPr>
              <w:t>)</w:t>
              <w:br/>
            </w:r>
            <w:r>
              <w:rPr>
                <w:rFonts w:ascii="HGP創英角ｺﾞｼｯｸUB" w:hAnsi="HGP創英角ｺﾞｼｯｸUB" w:cs="ＭＳ Ｐゴシック" w:eastAsia="HGP創英角ｺﾞｼｯｸUB"/>
                <w:sz w:val="26"/>
                <w:szCs w:val="26"/>
              </w:rPr>
              <w:t>尿蛋白</w:t>
            </w:r>
            <w:r>
              <w:rPr>
                <w:rFonts w:eastAsia="HGP創英角ｺﾞｼｯｸUB" w:cs="ＭＳ Ｐゴシック" w:ascii="HGP創英角ｺﾞｼｯｸUB" w:hAnsi="HGP創英角ｺﾞｼｯｸUB"/>
                <w:sz w:val="26"/>
                <w:szCs w:val="26"/>
              </w:rPr>
              <w:t xml:space="preserve">/Cr </w:t>
            </w:r>
            <w:r>
              <w:rPr>
                <w:rFonts w:ascii="HGP創英角ｺﾞｼｯｸUB" w:hAnsi="HGP創英角ｺﾞｼｯｸUB" w:cs="ＭＳ Ｐゴシック" w:eastAsia="HGP創英角ｺﾞｼｯｸUB"/>
                <w:sz w:val="26"/>
                <w:szCs w:val="26"/>
              </w:rPr>
              <w:t>比</w:t>
            </w:r>
            <w:r>
              <w:rPr>
                <w:rFonts w:eastAsia="HGP創英角ｺﾞｼｯｸUB" w:cs="ＭＳ Ｐゴシック" w:ascii="HGP創英角ｺﾞｼｯｸUB" w:hAnsi="HGP創英角ｺﾞｼｯｸUB"/>
                <w:sz w:val="26"/>
                <w:szCs w:val="26"/>
              </w:rPr>
              <w:br/>
              <w:t>(g/gCr)</w:t>
            </w:r>
          </w:p>
        </w:tc>
        <w:tc>
          <w:tcPr>
            <w:tcW w:w="1663"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正常</w:t>
            </w:r>
          </w:p>
        </w:tc>
        <w:tc>
          <w:tcPr>
            <w:tcW w:w="1625"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軽度蛋白尿</w:t>
            </w:r>
          </w:p>
        </w:tc>
        <w:tc>
          <w:tcPr>
            <w:tcW w:w="165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高度蛋白尿</w:t>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60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0.15</w:t>
            </w:r>
            <w:r>
              <w:rPr>
                <w:rFonts w:ascii="HGP創英角ｺﾞｼｯｸUB" w:hAnsi="HGP創英角ｺﾞｼｯｸUB" w:cs="ＭＳ Ｐゴシック" w:eastAsia="HGP創英角ｺﾞｼｯｸUB"/>
                <w:color w:val="000000"/>
                <w:sz w:val="26"/>
                <w:szCs w:val="26"/>
              </w:rPr>
              <w:t>未満</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0.15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0.49</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0.50</w:t>
            </w:r>
            <w:r>
              <w:rPr>
                <w:rFonts w:ascii="HGP創英角ｺﾞｼｯｸUB" w:hAnsi="HGP創英角ｺﾞｼｯｸUB" w:cs="ＭＳ Ｐゴシック" w:eastAsia="HGP創英角ｺﾞｼｯｸUB"/>
                <w:color w:val="000000"/>
                <w:sz w:val="26"/>
                <w:szCs w:val="26"/>
              </w:rPr>
              <w:t>以上</w:t>
            </w:r>
          </w:p>
        </w:tc>
      </w:tr>
      <w:tr>
        <w:trPr>
          <w:trHeight w:val="420" w:hRule="atLeast"/>
        </w:trPr>
        <w:tc>
          <w:tcPr>
            <w:tcW w:w="1642"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mc:AlternateContent>
                <mc:Choice Requires="wps">
                  <w:drawing>
                    <wp:anchor behindDoc="0" distT="0" distB="0" distL="114935" distR="114935" simplePos="0" locked="0" layoutInCell="1" allowOverlap="1" relativeHeight="3">
                      <wp:simplePos x="0" y="0"/>
                      <wp:positionH relativeFrom="margin">
                        <wp:posOffset>-52705</wp:posOffset>
                      </wp:positionH>
                      <wp:positionV relativeFrom="paragraph">
                        <wp:posOffset>1412875</wp:posOffset>
                      </wp:positionV>
                      <wp:extent cx="5878195" cy="448310"/>
                      <wp:effectExtent l="0" t="0" r="0" b="0"/>
                      <wp:wrapNone/>
                      <wp:docPr id="1" name="カギ線コネクタ 36"/>
                      <a:graphic xmlns:a="http://schemas.openxmlformats.org/drawingml/2006/main">
                        <a:graphicData uri="http://schemas.microsoft.com/office/word/2010/wordprocessingShape">
                          <wps:cxnSp>
                            <wps:nvCxnSpPr>
                              <wps:cNvPr id="0" name="Line 1"/>
                              <wps:cNvCxnSpPr/>
                              <wps:nvPr/>
                            </wps:nvCxnSpPr>
                            <wps:spPr>
                              <a:xfrm flipV="1">
                                <a:off x="0" y="0"/>
                                <a:ext cx="5877720" cy="447840"/>
                              </a:xfrm>
                              <a:prstGeom prst="straightConnector1">
                                <a:avLst/>
                              </a:prstGeom>
                              <a:ln w="38160">
                                <a:solidFill>
                                  <a:srgbClr val="ff0000"/>
                                </a:solidFill>
                                <a:custDash>
                                  <a:ds d="300000" sp="200000"/>
                                </a:custDash>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カギ線コネクタ 36" stroked="t" style="position:absolute;margin-left:23.95pt;margin-top:111.25pt;width:462.75pt;height:35.15pt;flip:y;mso-position-horizontal-relative:margin" type="shapetype_32">
                      <v:stroke color="red" weight="38160" dashstyle="dash" joinstyle="miter" endcap="square"/>
                      <v:fill o:detectmouseclick="t" on="false"/>
                    </v:shape>
                  </w:pict>
                </mc:Fallback>
              </mc:AlternateContent>
            </w:r>
            <w:r>
              <w:rPr>
                <w:rFonts w:eastAsia="HGP創英角ｺﾞｼｯｸUB" w:cs="ＭＳ Ｐゴシック" w:ascii="HGP創英角ｺﾞｼｯｸUB" w:hAnsi="HGP創英角ｺﾞｼｯｸUB"/>
                <w:color w:val="000000"/>
                <w:sz w:val="26"/>
                <w:szCs w:val="26"/>
              </w:rPr>
              <w:t>G</w:t>
            </w:r>
            <w:r>
              <w:rPr>
                <w:rFonts w:eastAsia="HGP創英角ｺﾞｼｯｸUB" w:cs="ＭＳ Ｐゴシック" w:ascii="HGP創英角ｺﾞｼｯｸUB" w:hAnsi="HGP創英角ｺﾞｼｯｸUB"/>
                <w:color w:val="000000"/>
                <w:sz w:val="26"/>
                <w:szCs w:val="26"/>
              </w:rPr>
              <w:t>FR</w:t>
            </w:r>
            <w:r>
              <w:rPr>
                <w:rFonts w:ascii="HGP創英角ｺﾞｼｯｸUB" w:hAnsi="HGP創英角ｺﾞｼｯｸUB" w:cs="ＭＳ Ｐゴシック" w:eastAsia="HGP創英角ｺﾞｼｯｸUB"/>
                <w:color w:val="000000"/>
                <w:sz w:val="26"/>
                <w:szCs w:val="26"/>
              </w:rPr>
              <w:t>区分</w:t>
            </w:r>
            <w:r>
              <w:rPr>
                <w:rFonts w:eastAsia="HGP創英角ｺﾞｼｯｸUB" w:cs="ＭＳ Ｐゴシック" w:ascii="HGP創英角ｺﾞｼｯｸUB" w:hAnsi="HGP創英角ｺﾞｼｯｸUB"/>
                <w:color w:val="000000"/>
                <w:sz w:val="26"/>
                <w:szCs w:val="26"/>
              </w:rPr>
              <w:br/>
              <w:t>(mL/</w:t>
            </w:r>
            <w:r>
              <w:rPr>
                <w:rFonts w:ascii="HGP創英角ｺﾞｼｯｸUB" w:hAnsi="HGP創英角ｺﾞｼｯｸUB" w:cs="ＭＳ Ｐゴシック" w:eastAsia="HGP創英角ｺﾞｼｯｸUB"/>
                <w:color w:val="000000"/>
                <w:sz w:val="26"/>
                <w:szCs w:val="26"/>
              </w:rPr>
              <w:t>分</w:t>
            </w:r>
            <w:r>
              <w:rPr>
                <w:rFonts w:eastAsia="HGP創英角ｺﾞｼｯｸUB" w:cs="ＭＳ Ｐゴシック" w:ascii="HGP創英角ｺﾞｼｯｸUB" w:hAnsi="HGP創英角ｺﾞｼｯｸUB"/>
                <w:color w:val="000000"/>
                <w:sz w:val="26"/>
                <w:szCs w:val="26"/>
              </w:rPr>
              <w:t>/1.73</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w:t>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G1</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正常又は高値</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HGP創英角ｺﾞｼｯｸUB"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90</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緑</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G2</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正常又は軽度低下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60</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89</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緑</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G3a</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軽度～中等度低下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45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59</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mc:AlternateContent>
                <mc:Choice Requires="wps">
                  <w:drawing>
                    <wp:anchor behindDoc="0" distT="0" distB="0" distL="114935" distR="114935" simplePos="0" locked="0" layoutInCell="1" allowOverlap="1" relativeHeight="2">
                      <wp:simplePos x="0" y="0"/>
                      <wp:positionH relativeFrom="margin">
                        <wp:posOffset>-44450</wp:posOffset>
                      </wp:positionH>
                      <wp:positionV relativeFrom="paragraph">
                        <wp:posOffset>35560</wp:posOffset>
                      </wp:positionV>
                      <wp:extent cx="2058670" cy="448945"/>
                      <wp:effectExtent l="0" t="0" r="0" b="0"/>
                      <wp:wrapNone/>
                      <wp:docPr id="2" name="カギ線コネクタ 14"/>
                      <a:graphic xmlns:a="http://schemas.openxmlformats.org/drawingml/2006/main">
                        <a:graphicData uri="http://schemas.microsoft.com/office/word/2010/wordprocessingShape">
                          <wps:cxnSp>
                            <wps:nvCxnSpPr>
                              <wps:cNvPr id="1" name="Line 1"/>
                              <wps:cNvCxnSpPr/>
                              <wps:nvPr/>
                            </wps:nvCxnSpPr>
                            <wps:spPr>
                              <a:xfrm flipV="1">
                                <a:off x="0" y="0"/>
                                <a:ext cx="2058480" cy="448560"/>
                              </a:xfrm>
                              <a:prstGeom prst="straightConnector1">
                                <a:avLst/>
                              </a:prstGeom>
                              <a:ln w="38160">
                                <a:solidFill>
                                  <a:srgbClr val="ff0000"/>
                                </a:solidFill>
                                <a:custDash>
                                  <a:ds d="300000" sp="200000"/>
                                </a:custDash>
                                <a:miter/>
                              </a:ln>
                            </wps:spPr>
                            <wps:bodyPr/>
                          </wps:cxnSp>
                        </a:graphicData>
                      </a:graphic>
                    </wp:anchor>
                  </w:drawing>
                </mc:Choice>
                <mc:Fallback>
                  <w:pict>
                    <v:shape id="shape_0" ID="カギ線コネクタ 14" stroked="t" style="position:absolute;margin-left:-355.1pt;margin-top:2.8pt;width:162.05pt;height:35.2pt;flip:y;mso-position-horizontal-relative:margin" type="shapetype_32">
                      <v:stroke color="red" weight="38160" dashstyle="dash" joinstyle="miter" endcap="square"/>
                      <v:fill o:detectmouseclick="t" on="false"/>
                    </v:shape>
                  </w:pict>
                </mc:Fallback>
              </mc:AlternateContent>
            </w:r>
            <w:r>
              <w:rPr>
                <w:rFonts w:ascii="ＭＳ Ｐゴシック" w:hAnsi="ＭＳ Ｐゴシック" w:cs="ＭＳ Ｐゴシック" w:eastAsia="ＭＳ Ｐゴシック"/>
                <w:sz w:val="36"/>
                <w:szCs w:val="36"/>
              </w:rPr>
              <w:t>オ</w:t>
            </w:r>
            <w:r>
              <w:rPr>
                <w:rFonts w:ascii="ＭＳ Ｐゴシック" w:hAnsi="ＭＳ Ｐゴシック" w:cs="ＭＳ Ｐゴシック" w:eastAsia="ＭＳ Ｐゴシック"/>
                <w:sz w:val="36"/>
                <w:szCs w:val="36"/>
              </w:rPr>
              <w:t>レンジ</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G3b</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中等度～高度低下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30</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44</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51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G4</w:t>
            </w:r>
          </w:p>
        </w:tc>
        <w:tc>
          <w:tcPr>
            <w:tcW w:w="1843"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高度低下</w:t>
            </w:r>
          </w:p>
        </w:tc>
        <w:tc>
          <w:tcPr>
            <w:tcW w:w="1172"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15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29</w:t>
            </w:r>
          </w:p>
        </w:tc>
        <w:tc>
          <w:tcPr>
            <w:tcW w:w="1663"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25"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36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G5</w:t>
            </w:r>
          </w:p>
        </w:tc>
        <w:tc>
          <w:tcPr>
            <w:tcW w:w="1843"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末期腎不全（</w:t>
            </w:r>
            <w:r>
              <w:rPr>
                <w:rFonts w:eastAsia="HGP創英角ｺﾞｼｯｸUB" w:cs="ＭＳ Ｐゴシック" w:ascii="HGP創英角ｺﾞｼｯｸUB" w:hAnsi="HGP創英角ｺﾞｼｯｸUB"/>
                <w:color w:val="000000"/>
                <w:sz w:val="26"/>
                <w:szCs w:val="26"/>
              </w:rPr>
              <w:t>ESKD</w:t>
            </w:r>
            <w:r>
              <w:rPr>
                <w:rFonts w:ascii="HGP創英角ｺﾞｼｯｸUB" w:hAnsi="HGP創英角ｺﾞｼｯｸUB" w:cs="ＭＳ Ｐゴシック" w:eastAsia="HGP創英角ｺﾞｼｯｸUB"/>
                <w:color w:val="000000"/>
                <w:sz w:val="26"/>
                <w:szCs w:val="26"/>
              </w:rPr>
              <w:t>）</w:t>
            </w:r>
          </w:p>
        </w:tc>
        <w:tc>
          <w:tcPr>
            <w:tcW w:w="1172"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15</w:t>
            </w:r>
          </w:p>
        </w:tc>
        <w:tc>
          <w:tcPr>
            <w:tcW w:w="1663"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c>
          <w:tcPr>
            <w:tcW w:w="1625"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c>
          <w:tcPr>
            <w:tcW w:w="165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r>
      <w:tr>
        <w:trPr>
          <w:trHeight w:val="36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843"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17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color w:val="000000"/>
                <w:sz w:val="36"/>
                <w:szCs w:val="36"/>
              </w:rPr>
            </w:pPr>
            <w:r>
              <w:rPr>
                <w:rFonts w:eastAsia="ＭＳ Ｐゴシック" w:cs="Arial" w:ascii="Arial" w:hAnsi="Arial"/>
                <w:color w:val="000000"/>
                <w:sz w:val="36"/>
                <w:szCs w:val="36"/>
              </w:rPr>
            </w:r>
          </w:p>
        </w:tc>
        <w:tc>
          <w:tcPr>
            <w:tcW w:w="1625"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sz w:val="36"/>
                <w:szCs w:val="36"/>
              </w:rPr>
            </w:pPr>
            <w:r>
              <w:rPr>
                <w:rFonts w:eastAsia="ＭＳ Ｐゴシック" w:cs="Arial" w:ascii="Arial" w:hAnsi="Arial"/>
                <w:sz w:val="36"/>
                <w:szCs w:val="36"/>
              </w:rPr>
            </w:r>
          </w:p>
        </w:tc>
        <w:tc>
          <w:tcPr>
            <w:tcW w:w="165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sz w:val="36"/>
                <w:szCs w:val="36"/>
              </w:rPr>
            </w:pPr>
            <w:r>
              <w:rPr>
                <w:rFonts w:eastAsia="ＭＳ Ｐゴシック" w:cs="Arial" w:ascii="Arial" w:hAnsi="Arial"/>
                <w:sz w:val="36"/>
                <w:szCs w:val="36"/>
              </w:rPr>
            </w:r>
          </w:p>
        </w:tc>
      </w:tr>
    </w:tbl>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維持治療時とは、初期治療あるいは再発時治療を行い、おおむね</w:t>
      </w:r>
      <w:r>
        <w:rPr>
          <w:rFonts w:eastAsia="ＭＳ Ｐゴシック" w:cs="ＭＳ Ｐゴシック" w:ascii="ＭＳ Ｐゴシック" w:hAnsi="ＭＳ Ｐゴシック"/>
          <w:szCs w:val="21"/>
        </w:rPr>
        <w:t>0.5</w:t>
      </w:r>
      <w:r>
        <w:rPr>
          <w:rFonts w:ascii="ＭＳ Ｐゴシック" w:hAnsi="ＭＳ Ｐゴシック" w:cs="ＭＳ Ｐゴシック" w:eastAsia="ＭＳ Ｐゴシック"/>
          <w:szCs w:val="21"/>
        </w:rPr>
        <w:t>年経過した時点とする。</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widowControl/>
        <w:ind w:left="420" w:hanging="420"/>
        <w:jc w:val="left"/>
        <w:rPr/>
      </w:pPr>
      <w:r>
        <w:rPr>
          <w:szCs w:val="21"/>
        </w:rPr>
        <w:t>３．なお、症状の程度が上記の重症度分類等で一定以上に該当しない者であるが、高額な医療を継続することが必要なものについては、医療費助成の対象とする。</w:t>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ＭＳ Ｐゴシック">
    <w:charset w:val="80"/>
    <w:family w:val="modern"/>
    <w:pitch w:val="variable"/>
  </w:font>
  <w:font w:name="ＭＳ 明朝">
    <w:altName w:val="MS Mincho"/>
    <w:charset w:val="80"/>
    <w:family w:val="roman"/>
    <w:pitch w:val="default"/>
  </w:font>
  <w:font w:name="ＭＳ ゴシック">
    <w:altName w:val="MS Gothic"/>
    <w:charset w:val="80"/>
    <w:family w:val="modern"/>
    <w:pitch w:val="default"/>
  </w:font>
  <w:font w:name="HGP創英角ｺﾞｼｯｸUB">
    <w:charset w:val="80"/>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lang w:val="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trackRevisions/>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ascii="Wingdings" w:hAnsi="Wingdings" w:cs="Wingdings"/>
    </w:rPr>
  </w:style>
  <w:style w:type="character" w:styleId="WW8Num1z1">
    <w:name w:val="WW8Num1z1"/>
    <w:qFormat/>
    <w:rPr>
      <w:rFonts w:ascii="Symbol" w:hAnsi="Symbol" w:cs="Symbol"/>
    </w:rPr>
  </w:style>
  <w:style w:type="character" w:styleId="WW8Num1z2">
    <w:name w:val="WW8Num1z2"/>
    <w:qFormat/>
    <w:rPr>
      <w:rFonts w:ascii="Courier New" w:hAnsi="Courier New" w:cs="Courier New"/>
    </w:rPr>
  </w:style>
  <w:style w:type="character" w:styleId="WW8Num2z0">
    <w:name w:val="WW8Num2z0"/>
    <w:qFormat/>
    <w:rPr>
      <w:lang w:val="en-U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basedOn w:val="Style14"/>
    <w:qFormat/>
    <w:rPr/>
  </w:style>
  <w:style w:type="character" w:styleId="Style17">
    <w:name w:val="フッター (文字)"/>
    <w:basedOn w:val="Style14"/>
    <w:qFormat/>
    <w:rPr/>
  </w:style>
  <w:style w:type="character" w:styleId="Style18">
    <w:name w:val="コメント参照"/>
    <w:qFormat/>
    <w:rPr>
      <w:sz w:val="18"/>
      <w:szCs w:val="18"/>
    </w:rPr>
  </w:style>
  <w:style w:type="character" w:styleId="Style19">
    <w:name w:val="コメント文字列 (文字)"/>
    <w:basedOn w:val="Style14"/>
    <w:qFormat/>
    <w:rPr/>
  </w:style>
  <w:style w:type="character" w:styleId="Style20">
    <w:name w:val="コメント内容 (文字)"/>
    <w:qFormat/>
    <w:rPr>
      <w:b/>
      <w:bCs/>
    </w:rPr>
  </w:style>
  <w:style w:type="paragraph" w:styleId="Style21">
    <w:name w:val="見出し"/>
    <w:basedOn w:val="Normal"/>
    <w:next w:val="Style22"/>
    <w:qFormat/>
    <w:pPr>
      <w:keepNext w:val="true"/>
      <w:spacing w:before="240" w:after="120"/>
    </w:pPr>
    <w:rPr>
      <w:rFonts w:ascii="Liberation Sans" w:hAnsi="Liberation Sans" w:eastAsia="VL ゴシック" w:cs="VL ゴシック"/>
      <w:sz w:val="28"/>
      <w:szCs w:val="28"/>
    </w:rPr>
  </w:style>
  <w:style w:type="paragraph" w:styleId="Style22">
    <w:name w:val="Body Text"/>
    <w:basedOn w:val="Normal"/>
    <w:pPr>
      <w:spacing w:lineRule="auto" w:line="288"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i/>
      <w:iCs/>
      <w:sz w:val="24"/>
      <w:szCs w:val="24"/>
    </w:rPr>
  </w:style>
  <w:style w:type="paragraph" w:styleId="Style25">
    <w:name w:val="索引"/>
    <w:basedOn w:val="Normal"/>
    <w:qFormat/>
    <w:pPr>
      <w:suppressLineNumbers/>
    </w:pPr>
    <w:rPr/>
  </w:style>
  <w:style w:type="paragraph" w:styleId="Style26">
    <w:name w:val="吹き出し"/>
    <w:basedOn w:val="Normal"/>
    <w:qFormat/>
    <w:pPr/>
    <w:rPr>
      <w:rFonts w:ascii="Arial" w:hAnsi="Arial" w:eastAsia="ＭＳ ゴシック;MS Gothic" w:cs="Arial"/>
      <w:sz w:val="18"/>
      <w:szCs w:val="18"/>
      <w:lang w:val="ja-JP"/>
    </w:rPr>
  </w:style>
  <w:style w:type="paragraph" w:styleId="13">
    <w:name w:val="表 (青) 13"/>
    <w:basedOn w:val="Normal"/>
    <w:qFormat/>
    <w:pPr>
      <w:ind w:left="840" w:hanging="0"/>
    </w:pPr>
    <w:rPr/>
  </w:style>
  <w:style w:type="paragraph" w:styleId="Style27">
    <w:name w:val="Header"/>
    <w:basedOn w:val="Normal"/>
    <w:pPr>
      <w:snapToGrid w:val="false"/>
    </w:pPr>
    <w:rPr/>
  </w:style>
  <w:style w:type="paragraph" w:styleId="Style28">
    <w:name w:val="Footer"/>
    <w:basedOn w:val="Normal"/>
    <w:pPr>
      <w:snapToGrid w:val="false"/>
    </w:pPr>
    <w:rPr/>
  </w:style>
  <w:style w:type="paragraph" w:styleId="Style29">
    <w:name w:val="コメント文字列"/>
    <w:basedOn w:val="Normal"/>
    <w:qFormat/>
    <w:pPr>
      <w:jc w:val="left"/>
    </w:pPr>
    <w:rPr/>
  </w:style>
  <w:style w:type="paragraph" w:styleId="Style30">
    <w:name w:val="コメント内容"/>
    <w:basedOn w:val="Style29"/>
    <w:next w:val="Style29"/>
    <w:qFormat/>
    <w:pPr/>
    <w:rPr>
      <w:b/>
      <w:bCs/>
      <w:sz w:val="20"/>
      <w:szCs w:val="20"/>
      <w:lang w:val="ja-JP"/>
    </w:rPr>
  </w:style>
  <w:style w:type="paragraph" w:styleId="Style31">
    <w:name w:val="変更箇所"/>
    <w:qFormat/>
    <w:pPr>
      <w:widowControl/>
    </w:pPr>
    <w:rPr>
      <w:rFonts w:ascii="Century" w:hAnsi="Century" w:eastAsia="ＭＳ 明朝;MS Mincho" w:cs="Times New Roman"/>
      <w:color w:val="auto"/>
      <w:sz w:val="21"/>
      <w:szCs w:val="22"/>
      <w:lang w:val="en-US" w:eastAsia="ja-JP" w:bidi="ar-SA"/>
    </w:rPr>
  </w:style>
  <w:style w:type="paragraph" w:styleId="Style32">
    <w:name w:val="表の内容"/>
    <w:basedOn w:val="Normal"/>
    <w:qFormat/>
    <w:pPr>
      <w:suppressLineNumbers/>
    </w:pPr>
    <w:rPr/>
  </w:style>
  <w:style w:type="paragraph" w:styleId="Style33">
    <w:name w:val="表の見出し"/>
    <w:basedOn w:val="Style32"/>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2016-10-24T14:21:00Z</dcterms:created>
  <dc:creator>厚生労働省ネットワークシステム</dc:creator>
  <dc:description/>
  <dc:language>ja-JP</dc:language>
  <cp:lastModifiedBy>厚生労働省ネットワークシステム</cp:lastModifiedBy>
  <cp:lastPrinted>2014-09-25T15:24:00Z</cp:lastPrinted>
  <dcterms:modified xsi:type="dcterms:W3CDTF">2017-03-21T14:57:00Z</dcterms:modified>
  <cp:revision>13</cp:revision>
  <dc:subject/>
  <dc:title/>
</cp:coreProperties>
</file>