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556" w:rsidRPr="00DB6FCF" w:rsidRDefault="00B6321F" w:rsidP="00F24EC5">
      <w:pPr>
        <w:overflowPunct w:val="0"/>
        <w:jc w:val="center"/>
        <w:textAlignment w:val="baseline"/>
        <w:rPr>
          <w:rFonts w:ascii="ＭＳ Ｐゴシック" w:eastAsia="ＭＳ Ｐゴシック" w:hAnsi="ＭＳ Ｐゴシック" w:cs="ＭＳ ゴシック"/>
          <w:bCs/>
          <w:color w:val="000000"/>
          <w:kern w:val="0"/>
          <w:sz w:val="28"/>
          <w:szCs w:val="28"/>
        </w:rPr>
      </w:pPr>
      <w:bookmarkStart w:id="0" w:name="_GoBack"/>
      <w:bookmarkEnd w:id="0"/>
      <w:r>
        <w:rPr>
          <w:rFonts w:ascii="ＭＳ Ｐゴシック" w:eastAsia="ＭＳ Ｐゴシック" w:hAnsi="ＭＳ Ｐゴシック" w:cs="ＭＳ ゴシック" w:hint="eastAsia"/>
          <w:bCs/>
          <w:color w:val="000000"/>
          <w:kern w:val="0"/>
          <w:sz w:val="28"/>
          <w:szCs w:val="28"/>
        </w:rPr>
        <w:t>240</w:t>
      </w:r>
      <w:r w:rsidR="00EC223C">
        <w:rPr>
          <w:rFonts w:ascii="ＭＳ Ｐゴシック" w:eastAsia="ＭＳ Ｐゴシック" w:hAnsi="ＭＳ Ｐゴシック" w:cs="ＭＳ ゴシック" w:hint="eastAsia"/>
          <w:bCs/>
          <w:color w:val="000000"/>
          <w:kern w:val="0"/>
          <w:sz w:val="28"/>
          <w:szCs w:val="28"/>
        </w:rPr>
        <w:t xml:space="preserve">　</w:t>
      </w:r>
      <w:r w:rsidR="00D31133" w:rsidRPr="00DB6FCF">
        <w:rPr>
          <w:rFonts w:ascii="ＭＳ Ｐゴシック" w:eastAsia="ＭＳ Ｐゴシック" w:hAnsi="ＭＳ Ｐゴシック" w:cs="ＭＳ ゴシック" w:hint="eastAsia"/>
          <w:bCs/>
          <w:color w:val="000000"/>
          <w:kern w:val="0"/>
          <w:sz w:val="28"/>
          <w:szCs w:val="28"/>
        </w:rPr>
        <w:t>フェニルケトン尿症</w:t>
      </w:r>
    </w:p>
    <w:p w:rsidR="00DB6FCF" w:rsidRPr="00DB6FCF" w:rsidRDefault="00DB6FCF" w:rsidP="00DB6FCF">
      <w:pPr>
        <w:rPr>
          <w:rFonts w:ascii="ＭＳ Ｐゴシック" w:eastAsia="ＭＳ Ｐゴシック" w:hAnsi="ＭＳ Ｐゴシック"/>
          <w:bdr w:val="single" w:sz="4" w:space="0" w:color="auto"/>
        </w:rPr>
      </w:pPr>
      <w:r w:rsidRPr="00DB6FCF">
        <w:rPr>
          <w:rFonts w:ascii="ＭＳ Ｐゴシック" w:eastAsia="ＭＳ Ｐゴシック" w:hAnsi="ＭＳ Ｐゴシック" w:hint="eastAsia"/>
          <w:bdr w:val="single" w:sz="4" w:space="0" w:color="auto"/>
        </w:rPr>
        <w:t>○　概要</w:t>
      </w:r>
    </w:p>
    <w:p w:rsidR="003F0556" w:rsidRPr="00DB6FCF" w:rsidRDefault="003F0556" w:rsidP="003F0556">
      <w:pPr>
        <w:overflowPunct w:val="0"/>
        <w:spacing w:line="300" w:lineRule="exact"/>
        <w:textAlignment w:val="baseline"/>
        <w:rPr>
          <w:rFonts w:ascii="ＭＳ Ｐゴシック" w:eastAsia="ＭＳ Ｐゴシック" w:hAnsi="ＭＳ Ｐゴシック" w:cs="ＭＳ ゴシック"/>
          <w:color w:val="000000"/>
          <w:kern w:val="0"/>
          <w:szCs w:val="21"/>
        </w:rPr>
      </w:pPr>
    </w:p>
    <w:p w:rsidR="003F0556" w:rsidRPr="00DB6FCF" w:rsidRDefault="003F0556" w:rsidP="00E93F4A">
      <w:pPr>
        <w:pStyle w:val="a5"/>
        <w:numPr>
          <w:ilvl w:val="0"/>
          <w:numId w:val="12"/>
        </w:numPr>
        <w:tabs>
          <w:tab w:val="left" w:pos="993"/>
        </w:tabs>
        <w:overflowPunct w:val="0"/>
        <w:ind w:leftChars="0"/>
        <w:textAlignment w:val="baseline"/>
        <w:rPr>
          <w:rFonts w:ascii="ＭＳ Ｐゴシック" w:eastAsia="ＭＳ Ｐゴシック" w:hAnsi="ＭＳ Ｐゴシック" w:cs="ＭＳ ゴシック"/>
          <w:color w:val="000000"/>
          <w:kern w:val="0"/>
          <w:szCs w:val="21"/>
        </w:rPr>
      </w:pPr>
      <w:r w:rsidRPr="00DB6FCF">
        <w:rPr>
          <w:rFonts w:ascii="ＭＳ Ｐゴシック" w:eastAsia="ＭＳ Ｐゴシック" w:hAnsi="ＭＳ Ｐゴシック" w:cs="ＭＳ ゴシック" w:hint="eastAsia"/>
          <w:color w:val="000000"/>
          <w:kern w:val="0"/>
          <w:szCs w:val="21"/>
        </w:rPr>
        <w:t>概要</w:t>
      </w:r>
    </w:p>
    <w:p w:rsidR="003F0556" w:rsidRPr="00DB6FCF" w:rsidRDefault="00D31133" w:rsidP="00E93F4A">
      <w:pPr>
        <w:tabs>
          <w:tab w:val="left" w:pos="993"/>
        </w:tabs>
        <w:overflowPunct w:val="0"/>
        <w:ind w:leftChars="135" w:left="283" w:firstLineChars="100" w:firstLine="210"/>
        <w:textAlignment w:val="baseline"/>
        <w:rPr>
          <w:rFonts w:ascii="ＭＳ Ｐゴシック" w:eastAsia="ＭＳ Ｐゴシック" w:hAnsi="ＭＳ Ｐゴシック"/>
          <w:szCs w:val="21"/>
          <w:u w:color="000000"/>
        </w:rPr>
      </w:pPr>
      <w:r w:rsidRPr="00DB6FCF">
        <w:rPr>
          <w:rFonts w:ascii="ＭＳ Ｐゴシック" w:eastAsia="ＭＳ Ｐゴシック" w:hAnsi="ＭＳ Ｐゴシック" w:hint="eastAsia"/>
          <w:szCs w:val="21"/>
          <w:u w:color="000000"/>
          <w:lang w:val="ja-JP"/>
        </w:rPr>
        <w:t>フェニルケトン尿症</w:t>
      </w:r>
      <w:r w:rsidR="002C0CAE">
        <w:rPr>
          <w:rFonts w:ascii="ＭＳ Ｐゴシック" w:eastAsia="ＭＳ Ｐゴシック" w:hAnsi="ＭＳ Ｐゴシック" w:hint="eastAsia"/>
          <w:szCs w:val="21"/>
          <w:u w:color="000000"/>
          <w:lang w:val="ja-JP"/>
        </w:rPr>
        <w:t>（</w:t>
      </w:r>
      <w:r w:rsidRPr="00DB6FCF">
        <w:rPr>
          <w:rFonts w:ascii="ＭＳ Ｐゴシック" w:eastAsia="ＭＳ Ｐゴシック" w:hAnsi="ＭＳ Ｐゴシック" w:hint="eastAsia"/>
          <w:szCs w:val="21"/>
          <w:u w:color="000000"/>
          <w:lang w:val="ja-JP"/>
        </w:rPr>
        <w:t>PKU</w:t>
      </w:r>
      <w:r w:rsidR="002C0CAE">
        <w:rPr>
          <w:rFonts w:ascii="ＭＳ Ｐゴシック" w:eastAsia="ＭＳ Ｐゴシック" w:hAnsi="ＭＳ Ｐゴシック" w:hint="eastAsia"/>
          <w:szCs w:val="21"/>
          <w:u w:color="000000"/>
          <w:lang w:val="ja-JP"/>
        </w:rPr>
        <w:t>）</w:t>
      </w:r>
      <w:r w:rsidRPr="00DB6FCF">
        <w:rPr>
          <w:rFonts w:ascii="ＭＳ Ｐゴシック" w:eastAsia="ＭＳ Ｐゴシック" w:hAnsi="ＭＳ Ｐゴシック" w:hint="eastAsia"/>
          <w:szCs w:val="21"/>
          <w:u w:color="000000"/>
          <w:lang w:val="ja-JP"/>
        </w:rPr>
        <w:t>に代表とされるフェニルアラニン</w:t>
      </w:r>
      <w:r w:rsidR="002C0CAE">
        <w:rPr>
          <w:rFonts w:ascii="ＭＳ Ｐゴシック" w:eastAsia="ＭＳ Ｐゴシック" w:hAnsi="ＭＳ Ｐゴシック" w:hint="eastAsia"/>
          <w:szCs w:val="21"/>
          <w:u w:color="000000"/>
          <w:lang w:val="ja-JP"/>
        </w:rPr>
        <w:t>（</w:t>
      </w:r>
      <w:r w:rsidRPr="00DB6FCF">
        <w:rPr>
          <w:rFonts w:ascii="ＭＳ Ｐゴシック" w:eastAsia="ＭＳ Ｐゴシック" w:hAnsi="ＭＳ Ｐゴシック" w:hint="eastAsia"/>
          <w:szCs w:val="21"/>
          <w:u w:color="000000"/>
          <w:lang w:val="ja-JP"/>
        </w:rPr>
        <w:t>Phe</w:t>
      </w:r>
      <w:r w:rsidR="002C0CAE">
        <w:rPr>
          <w:rFonts w:ascii="ＭＳ Ｐゴシック" w:eastAsia="ＭＳ Ｐゴシック" w:hAnsi="ＭＳ Ｐゴシック" w:hint="eastAsia"/>
          <w:szCs w:val="21"/>
          <w:u w:color="000000"/>
          <w:lang w:val="ja-JP"/>
        </w:rPr>
        <w:t>）</w:t>
      </w:r>
      <w:r w:rsidRPr="00DB6FCF">
        <w:rPr>
          <w:rFonts w:ascii="ＭＳ Ｐゴシック" w:eastAsia="ＭＳ Ｐゴシック" w:hAnsi="ＭＳ Ｐゴシック" w:hint="eastAsia"/>
          <w:szCs w:val="21"/>
          <w:u w:color="000000"/>
          <w:lang w:val="ja-JP"/>
        </w:rPr>
        <w:t>の代謝経路の障害によって引き起こされる疾患群は、先天性アミノ酸代謝異常症の一種である。Pheは必須アミノ酸のひとつで、正常な蛋白合成を営むためには体外から摂取する必要がある。この食事中のPheは蛋白合成に用いられる以外は、主にPhe水酸化酵素（PAH）によりチロシン（Tyr）に変換されTyr代謝経路で分解される。Phe水酸化反応が障害された場合、Pheが蓄積し血中Phe値が上昇し、尿中にはPheのほかその代謝産物のフェニルピルビン酸が大量に排泄されることからPKUと呼ばれている。過剰のPheとともにこれらの代謝産物は正常の代謝を阻害し、新生児・乳児期では脳構築障害による精神発達遅滞を代表とする臨床症状を引き起こすが、成人においてもさまざまな精神症状を引き起こしたり、酸化ストレスの成因となることが示唆されている。</w:t>
      </w:r>
    </w:p>
    <w:p w:rsidR="004337D3" w:rsidRPr="00DB6FCF" w:rsidRDefault="004337D3" w:rsidP="00E93F4A">
      <w:pPr>
        <w:tabs>
          <w:tab w:val="left" w:pos="993"/>
        </w:tabs>
        <w:overflowPunct w:val="0"/>
        <w:ind w:leftChars="202" w:left="706" w:hanging="282"/>
        <w:textAlignment w:val="baseline"/>
        <w:rPr>
          <w:rFonts w:ascii="ＭＳ Ｐゴシック" w:eastAsia="ＭＳ Ｐゴシック" w:hAnsi="ＭＳ Ｐゴシック" w:cs="ＭＳ ゴシック"/>
          <w:color w:val="000000"/>
          <w:kern w:val="0"/>
          <w:szCs w:val="21"/>
        </w:rPr>
      </w:pPr>
    </w:p>
    <w:p w:rsidR="003F0556" w:rsidRPr="00DB6FCF" w:rsidRDefault="00DB6FCF" w:rsidP="00E93F4A">
      <w:pPr>
        <w:tabs>
          <w:tab w:val="left" w:pos="993"/>
        </w:tabs>
        <w:overflowPunct w:val="0"/>
        <w:textAlignment w:val="baseline"/>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２．</w:t>
      </w:r>
      <w:r w:rsidR="003F0556" w:rsidRPr="00DB6FCF">
        <w:rPr>
          <w:rFonts w:ascii="ＭＳ Ｐゴシック" w:eastAsia="ＭＳ Ｐゴシック" w:hAnsi="ＭＳ Ｐゴシック" w:hint="eastAsia"/>
          <w:color w:val="000000"/>
          <w:kern w:val="0"/>
          <w:szCs w:val="21"/>
        </w:rPr>
        <w:t>原因</w:t>
      </w:r>
    </w:p>
    <w:p w:rsidR="003F0556" w:rsidRPr="00DB6FCF" w:rsidRDefault="00D461CE" w:rsidP="00010DEE">
      <w:pPr>
        <w:tabs>
          <w:tab w:val="left" w:pos="993"/>
        </w:tabs>
        <w:overflowPunct w:val="0"/>
        <w:ind w:leftChars="135" w:left="283" w:firstLineChars="100" w:firstLine="210"/>
        <w:textAlignment w:val="baseline"/>
        <w:rPr>
          <w:rFonts w:ascii="ＭＳ Ｐゴシック" w:eastAsia="ＭＳ Ｐゴシック" w:hAnsi="ＭＳ Ｐゴシック" w:cs="ＭＳ ゴシック"/>
          <w:color w:val="000000"/>
          <w:kern w:val="0"/>
          <w:szCs w:val="21"/>
        </w:rPr>
      </w:pPr>
      <w:r w:rsidRPr="00DB6FCF">
        <w:rPr>
          <w:rFonts w:ascii="ＭＳ Ｐゴシック" w:eastAsia="ＭＳ Ｐゴシック" w:hAnsi="ＭＳ Ｐゴシック" w:hint="eastAsia"/>
          <w:szCs w:val="21"/>
          <w:u w:color="000000"/>
        </w:rPr>
        <w:t>PAHは</w:t>
      </w:r>
      <w:r w:rsidRPr="00E93F4A">
        <w:rPr>
          <w:rFonts w:ascii="ＭＳ Ｐゴシック" w:eastAsia="ＭＳ Ｐゴシック" w:hAnsi="ＭＳ Ｐゴシック"/>
          <w:i/>
          <w:szCs w:val="21"/>
          <w:u w:color="000000"/>
        </w:rPr>
        <w:t>PAH</w:t>
      </w:r>
      <w:r w:rsidRPr="00DB6FCF">
        <w:rPr>
          <w:rFonts w:ascii="ＭＳ Ｐゴシック" w:eastAsia="ＭＳ Ｐゴシック" w:hAnsi="ＭＳ Ｐゴシック" w:hint="eastAsia"/>
          <w:szCs w:val="21"/>
          <w:u w:color="000000"/>
        </w:rPr>
        <w:t>遺伝子によりコードされ、</w:t>
      </w:r>
      <w:r w:rsidRPr="00E93F4A">
        <w:rPr>
          <w:rFonts w:ascii="ＭＳ Ｐゴシック" w:eastAsia="ＭＳ Ｐゴシック" w:hAnsi="ＭＳ Ｐゴシック"/>
          <w:i/>
          <w:szCs w:val="21"/>
          <w:u w:color="000000"/>
        </w:rPr>
        <w:t>PAH</w:t>
      </w:r>
      <w:r w:rsidRPr="00DB6FCF">
        <w:rPr>
          <w:rFonts w:ascii="ＭＳ Ｐゴシック" w:eastAsia="ＭＳ Ｐゴシック" w:hAnsi="ＭＳ Ｐゴシック" w:hint="eastAsia"/>
          <w:szCs w:val="21"/>
          <w:u w:color="000000"/>
        </w:rPr>
        <w:t>遺伝子の異常により酵素活性の低下を引き起こす。さらに、PAHは補酵素としてテトラハイドロビオプテリン（BH</w:t>
      </w:r>
      <w:r w:rsidRPr="00E93F4A">
        <w:rPr>
          <w:rFonts w:ascii="ＭＳ Ｐゴシック" w:eastAsia="ＭＳ Ｐゴシック" w:hAnsi="ＭＳ Ｐゴシック"/>
          <w:szCs w:val="21"/>
          <w:u w:color="000000"/>
          <w:vertAlign w:val="subscript"/>
        </w:rPr>
        <w:t>4</w:t>
      </w:r>
      <w:r w:rsidRPr="00DB6FCF">
        <w:rPr>
          <w:rFonts w:ascii="ＭＳ Ｐゴシック" w:eastAsia="ＭＳ Ｐゴシック" w:hAnsi="ＭＳ Ｐゴシック" w:hint="eastAsia"/>
          <w:szCs w:val="21"/>
          <w:u w:color="000000"/>
        </w:rPr>
        <w:t>）を利用するため、BH</w:t>
      </w:r>
      <w:r w:rsidRPr="00E93F4A">
        <w:rPr>
          <w:rFonts w:ascii="ＭＳ Ｐゴシック" w:eastAsia="ＭＳ Ｐゴシック" w:hAnsi="ＭＳ Ｐゴシック"/>
          <w:szCs w:val="21"/>
          <w:u w:color="000000"/>
          <w:vertAlign w:val="subscript"/>
        </w:rPr>
        <w:t>4</w:t>
      </w:r>
      <w:r w:rsidRPr="00DB6FCF">
        <w:rPr>
          <w:rFonts w:ascii="ＭＳ Ｐゴシック" w:eastAsia="ＭＳ Ｐゴシック" w:hAnsi="ＭＳ Ｐゴシック" w:hint="eastAsia"/>
          <w:szCs w:val="21"/>
          <w:u w:color="000000"/>
        </w:rPr>
        <w:t>の合成系あるいは再生系の代謝経路の異常によってもPAH酵素活性が低下する。BH</w:t>
      </w:r>
      <w:r w:rsidRPr="00E93F4A">
        <w:rPr>
          <w:rFonts w:ascii="ＭＳ Ｐゴシック" w:eastAsia="ＭＳ Ｐゴシック" w:hAnsi="ＭＳ Ｐゴシック"/>
          <w:szCs w:val="21"/>
          <w:u w:color="000000"/>
          <w:vertAlign w:val="subscript"/>
        </w:rPr>
        <w:t>4</w:t>
      </w:r>
      <w:r w:rsidRPr="00DB6FCF">
        <w:rPr>
          <w:rFonts w:ascii="ＭＳ Ｐゴシック" w:eastAsia="ＭＳ Ｐゴシック" w:hAnsi="ＭＳ Ｐゴシック" w:hint="eastAsia"/>
          <w:szCs w:val="21"/>
          <w:u w:color="000000"/>
        </w:rPr>
        <w:t>はPAHの補酵素として利用される以外に、脳内のチロシン水酸化酵素にも利用されるため、BH</w:t>
      </w:r>
      <w:r w:rsidRPr="00E93F4A">
        <w:rPr>
          <w:rFonts w:ascii="ＭＳ Ｐゴシック" w:eastAsia="ＭＳ Ｐゴシック" w:hAnsi="ＭＳ Ｐゴシック"/>
          <w:szCs w:val="21"/>
          <w:u w:color="000000"/>
          <w:vertAlign w:val="subscript"/>
        </w:rPr>
        <w:t>4</w:t>
      </w:r>
      <w:r w:rsidRPr="00DB6FCF">
        <w:rPr>
          <w:rFonts w:ascii="ＭＳ Ｐゴシック" w:eastAsia="ＭＳ Ｐゴシック" w:hAnsi="ＭＳ Ｐゴシック" w:hint="eastAsia"/>
          <w:szCs w:val="21"/>
          <w:u w:color="000000"/>
        </w:rPr>
        <w:t>の低下は、ドーパの産生低下を生じ、ドーパミン、ノル</w:t>
      </w:r>
      <w:r w:rsidR="00724FB7">
        <w:rPr>
          <w:rFonts w:ascii="ＭＳ Ｐゴシック" w:eastAsia="ＭＳ Ｐゴシック" w:hAnsi="ＭＳ Ｐゴシック" w:hint="eastAsia"/>
          <w:szCs w:val="21"/>
          <w:u w:color="000000"/>
        </w:rPr>
        <w:t>アドレナリン</w:t>
      </w:r>
      <w:r w:rsidRPr="00DB6FCF">
        <w:rPr>
          <w:rFonts w:ascii="ＭＳ Ｐゴシック" w:eastAsia="ＭＳ Ｐゴシック" w:hAnsi="ＭＳ Ｐゴシック" w:hint="eastAsia"/>
          <w:szCs w:val="21"/>
          <w:u w:color="000000"/>
        </w:rPr>
        <w:t>、</w:t>
      </w:r>
      <w:r w:rsidR="00724FB7">
        <w:rPr>
          <w:rFonts w:ascii="ＭＳ Ｐゴシック" w:eastAsia="ＭＳ Ｐゴシック" w:hAnsi="ＭＳ Ｐゴシック" w:hint="eastAsia"/>
          <w:szCs w:val="21"/>
          <w:u w:color="000000"/>
        </w:rPr>
        <w:t>アドレナリン</w:t>
      </w:r>
      <w:r w:rsidRPr="00DB6FCF">
        <w:rPr>
          <w:rFonts w:ascii="ＭＳ Ｐゴシック" w:eastAsia="ＭＳ Ｐゴシック" w:hAnsi="ＭＳ Ｐゴシック" w:hint="eastAsia"/>
          <w:szCs w:val="21"/>
          <w:u w:color="000000"/>
        </w:rPr>
        <w:t>の低下を引き起こす。またトリプトファン水酸化酵素の異常によるセロトニンの低下が起こるため、高Phe血症による中枢神経障害だけでなく、神経伝達物質の低下による重篤な中枢神経症状が出現する。わが国で新生児マススクリーニングが開始されてから2011年度までの約</w:t>
      </w:r>
      <w:r w:rsidR="00DE0B47">
        <w:rPr>
          <w:rFonts w:ascii="ＭＳ Ｐゴシック" w:eastAsia="ＭＳ Ｐゴシック" w:hAnsi="ＭＳ Ｐゴシック" w:hint="eastAsia"/>
          <w:szCs w:val="21"/>
          <w:u w:color="000000"/>
        </w:rPr>
        <w:t>30</w:t>
      </w:r>
      <w:r w:rsidR="00DE0B47" w:rsidRPr="00DB6FCF">
        <w:rPr>
          <w:rFonts w:ascii="ＭＳ Ｐゴシック" w:eastAsia="ＭＳ Ｐゴシック" w:hAnsi="ＭＳ Ｐゴシック" w:hint="eastAsia"/>
          <w:szCs w:val="21"/>
          <w:u w:color="000000"/>
        </w:rPr>
        <w:t>年間</w:t>
      </w:r>
      <w:r w:rsidRPr="00DB6FCF">
        <w:rPr>
          <w:rFonts w:ascii="ＭＳ Ｐゴシック" w:eastAsia="ＭＳ Ｐゴシック" w:hAnsi="ＭＳ Ｐゴシック" w:hint="eastAsia"/>
          <w:szCs w:val="21"/>
          <w:u w:color="000000"/>
        </w:rPr>
        <w:t>に累積で約500人以上の高Phe血症（PKU、BH</w:t>
      </w:r>
      <w:r w:rsidRPr="00E93F4A">
        <w:rPr>
          <w:rFonts w:ascii="ＭＳ Ｐゴシック" w:eastAsia="ＭＳ Ｐゴシック" w:hAnsi="ＭＳ Ｐゴシック"/>
          <w:szCs w:val="21"/>
          <w:u w:color="000000"/>
          <w:vertAlign w:val="subscript"/>
        </w:rPr>
        <w:t>4</w:t>
      </w:r>
      <w:r w:rsidRPr="00DB6FCF">
        <w:rPr>
          <w:rFonts w:ascii="ＭＳ Ｐゴシック" w:eastAsia="ＭＳ Ｐゴシック" w:hAnsi="ＭＳ Ｐゴシック" w:hint="eastAsia"/>
          <w:szCs w:val="21"/>
          <w:u w:color="000000"/>
        </w:rPr>
        <w:t>反応性高Phe血症、BH</w:t>
      </w:r>
      <w:r w:rsidRPr="00E93F4A">
        <w:rPr>
          <w:rFonts w:ascii="ＭＳ Ｐゴシック" w:eastAsia="ＭＳ Ｐゴシック" w:hAnsi="ＭＳ Ｐゴシック"/>
          <w:szCs w:val="21"/>
          <w:u w:color="000000"/>
          <w:vertAlign w:val="subscript"/>
        </w:rPr>
        <w:t>4</w:t>
      </w:r>
      <w:r w:rsidRPr="00DB6FCF">
        <w:rPr>
          <w:rFonts w:ascii="ＭＳ Ｐゴシック" w:eastAsia="ＭＳ Ｐゴシック" w:hAnsi="ＭＳ Ｐゴシック" w:hint="eastAsia"/>
          <w:szCs w:val="21"/>
          <w:u w:color="000000"/>
        </w:rPr>
        <w:t>欠損症を含む）が発見さた。発生頻度は約</w:t>
      </w:r>
      <w:r w:rsidR="002B1564">
        <w:rPr>
          <w:rFonts w:ascii="ＭＳ Ｐゴシック" w:eastAsia="ＭＳ Ｐゴシック" w:hAnsi="ＭＳ Ｐゴシック" w:hint="eastAsia"/>
          <w:szCs w:val="21"/>
          <w:u w:color="000000"/>
        </w:rPr>
        <w:t>７</w:t>
      </w:r>
      <w:r w:rsidRPr="00DB6FCF">
        <w:rPr>
          <w:rFonts w:ascii="ＭＳ Ｐゴシック" w:eastAsia="ＭＳ Ｐゴシック" w:hAnsi="ＭＳ Ｐゴシック" w:hint="eastAsia"/>
          <w:szCs w:val="21"/>
          <w:u w:color="000000"/>
        </w:rPr>
        <w:t>万人に</w:t>
      </w:r>
      <w:r w:rsidR="002B1564">
        <w:rPr>
          <w:rFonts w:ascii="ＭＳ Ｐゴシック" w:eastAsia="ＭＳ Ｐゴシック" w:hAnsi="ＭＳ Ｐゴシック" w:hint="eastAsia"/>
          <w:szCs w:val="21"/>
          <w:u w:color="000000"/>
        </w:rPr>
        <w:t>１</w:t>
      </w:r>
      <w:r w:rsidRPr="00DB6FCF">
        <w:rPr>
          <w:rFonts w:ascii="ＭＳ Ｐゴシック" w:eastAsia="ＭＳ Ｐゴシック" w:hAnsi="ＭＳ Ｐゴシック" w:hint="eastAsia"/>
          <w:szCs w:val="21"/>
          <w:u w:color="000000"/>
        </w:rPr>
        <w:t>例で全国で年間20人前後発見される。</w:t>
      </w:r>
    </w:p>
    <w:p w:rsidR="003F0556" w:rsidRPr="002B1564" w:rsidRDefault="003F0556" w:rsidP="00010DEE">
      <w:pPr>
        <w:tabs>
          <w:tab w:val="left" w:pos="993"/>
        </w:tabs>
        <w:overflowPunct w:val="0"/>
        <w:ind w:leftChars="202" w:left="706" w:hanging="282"/>
        <w:textAlignment w:val="baseline"/>
        <w:rPr>
          <w:rFonts w:ascii="ＭＳ Ｐゴシック" w:eastAsia="ＭＳ Ｐゴシック" w:hAnsi="ＭＳ Ｐゴシック" w:cs="ＭＳ ゴシック"/>
          <w:color w:val="000000"/>
          <w:kern w:val="0"/>
          <w:szCs w:val="21"/>
        </w:rPr>
      </w:pPr>
    </w:p>
    <w:p w:rsidR="003F0556" w:rsidRPr="00DB6FCF" w:rsidRDefault="00DB6FCF">
      <w:pPr>
        <w:tabs>
          <w:tab w:val="left" w:pos="993"/>
        </w:tabs>
        <w:overflowPunct w:val="0"/>
        <w:textAlignment w:val="baseline"/>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３．</w:t>
      </w:r>
      <w:r w:rsidR="003F0556" w:rsidRPr="00DB6FCF">
        <w:rPr>
          <w:rFonts w:ascii="ＭＳ Ｐゴシック" w:eastAsia="ＭＳ Ｐゴシック" w:hAnsi="ＭＳ Ｐゴシック" w:cs="ＭＳ ゴシック" w:hint="eastAsia"/>
          <w:color w:val="000000"/>
          <w:kern w:val="0"/>
          <w:szCs w:val="21"/>
        </w:rPr>
        <w:t>症状</w:t>
      </w:r>
    </w:p>
    <w:p w:rsidR="004337D3" w:rsidRPr="00DB6FCF" w:rsidRDefault="00D461CE">
      <w:pPr>
        <w:pStyle w:val="1"/>
        <w:tabs>
          <w:tab w:val="left" w:pos="993"/>
        </w:tabs>
        <w:ind w:leftChars="135" w:left="283" w:firstLineChars="100" w:firstLine="210"/>
        <w:rPr>
          <w:rFonts w:ascii="ＭＳ Ｐゴシック" w:eastAsia="ＭＳ Ｐゴシック" w:hAnsi="ＭＳ Ｐゴシック"/>
          <w:sz w:val="21"/>
          <w:szCs w:val="21"/>
          <w:u w:color="000000"/>
          <w:lang w:val="ja-JP"/>
        </w:rPr>
      </w:pPr>
      <w:r w:rsidRPr="00DB6FCF">
        <w:rPr>
          <w:rFonts w:ascii="ＭＳ Ｐゴシック" w:eastAsia="ＭＳ Ｐゴシック" w:hAnsi="ＭＳ Ｐゴシック" w:hint="eastAsia"/>
          <w:sz w:val="21"/>
          <w:szCs w:val="21"/>
          <w:u w:color="000000"/>
          <w:lang w:val="ja-JP"/>
        </w:rPr>
        <w:t>通常生後数</w:t>
      </w:r>
      <w:r w:rsidR="00B66506">
        <w:rPr>
          <w:rFonts w:ascii="ＭＳ Ｐゴシック" w:eastAsia="ＭＳ Ｐゴシック" w:hAnsi="ＭＳ Ｐゴシック" w:hint="eastAsia"/>
          <w:sz w:val="21"/>
          <w:szCs w:val="21"/>
          <w:u w:color="000000"/>
          <w:lang w:val="ja-JP"/>
        </w:rPr>
        <w:t>か</w:t>
      </w:r>
      <w:r w:rsidRPr="00DB6FCF">
        <w:rPr>
          <w:rFonts w:ascii="ＭＳ Ｐゴシック" w:eastAsia="ＭＳ Ｐゴシック" w:hAnsi="ＭＳ Ｐゴシック" w:hint="eastAsia"/>
          <w:sz w:val="21"/>
          <w:szCs w:val="21"/>
          <w:u w:color="000000"/>
          <w:lang w:val="ja-JP"/>
        </w:rPr>
        <w:t>月から</w:t>
      </w:r>
      <w:r w:rsidR="002B1564">
        <w:rPr>
          <w:rFonts w:ascii="ＭＳ Ｐゴシック" w:eastAsia="ＭＳ Ｐゴシック" w:hAnsi="ＭＳ Ｐゴシック" w:hint="eastAsia"/>
          <w:sz w:val="21"/>
          <w:szCs w:val="21"/>
          <w:u w:color="000000"/>
          <w:lang w:val="ja-JP"/>
        </w:rPr>
        <w:t>２</w:t>
      </w:r>
      <w:r w:rsidRPr="00DB6FCF">
        <w:rPr>
          <w:rFonts w:ascii="ＭＳ Ｐゴシック" w:eastAsia="ＭＳ Ｐゴシック" w:hAnsi="ＭＳ Ｐゴシック" w:hint="eastAsia"/>
          <w:sz w:val="21"/>
          <w:szCs w:val="21"/>
          <w:u w:color="000000"/>
          <w:lang w:val="ja-JP"/>
        </w:rPr>
        <w:t>歳頃までに脳の発達障害を</w:t>
      </w:r>
      <w:r w:rsidR="00153894">
        <w:rPr>
          <w:rFonts w:ascii="ＭＳ Ｐゴシック" w:eastAsia="ＭＳ Ｐゴシック" w:hAnsi="ＭＳ Ｐゴシック" w:hint="eastAsia"/>
          <w:sz w:val="21"/>
          <w:szCs w:val="21"/>
          <w:u w:color="000000"/>
          <w:lang w:val="ja-JP"/>
        </w:rPr>
        <w:t>来す</w:t>
      </w:r>
      <w:r w:rsidR="002B1564">
        <w:rPr>
          <w:rFonts w:ascii="ＭＳ Ｐゴシック" w:eastAsia="ＭＳ Ｐゴシック" w:hAnsi="ＭＳ Ｐゴシック" w:hint="eastAsia"/>
          <w:sz w:val="21"/>
          <w:szCs w:val="21"/>
          <w:u w:color="000000"/>
          <w:lang w:val="ja-JP"/>
        </w:rPr>
        <w:t>。</w:t>
      </w:r>
      <w:r w:rsidRPr="00DB6FCF">
        <w:rPr>
          <w:rFonts w:ascii="ＭＳ Ｐゴシック" w:eastAsia="ＭＳ Ｐゴシック" w:hAnsi="ＭＳ Ｐゴシック" w:hint="eastAsia"/>
          <w:sz w:val="21"/>
          <w:szCs w:val="21"/>
          <w:u w:color="000000"/>
          <w:lang w:val="ja-JP"/>
        </w:rPr>
        <w:t>小頭症</w:t>
      </w:r>
      <w:r w:rsidR="002B1564">
        <w:rPr>
          <w:rFonts w:ascii="ＭＳ Ｐゴシック" w:eastAsia="ＭＳ Ｐゴシック" w:hAnsi="ＭＳ Ｐゴシック" w:hint="eastAsia"/>
          <w:sz w:val="21"/>
          <w:szCs w:val="21"/>
          <w:u w:color="000000"/>
          <w:lang w:val="ja-JP"/>
        </w:rPr>
        <w:t>、</w:t>
      </w:r>
      <w:r w:rsidRPr="00DB6FCF">
        <w:rPr>
          <w:rFonts w:ascii="ＭＳ Ｐゴシック" w:eastAsia="ＭＳ Ｐゴシック" w:hAnsi="ＭＳ Ｐゴシック" w:hint="eastAsia"/>
          <w:sz w:val="21"/>
          <w:szCs w:val="21"/>
          <w:u w:color="000000"/>
          <w:lang w:val="ja-JP"/>
        </w:rPr>
        <w:t>てんかん</w:t>
      </w:r>
      <w:r w:rsidR="002B1564">
        <w:rPr>
          <w:rFonts w:ascii="ＭＳ Ｐゴシック" w:eastAsia="ＭＳ Ｐゴシック" w:hAnsi="ＭＳ Ｐゴシック" w:hint="eastAsia"/>
          <w:sz w:val="21"/>
          <w:szCs w:val="21"/>
          <w:u w:color="000000"/>
          <w:lang w:val="ja-JP"/>
        </w:rPr>
        <w:t>、</w:t>
      </w:r>
      <w:r w:rsidRPr="00DB6FCF">
        <w:rPr>
          <w:rFonts w:ascii="ＭＳ Ｐゴシック" w:eastAsia="ＭＳ Ｐゴシック" w:hAnsi="ＭＳ Ｐゴシック" w:hint="eastAsia"/>
          <w:sz w:val="21"/>
          <w:szCs w:val="21"/>
          <w:u w:color="000000"/>
          <w:lang w:val="ja-JP"/>
        </w:rPr>
        <w:t>重度の精神発達遅滞</w:t>
      </w:r>
      <w:r w:rsidR="002B1564">
        <w:rPr>
          <w:rFonts w:ascii="ＭＳ Ｐゴシック" w:eastAsia="ＭＳ Ｐゴシック" w:hAnsi="ＭＳ Ｐゴシック" w:hint="eastAsia"/>
          <w:sz w:val="21"/>
          <w:szCs w:val="21"/>
          <w:u w:color="000000"/>
          <w:lang w:val="ja-JP"/>
        </w:rPr>
        <w:t>、</w:t>
      </w:r>
      <w:r w:rsidRPr="00DB6FCF">
        <w:rPr>
          <w:rFonts w:ascii="ＭＳ Ｐゴシック" w:eastAsia="ＭＳ Ｐゴシック" w:hAnsi="ＭＳ Ｐゴシック" w:hint="eastAsia"/>
          <w:sz w:val="21"/>
          <w:szCs w:val="21"/>
          <w:u w:color="000000"/>
          <w:lang w:val="ja-JP"/>
        </w:rPr>
        <w:t>行動上の問題などの徴候と症状を示す</w:t>
      </w:r>
      <w:r w:rsidR="002B1564">
        <w:rPr>
          <w:rFonts w:ascii="ＭＳ Ｐゴシック" w:eastAsia="ＭＳ Ｐゴシック" w:hAnsi="ＭＳ Ｐゴシック" w:hint="eastAsia"/>
          <w:sz w:val="21"/>
          <w:szCs w:val="21"/>
          <w:u w:color="000000"/>
          <w:lang w:val="ja-JP"/>
        </w:rPr>
        <w:t>。</w:t>
      </w:r>
      <w:r w:rsidRPr="00DB6FCF">
        <w:rPr>
          <w:rFonts w:ascii="ＭＳ Ｐゴシック" w:eastAsia="ＭＳ Ｐゴシック" w:hAnsi="ＭＳ Ｐゴシック" w:hint="eastAsia"/>
          <w:sz w:val="21"/>
          <w:szCs w:val="21"/>
          <w:u w:color="000000"/>
          <w:lang w:val="ja-JP"/>
        </w:rPr>
        <w:t>特有の尿臭（ネズミ尿臭、カビ臭）、赤毛、色白、湿疹がみられることがある。画像所見として脳萎縮、MRIにて白質病変を認めることがある。</w:t>
      </w:r>
    </w:p>
    <w:p w:rsidR="003F0556" w:rsidRPr="00DB6FCF" w:rsidRDefault="003F0556" w:rsidP="00E93F4A">
      <w:pPr>
        <w:tabs>
          <w:tab w:val="left" w:pos="993"/>
        </w:tabs>
        <w:overflowPunct w:val="0"/>
        <w:ind w:leftChars="202" w:left="706" w:hanging="282"/>
        <w:textAlignment w:val="baseline"/>
        <w:rPr>
          <w:rFonts w:ascii="ＭＳ Ｐゴシック" w:eastAsia="ＭＳ Ｐゴシック" w:hAnsi="ＭＳ Ｐゴシック"/>
          <w:color w:val="000000"/>
          <w:kern w:val="0"/>
          <w:szCs w:val="21"/>
        </w:rPr>
      </w:pPr>
    </w:p>
    <w:p w:rsidR="003F0556" w:rsidRPr="00DB6FCF" w:rsidRDefault="00DB6FCF" w:rsidP="00E93F4A">
      <w:pPr>
        <w:tabs>
          <w:tab w:val="left" w:pos="993"/>
        </w:tabs>
        <w:overflowPunct w:val="0"/>
        <w:textAlignment w:val="baseline"/>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４．</w:t>
      </w:r>
      <w:r w:rsidR="003F0556" w:rsidRPr="00DB6FCF">
        <w:rPr>
          <w:rFonts w:ascii="ＭＳ Ｐゴシック" w:eastAsia="ＭＳ Ｐゴシック" w:hAnsi="ＭＳ Ｐゴシック" w:hint="eastAsia"/>
          <w:color w:val="000000"/>
          <w:kern w:val="0"/>
          <w:szCs w:val="21"/>
        </w:rPr>
        <w:t>治療法</w:t>
      </w:r>
    </w:p>
    <w:p w:rsidR="003F0556" w:rsidRPr="00DB6FCF" w:rsidRDefault="00D461CE" w:rsidP="00E93F4A">
      <w:pPr>
        <w:tabs>
          <w:tab w:val="left" w:pos="993"/>
        </w:tabs>
        <w:overflowPunct w:val="0"/>
        <w:ind w:leftChars="135" w:left="283" w:firstLineChars="100" w:firstLine="210"/>
        <w:textAlignment w:val="baseline"/>
        <w:rPr>
          <w:rFonts w:ascii="ＭＳ Ｐゴシック" w:eastAsia="ＭＳ Ｐゴシック" w:hAnsi="ＭＳ Ｐゴシック" w:cs="ＭＳ ゴシック"/>
          <w:color w:val="000000"/>
          <w:kern w:val="0"/>
          <w:szCs w:val="21"/>
        </w:rPr>
      </w:pPr>
      <w:r w:rsidRPr="00DB6FCF">
        <w:rPr>
          <w:rFonts w:ascii="ＭＳ Ｐゴシック" w:eastAsia="ＭＳ Ｐゴシック" w:hAnsi="ＭＳ Ｐゴシック" w:cs="ＭＳ ゴシック" w:hint="eastAsia"/>
          <w:color w:val="000000"/>
          <w:kern w:val="0"/>
          <w:szCs w:val="21"/>
        </w:rPr>
        <w:t>新生児では早期にPhe投与量を適切に制限して、数日のうちに血中Phe値が10mg</w:t>
      </w:r>
      <w:r w:rsidRPr="00E93F4A">
        <w:rPr>
          <w:rFonts w:ascii="ＭＳ Ｐゴシック" w:eastAsia="ＭＳ Ｐゴシック" w:hAnsi="ＭＳ Ｐゴシック" w:cs="ＭＳ ゴシック"/>
          <w:kern w:val="0"/>
          <w:szCs w:val="21"/>
        </w:rPr>
        <w:t>/d</w:t>
      </w:r>
      <w:r w:rsidR="009508E8" w:rsidRPr="00E93F4A">
        <w:rPr>
          <w:rFonts w:ascii="ＭＳ Ｐゴシック" w:eastAsia="ＭＳ Ｐゴシック" w:hAnsi="ＭＳ Ｐゴシック" w:cs="ＭＳ ゴシック"/>
          <w:kern w:val="0"/>
          <w:szCs w:val="21"/>
        </w:rPr>
        <w:t>L</w:t>
      </w:r>
      <w:r w:rsidRPr="00E93F4A">
        <w:rPr>
          <w:rFonts w:ascii="ＭＳ Ｐゴシック" w:eastAsia="ＭＳ Ｐゴシック" w:hAnsi="ＭＳ Ｐゴシック" w:cs="ＭＳ ゴシック" w:hint="eastAsia"/>
          <w:kern w:val="0"/>
          <w:szCs w:val="21"/>
        </w:rPr>
        <w:t>以下にな</w:t>
      </w:r>
      <w:r w:rsidRPr="00DB6FCF">
        <w:rPr>
          <w:rFonts w:ascii="ＭＳ Ｐゴシック" w:eastAsia="ＭＳ Ｐゴシック" w:hAnsi="ＭＳ Ｐゴシック" w:cs="ＭＳ ゴシック" w:hint="eastAsia"/>
          <w:color w:val="000000"/>
          <w:kern w:val="0"/>
          <w:szCs w:val="21"/>
        </w:rPr>
        <w:t>るよう治療する。そして血</w:t>
      </w:r>
      <w:r w:rsidRPr="00E93F4A">
        <w:rPr>
          <w:rFonts w:ascii="ＭＳ Ｐゴシック" w:eastAsia="ＭＳ Ｐゴシック" w:hAnsi="ＭＳ Ｐゴシック" w:cs="ＭＳ ゴシック" w:hint="eastAsia"/>
          <w:kern w:val="0"/>
          <w:szCs w:val="21"/>
        </w:rPr>
        <w:t>中</w:t>
      </w:r>
      <w:r w:rsidRPr="00E93F4A">
        <w:rPr>
          <w:rFonts w:ascii="ＭＳ Ｐゴシック" w:eastAsia="ＭＳ Ｐゴシック" w:hAnsi="ＭＳ Ｐゴシック" w:cs="ＭＳ ゴシック"/>
          <w:kern w:val="0"/>
          <w:szCs w:val="21"/>
        </w:rPr>
        <w:t>Phe</w:t>
      </w:r>
      <w:r w:rsidRPr="00E93F4A">
        <w:rPr>
          <w:rFonts w:ascii="ＭＳ Ｐゴシック" w:eastAsia="ＭＳ Ｐゴシック" w:hAnsi="ＭＳ Ｐゴシック" w:cs="ＭＳ ゴシック" w:hint="eastAsia"/>
          <w:kern w:val="0"/>
          <w:szCs w:val="21"/>
        </w:rPr>
        <w:t>値が</w:t>
      </w:r>
      <w:r w:rsidR="009508E8" w:rsidRPr="00E93F4A">
        <w:rPr>
          <w:rFonts w:ascii="ＭＳ Ｐゴシック" w:eastAsia="ＭＳ Ｐゴシック" w:hAnsi="ＭＳ Ｐゴシック" w:cs="ＭＳ ゴシック" w:hint="eastAsia"/>
          <w:kern w:val="0"/>
          <w:szCs w:val="21"/>
        </w:rPr>
        <w:t>２</w:t>
      </w:r>
      <w:r w:rsidRPr="00E93F4A">
        <w:rPr>
          <w:rFonts w:ascii="ＭＳ Ｐゴシック" w:eastAsia="ＭＳ Ｐゴシック" w:hAnsi="ＭＳ Ｐゴシック" w:cs="ＭＳ ゴシック" w:hint="eastAsia"/>
          <w:kern w:val="0"/>
          <w:szCs w:val="21"/>
        </w:rPr>
        <w:t>～</w:t>
      </w:r>
      <w:r w:rsidR="009508E8" w:rsidRPr="00E93F4A">
        <w:rPr>
          <w:rFonts w:ascii="ＭＳ Ｐゴシック" w:eastAsia="ＭＳ Ｐゴシック" w:hAnsi="ＭＳ Ｐゴシック" w:cs="ＭＳ ゴシック" w:hint="eastAsia"/>
          <w:kern w:val="0"/>
          <w:szCs w:val="21"/>
        </w:rPr>
        <w:t>４</w:t>
      </w:r>
      <w:r w:rsidRPr="00E93F4A">
        <w:rPr>
          <w:rFonts w:ascii="ＭＳ Ｐゴシック" w:eastAsia="ＭＳ Ｐゴシック" w:hAnsi="ＭＳ Ｐゴシック" w:cs="ＭＳ ゴシック"/>
          <w:kern w:val="0"/>
          <w:szCs w:val="21"/>
        </w:rPr>
        <w:t>mg/d</w:t>
      </w:r>
      <w:r w:rsidR="009508E8" w:rsidRPr="00E93F4A">
        <w:rPr>
          <w:rFonts w:ascii="ＭＳ Ｐゴシック" w:eastAsia="ＭＳ Ｐゴシック" w:hAnsi="ＭＳ Ｐゴシック" w:cs="ＭＳ ゴシック"/>
          <w:kern w:val="0"/>
          <w:szCs w:val="21"/>
        </w:rPr>
        <w:t>L</w:t>
      </w:r>
      <w:r w:rsidRPr="00E93F4A">
        <w:rPr>
          <w:rFonts w:ascii="ＭＳ Ｐゴシック" w:eastAsia="ＭＳ Ｐゴシック" w:hAnsi="ＭＳ Ｐゴシック" w:cs="ＭＳ ゴシック" w:hint="eastAsia"/>
          <w:kern w:val="0"/>
          <w:szCs w:val="21"/>
        </w:rPr>
        <w:t>まで低下するように</w:t>
      </w:r>
      <w:r w:rsidRPr="00E93F4A">
        <w:rPr>
          <w:rFonts w:ascii="ＭＳ Ｐゴシック" w:eastAsia="ＭＳ Ｐゴシック" w:hAnsi="ＭＳ Ｐゴシック" w:cs="ＭＳ ゴシック"/>
          <w:kern w:val="0"/>
          <w:szCs w:val="21"/>
        </w:rPr>
        <w:t>Phe</w:t>
      </w:r>
      <w:r w:rsidRPr="00E93F4A">
        <w:rPr>
          <w:rFonts w:ascii="ＭＳ Ｐゴシック" w:eastAsia="ＭＳ Ｐゴシック" w:hAnsi="ＭＳ Ｐゴシック" w:cs="ＭＳ ゴシック" w:hint="eastAsia"/>
          <w:kern w:val="0"/>
          <w:szCs w:val="21"/>
        </w:rPr>
        <w:t>の摂取量を調節する。</w:t>
      </w:r>
      <w:r w:rsidRPr="00E93F4A">
        <w:rPr>
          <w:rFonts w:ascii="ＭＳ Ｐゴシック" w:eastAsia="ＭＳ Ｐゴシック" w:hAnsi="ＭＳ Ｐゴシック" w:cs="ＭＳ ゴシック"/>
          <w:kern w:val="0"/>
          <w:szCs w:val="21"/>
        </w:rPr>
        <w:t>Phe</w:t>
      </w:r>
      <w:r w:rsidRPr="00E93F4A">
        <w:rPr>
          <w:rFonts w:ascii="ＭＳ Ｐゴシック" w:eastAsia="ＭＳ Ｐゴシック" w:hAnsi="ＭＳ Ｐゴシック" w:cs="ＭＳ ゴシック" w:hint="eastAsia"/>
          <w:kern w:val="0"/>
          <w:szCs w:val="21"/>
        </w:rPr>
        <w:t>忍容能は症例により異なるので血中</w:t>
      </w:r>
      <w:r w:rsidRPr="00E93F4A">
        <w:rPr>
          <w:rFonts w:ascii="ＭＳ Ｐゴシック" w:eastAsia="ＭＳ Ｐゴシック" w:hAnsi="ＭＳ Ｐゴシック" w:cs="ＭＳ ゴシック"/>
          <w:kern w:val="0"/>
          <w:szCs w:val="21"/>
        </w:rPr>
        <w:t>Phe</w:t>
      </w:r>
      <w:r w:rsidRPr="00E93F4A">
        <w:rPr>
          <w:rFonts w:ascii="ＭＳ Ｐゴシック" w:eastAsia="ＭＳ Ｐゴシック" w:hAnsi="ＭＳ Ｐゴシック" w:cs="ＭＳ ゴシック" w:hint="eastAsia"/>
          <w:kern w:val="0"/>
          <w:szCs w:val="21"/>
        </w:rPr>
        <w:t>値を連日測定しながら</w:t>
      </w:r>
      <w:r w:rsidRPr="00E93F4A">
        <w:rPr>
          <w:rFonts w:ascii="ＭＳ Ｐゴシック" w:eastAsia="ＭＳ Ｐゴシック" w:hAnsi="ＭＳ Ｐゴシック" w:cs="ＭＳ ゴシック"/>
          <w:kern w:val="0"/>
          <w:szCs w:val="21"/>
        </w:rPr>
        <w:t>Ph</w:t>
      </w:r>
      <w:r w:rsidRPr="00DB6FCF">
        <w:rPr>
          <w:rFonts w:ascii="ＭＳ Ｐゴシック" w:eastAsia="ＭＳ Ｐゴシック" w:hAnsi="ＭＳ Ｐゴシック" w:cs="ＭＳ ゴシック" w:hint="eastAsia"/>
          <w:color w:val="000000"/>
          <w:kern w:val="0"/>
          <w:szCs w:val="21"/>
        </w:rPr>
        <w:t>eの摂取量を決定する</w:t>
      </w:r>
      <w:r w:rsidR="002C0CAE">
        <w:rPr>
          <w:rFonts w:ascii="ＭＳ Ｐゴシック" w:eastAsia="ＭＳ Ｐゴシック" w:hAnsi="ＭＳ Ｐゴシック" w:cs="ＭＳ ゴシック" w:hint="eastAsia"/>
          <w:color w:val="000000"/>
          <w:kern w:val="0"/>
          <w:szCs w:val="21"/>
        </w:rPr>
        <w:t>（</w:t>
      </w:r>
      <w:r w:rsidRPr="00DB6FCF">
        <w:rPr>
          <w:rFonts w:ascii="ＭＳ Ｐゴシック" w:eastAsia="ＭＳ Ｐゴシック" w:hAnsi="ＭＳ Ｐゴシック" w:cs="ＭＳ ゴシック" w:hint="eastAsia"/>
          <w:color w:val="000000"/>
          <w:kern w:val="0"/>
          <w:szCs w:val="21"/>
        </w:rPr>
        <w:t>具体的には下記のPAH欠損症の治療指針を参照</w:t>
      </w:r>
      <w:r w:rsidR="002C0CAE">
        <w:rPr>
          <w:rFonts w:ascii="ＭＳ Ｐゴシック" w:eastAsia="ＭＳ Ｐゴシック" w:hAnsi="ＭＳ Ｐゴシック" w:cs="ＭＳ ゴシック" w:hint="eastAsia"/>
          <w:color w:val="000000"/>
          <w:kern w:val="0"/>
          <w:szCs w:val="21"/>
        </w:rPr>
        <w:t>）</w:t>
      </w:r>
      <w:r w:rsidRPr="00DB6FCF">
        <w:rPr>
          <w:rFonts w:ascii="ＭＳ Ｐゴシック" w:eastAsia="ＭＳ Ｐゴシック" w:hAnsi="ＭＳ Ｐゴシック" w:cs="ＭＳ ゴシック" w:hint="eastAsia"/>
          <w:color w:val="000000"/>
          <w:kern w:val="0"/>
          <w:szCs w:val="21"/>
        </w:rPr>
        <w:t>。このような初期治療は原則として入院して行う。PAH欠損症であることが確定できれば、以下PAH欠損症の治療指針に従って治療をすすめる。BH</w:t>
      </w:r>
      <w:r w:rsidRPr="00E93F4A">
        <w:rPr>
          <w:rFonts w:ascii="ＭＳ Ｐゴシック" w:eastAsia="ＭＳ Ｐゴシック" w:hAnsi="ＭＳ Ｐゴシック" w:cs="ＭＳ ゴシック"/>
          <w:color w:val="000000"/>
          <w:kern w:val="0"/>
          <w:szCs w:val="21"/>
          <w:vertAlign w:val="subscript"/>
        </w:rPr>
        <w:t>4</w:t>
      </w:r>
      <w:r w:rsidRPr="00DB6FCF">
        <w:rPr>
          <w:rFonts w:ascii="ＭＳ Ｐゴシック" w:eastAsia="ＭＳ Ｐゴシック" w:hAnsi="ＭＳ Ｐゴシック" w:cs="ＭＳ ゴシック" w:hint="eastAsia"/>
          <w:color w:val="000000"/>
          <w:kern w:val="0"/>
          <w:szCs w:val="21"/>
        </w:rPr>
        <w:t>欠損症と診断された場合には、神経伝達物質の補充療法が必要となるので注意を要する。</w:t>
      </w:r>
    </w:p>
    <w:p w:rsidR="00010DEE" w:rsidRDefault="00010DEE" w:rsidP="00E93F4A">
      <w:pPr>
        <w:tabs>
          <w:tab w:val="left" w:pos="993"/>
        </w:tabs>
        <w:rPr>
          <w:rFonts w:ascii="ＭＳ Ｐゴシック" w:eastAsia="ＭＳ Ｐゴシック" w:hAnsi="ＭＳ Ｐゴシック" w:cs="ＭＳ ゴシック"/>
          <w:color w:val="000000"/>
          <w:kern w:val="0"/>
          <w:szCs w:val="21"/>
        </w:rPr>
      </w:pPr>
    </w:p>
    <w:p w:rsidR="00010DEE" w:rsidRDefault="00010DEE" w:rsidP="00E93F4A">
      <w:pPr>
        <w:tabs>
          <w:tab w:val="left" w:pos="993"/>
        </w:tabs>
        <w:rPr>
          <w:rFonts w:ascii="ＭＳ Ｐゴシック" w:eastAsia="ＭＳ Ｐゴシック" w:hAnsi="ＭＳ Ｐゴシック" w:cs="ＭＳ ゴシック"/>
          <w:color w:val="000000"/>
          <w:kern w:val="0"/>
          <w:szCs w:val="21"/>
        </w:rPr>
      </w:pPr>
    </w:p>
    <w:p w:rsidR="003F0556" w:rsidRPr="00DB6FCF" w:rsidRDefault="00DB6FCF" w:rsidP="00E93F4A">
      <w:pPr>
        <w:tabs>
          <w:tab w:val="left" w:pos="993"/>
        </w:tabs>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５．</w:t>
      </w:r>
      <w:r w:rsidR="003F0556" w:rsidRPr="00DB6FCF">
        <w:rPr>
          <w:rFonts w:ascii="ＭＳ Ｐゴシック" w:eastAsia="ＭＳ Ｐゴシック" w:hAnsi="ＭＳ Ｐゴシック" w:hint="eastAsia"/>
          <w:szCs w:val="21"/>
        </w:rPr>
        <w:t>予後</w:t>
      </w:r>
    </w:p>
    <w:p w:rsidR="003F0556" w:rsidRPr="00DB6FCF" w:rsidRDefault="00D23FD9" w:rsidP="00010DEE">
      <w:pPr>
        <w:tabs>
          <w:tab w:val="left" w:pos="993"/>
        </w:tabs>
        <w:ind w:leftChars="135" w:left="283" w:firstLineChars="100" w:firstLine="210"/>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フェニルアラニン値が上昇すると</w:t>
      </w:r>
      <w:r w:rsidR="007A1C1F" w:rsidRPr="00DB6FCF">
        <w:rPr>
          <w:rFonts w:ascii="ＭＳ Ｐゴシック" w:eastAsia="ＭＳ Ｐゴシック" w:hAnsi="ＭＳ Ｐゴシック" w:hint="eastAsia"/>
          <w:szCs w:val="21"/>
        </w:rPr>
        <w:t>精神症状が不可逆的に進行するため、</w:t>
      </w:r>
      <w:r w:rsidRPr="00DB6FCF">
        <w:rPr>
          <w:rFonts w:ascii="ＭＳ Ｐゴシック" w:eastAsia="ＭＳ Ｐゴシック" w:hAnsi="ＭＳ Ｐゴシック" w:hint="eastAsia"/>
          <w:szCs w:val="21"/>
        </w:rPr>
        <w:t>定期的に知能発達検査（</w:t>
      </w:r>
      <w:r w:rsidR="002B1564">
        <w:rPr>
          <w:rFonts w:ascii="ＭＳ Ｐゴシック" w:eastAsia="ＭＳ Ｐゴシック" w:hAnsi="ＭＳ Ｐゴシック" w:hint="eastAsia"/>
          <w:szCs w:val="21"/>
        </w:rPr>
        <w:t>３</w:t>
      </w:r>
      <w:r w:rsidRPr="00DB6FCF">
        <w:rPr>
          <w:rFonts w:ascii="ＭＳ Ｐゴシック" w:eastAsia="ＭＳ Ｐゴシック" w:hAnsi="ＭＳ Ｐゴシック" w:hint="eastAsia"/>
          <w:szCs w:val="21"/>
        </w:rPr>
        <w:t>歳までは津守・稲毛式などの発達指数の検査、</w:t>
      </w:r>
      <w:r w:rsidR="00D63621">
        <w:rPr>
          <w:rFonts w:ascii="ＭＳ Ｐゴシック" w:eastAsia="ＭＳ Ｐゴシック" w:hAnsi="ＭＳ Ｐゴシック" w:hint="eastAsia"/>
          <w:szCs w:val="21"/>
        </w:rPr>
        <w:t>３</w:t>
      </w:r>
      <w:r w:rsidRPr="00DB6FCF">
        <w:rPr>
          <w:rFonts w:ascii="ＭＳ Ｐゴシック" w:eastAsia="ＭＳ Ｐゴシック" w:hAnsi="ＭＳ Ｐゴシック" w:hint="eastAsia"/>
          <w:szCs w:val="21"/>
        </w:rPr>
        <w:t>歳以後は知能指数の検査）を行う。また適宜脳波検査と脳の画像検査を行うことが望ましい。食事療法は少なくとも成人になるまで継続すべきであり、一生続けていく必要がある。中学生以降でも可能な限り血中Phe値を10</w:t>
      </w:r>
      <w:r w:rsidR="006A72D2">
        <w:rPr>
          <w:rFonts w:ascii="ＭＳ Ｐゴシック" w:eastAsia="ＭＳ Ｐゴシック" w:hAnsi="ＭＳ Ｐゴシック" w:hint="eastAsia"/>
          <w:szCs w:val="21"/>
        </w:rPr>
        <w:t>mg/dL</w:t>
      </w:r>
      <w:r w:rsidRPr="00DB6FCF">
        <w:rPr>
          <w:rFonts w:ascii="ＭＳ Ｐゴシック" w:eastAsia="ＭＳ Ｐゴシック" w:hAnsi="ＭＳ Ｐゴシック" w:hint="eastAsia"/>
          <w:szCs w:val="21"/>
        </w:rPr>
        <w:t>以下に維持することが望ましい</w:t>
      </w:r>
      <w:r w:rsidR="007A1C1F" w:rsidRPr="00DB6FCF">
        <w:rPr>
          <w:rFonts w:ascii="ＭＳ Ｐゴシック" w:eastAsia="ＭＳ Ｐゴシック" w:hAnsi="ＭＳ Ｐゴシック" w:hint="eastAsia"/>
          <w:szCs w:val="21"/>
        </w:rPr>
        <w:t>。</w:t>
      </w:r>
      <w:r w:rsidRPr="00DB6FCF">
        <w:rPr>
          <w:rFonts w:ascii="ＭＳ Ｐゴシック" w:eastAsia="ＭＳ Ｐゴシック" w:hAnsi="ＭＳ Ｐゴシック" w:hint="eastAsia"/>
          <w:szCs w:val="21"/>
        </w:rPr>
        <w:t>患者が女性の場合、妊娠中の高Phe血症は、胎児に、小頭症や心奇形など重篤な影響を与える</w:t>
      </w:r>
      <w:r w:rsidR="006A72D2">
        <w:rPr>
          <w:rFonts w:ascii="ＭＳ Ｐゴシック" w:eastAsia="ＭＳ Ｐゴシック" w:hAnsi="ＭＳ Ｐゴシック" w:hint="eastAsia"/>
          <w:szCs w:val="21"/>
        </w:rPr>
        <w:t>（マターナルPKU：母性PKU）</w:t>
      </w:r>
      <w:r w:rsidRPr="00DB6FCF">
        <w:rPr>
          <w:rFonts w:ascii="ＭＳ Ｐゴシック" w:eastAsia="ＭＳ Ｐゴシック" w:hAnsi="ＭＳ Ｐゴシック" w:hint="eastAsia"/>
          <w:szCs w:val="21"/>
        </w:rPr>
        <w:t>。これを予防するには、PKU患者が妊娠を希望する場合、受胎前よりPhe制限食を開始し、全妊娠期間を通じて血中Phe値を厳格にコントロールすることが必要である。患者がBH</w:t>
      </w:r>
      <w:r w:rsidRPr="00E93F4A">
        <w:rPr>
          <w:rFonts w:ascii="ＭＳ Ｐゴシック" w:eastAsia="ＭＳ Ｐゴシック" w:hAnsi="ＭＳ Ｐゴシック"/>
          <w:szCs w:val="21"/>
          <w:vertAlign w:val="subscript"/>
        </w:rPr>
        <w:t>4</w:t>
      </w:r>
      <w:r w:rsidRPr="00DB6FCF">
        <w:rPr>
          <w:rFonts w:ascii="ＭＳ Ｐゴシック" w:eastAsia="ＭＳ Ｐゴシック" w:hAnsi="ＭＳ Ｐゴシック" w:hint="eastAsia"/>
          <w:szCs w:val="21"/>
        </w:rPr>
        <w:t>反応性である場合には、BH</w:t>
      </w:r>
      <w:r w:rsidRPr="00E93F4A">
        <w:rPr>
          <w:rFonts w:ascii="ＭＳ Ｐゴシック" w:eastAsia="ＭＳ Ｐゴシック" w:hAnsi="ＭＳ Ｐゴシック"/>
          <w:szCs w:val="21"/>
          <w:vertAlign w:val="subscript"/>
        </w:rPr>
        <w:t>4</w:t>
      </w:r>
      <w:r w:rsidRPr="00DB6FCF">
        <w:rPr>
          <w:rFonts w:ascii="ＭＳ Ｐゴシック" w:eastAsia="ＭＳ Ｐゴシック" w:hAnsi="ＭＳ Ｐゴシック" w:hint="eastAsia"/>
          <w:szCs w:val="21"/>
        </w:rPr>
        <w:t>療法が母性PKUに対しても有効と考えられるが、安全性については確立されて</w:t>
      </w:r>
      <w:r w:rsidR="007A1C1F" w:rsidRPr="00DB6FCF">
        <w:rPr>
          <w:rFonts w:ascii="ＭＳ Ｐゴシック" w:eastAsia="ＭＳ Ｐゴシック" w:hAnsi="ＭＳ Ｐゴシック" w:hint="eastAsia"/>
          <w:szCs w:val="21"/>
        </w:rPr>
        <w:t>いない。</w:t>
      </w:r>
    </w:p>
    <w:p w:rsidR="003F0556" w:rsidRPr="00DB6FCF" w:rsidRDefault="003F0556" w:rsidP="00E93F4A">
      <w:pPr>
        <w:rPr>
          <w:rFonts w:ascii="ＭＳ Ｐゴシック" w:eastAsia="ＭＳ Ｐゴシック" w:hAnsi="ＭＳ Ｐゴシック"/>
          <w:szCs w:val="21"/>
        </w:rPr>
      </w:pPr>
    </w:p>
    <w:p w:rsidR="003F0556" w:rsidRPr="00DB6FCF" w:rsidRDefault="003F0556" w:rsidP="00E93F4A">
      <w:pPr>
        <w:ind w:left="556" w:hangingChars="265" w:hanging="556"/>
        <w:rPr>
          <w:rFonts w:ascii="ＭＳ Ｐゴシック" w:eastAsia="ＭＳ Ｐゴシック" w:hAnsi="ＭＳ Ｐゴシック"/>
          <w:szCs w:val="21"/>
        </w:rPr>
      </w:pPr>
      <w:r w:rsidRPr="00E23E2A">
        <w:rPr>
          <w:rFonts w:ascii="ＭＳ Ｐゴシック" w:eastAsia="ＭＳ Ｐゴシック" w:hAnsi="ＭＳ Ｐゴシック" w:hint="eastAsia"/>
          <w:szCs w:val="21"/>
          <w:bdr w:val="single" w:sz="4" w:space="0" w:color="auto"/>
        </w:rPr>
        <w:t>○　要件の判定に必要な事項</w:t>
      </w:r>
    </w:p>
    <w:p w:rsidR="003F0556" w:rsidRPr="00DB6FCF" w:rsidRDefault="003F0556" w:rsidP="00E93F4A">
      <w:pPr>
        <w:ind w:left="556" w:hangingChars="265" w:hanging="556"/>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１．患者数</w:t>
      </w:r>
    </w:p>
    <w:p w:rsidR="003F0556" w:rsidRPr="00DB6FCF" w:rsidRDefault="008C3972" w:rsidP="00010DEE">
      <w:pPr>
        <w:ind w:firstLineChars="150" w:firstLine="315"/>
        <w:jc w:val="left"/>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約</w:t>
      </w:r>
      <w:r w:rsidR="007A1C1F" w:rsidRPr="00DB6FCF">
        <w:rPr>
          <w:rFonts w:ascii="ＭＳ Ｐゴシック" w:eastAsia="ＭＳ Ｐゴシック" w:hAnsi="ＭＳ Ｐゴシック" w:hint="eastAsia"/>
          <w:szCs w:val="21"/>
        </w:rPr>
        <w:t>5</w:t>
      </w:r>
      <w:r w:rsidRPr="00DB6FCF">
        <w:rPr>
          <w:rFonts w:ascii="ＭＳ Ｐゴシック" w:eastAsia="ＭＳ Ｐゴシック" w:hAnsi="ＭＳ Ｐゴシック" w:hint="eastAsia"/>
          <w:szCs w:val="21"/>
        </w:rPr>
        <w:t>00人</w:t>
      </w:r>
    </w:p>
    <w:p w:rsidR="003F0556" w:rsidRPr="00DB6FCF" w:rsidRDefault="003F0556" w:rsidP="00E93F4A">
      <w:pPr>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２．発病の機構</w:t>
      </w:r>
    </w:p>
    <w:p w:rsidR="00DB6FCF" w:rsidRDefault="003F0556" w:rsidP="00E93F4A">
      <w:pPr>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 xml:space="preserve">　</w:t>
      </w:r>
      <w:r w:rsidR="00DB6FCF">
        <w:rPr>
          <w:rFonts w:ascii="ＭＳ Ｐゴシック" w:eastAsia="ＭＳ Ｐゴシック" w:hAnsi="ＭＳ Ｐゴシック" w:hint="eastAsia"/>
          <w:szCs w:val="21"/>
        </w:rPr>
        <w:t xml:space="preserve">　</w:t>
      </w:r>
      <w:r w:rsidRPr="00DB6FCF">
        <w:rPr>
          <w:rFonts w:ascii="ＭＳ Ｐゴシック" w:eastAsia="ＭＳ Ｐゴシック" w:hAnsi="ＭＳ Ｐゴシック" w:hint="eastAsia"/>
          <w:szCs w:val="21"/>
        </w:rPr>
        <w:t xml:space="preserve">不明　</w:t>
      </w:r>
    </w:p>
    <w:p w:rsidR="003F0556" w:rsidRPr="00DB6FCF" w:rsidRDefault="003F0556" w:rsidP="00E93F4A">
      <w:pPr>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３．効果的な治療方法</w:t>
      </w:r>
    </w:p>
    <w:p w:rsidR="003F0556" w:rsidRPr="00DB6FCF" w:rsidRDefault="003F0556" w:rsidP="00E93F4A">
      <w:pPr>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 xml:space="preserve">　</w:t>
      </w:r>
      <w:r w:rsidR="00DB6FCF">
        <w:rPr>
          <w:rFonts w:ascii="ＭＳ Ｐゴシック" w:eastAsia="ＭＳ Ｐゴシック" w:hAnsi="ＭＳ Ｐゴシック" w:hint="eastAsia"/>
          <w:szCs w:val="21"/>
        </w:rPr>
        <w:t xml:space="preserve">　</w:t>
      </w:r>
      <w:r w:rsidRPr="00DB6FCF">
        <w:rPr>
          <w:rFonts w:ascii="ＭＳ Ｐゴシック" w:eastAsia="ＭＳ Ｐゴシック" w:hAnsi="ＭＳ Ｐゴシック" w:hint="eastAsia"/>
          <w:szCs w:val="21"/>
        </w:rPr>
        <w:t>未確立（</w:t>
      </w:r>
      <w:r w:rsidRPr="00DB6FCF">
        <w:rPr>
          <w:rFonts w:ascii="ＭＳ Ｐゴシック" w:eastAsia="ＭＳ Ｐゴシック" w:hAnsi="ＭＳ Ｐゴシック" w:cs="ＭＳ ゴシック" w:hint="eastAsia"/>
          <w:color w:val="000000"/>
          <w:kern w:val="0"/>
          <w:szCs w:val="21"/>
        </w:rPr>
        <w:t>食事療法</w:t>
      </w:r>
      <w:r w:rsidR="007A1C1F" w:rsidRPr="00DB6FCF">
        <w:rPr>
          <w:rFonts w:ascii="ＭＳ Ｐゴシック" w:eastAsia="ＭＳ Ｐゴシック" w:hAnsi="ＭＳ Ｐゴシック" w:cs="ＭＳ ゴシック" w:hint="eastAsia"/>
          <w:color w:val="000000"/>
          <w:kern w:val="0"/>
          <w:szCs w:val="21"/>
        </w:rPr>
        <w:t>によってPheの摂取を制限し体内のPheとその代謝産物の蓄積を改善させる</w:t>
      </w:r>
      <w:r w:rsidRPr="00DB6FCF">
        <w:rPr>
          <w:rFonts w:ascii="ＭＳ Ｐゴシック" w:eastAsia="ＭＳ Ｐゴシック" w:hAnsi="ＭＳ Ｐゴシック" w:cs="ＭＳ ゴシック" w:hint="eastAsia"/>
          <w:color w:val="000000"/>
          <w:kern w:val="0"/>
          <w:szCs w:val="21"/>
        </w:rPr>
        <w:t>。</w:t>
      </w:r>
      <w:r w:rsidRPr="00DB6FCF">
        <w:rPr>
          <w:rFonts w:ascii="ＭＳ Ｐゴシック" w:eastAsia="ＭＳ Ｐゴシック" w:hAnsi="ＭＳ Ｐゴシック" w:hint="eastAsia"/>
          <w:szCs w:val="21"/>
        </w:rPr>
        <w:t>）</w:t>
      </w:r>
    </w:p>
    <w:p w:rsidR="003F0556" w:rsidRPr="00DB6FCF" w:rsidRDefault="003F0556" w:rsidP="00E93F4A">
      <w:pPr>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４．長期の療養</w:t>
      </w:r>
    </w:p>
    <w:p w:rsidR="003F0556" w:rsidRPr="00DB6FCF" w:rsidRDefault="003F0556" w:rsidP="00E93F4A">
      <w:pPr>
        <w:ind w:left="210" w:hangingChars="100" w:hanging="210"/>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 xml:space="preserve">　</w:t>
      </w:r>
      <w:r w:rsidR="00DB6FCF">
        <w:rPr>
          <w:rFonts w:ascii="ＭＳ Ｐゴシック" w:eastAsia="ＭＳ Ｐゴシック" w:hAnsi="ＭＳ Ｐゴシック" w:hint="eastAsia"/>
          <w:szCs w:val="21"/>
        </w:rPr>
        <w:t xml:space="preserve">　</w:t>
      </w:r>
      <w:r w:rsidRPr="00DB6FCF">
        <w:rPr>
          <w:rFonts w:ascii="ＭＳ Ｐゴシック" w:eastAsia="ＭＳ Ｐゴシック" w:hAnsi="ＭＳ Ｐゴシック" w:hint="eastAsia"/>
          <w:szCs w:val="21"/>
        </w:rPr>
        <w:t>必要（生涯にわたる食事療法が必要である</w:t>
      </w:r>
      <w:r w:rsidR="002B1564">
        <w:rPr>
          <w:rFonts w:ascii="ＭＳ Ｐゴシック" w:eastAsia="ＭＳ Ｐゴシック" w:hAnsi="ＭＳ Ｐゴシック" w:hint="eastAsia"/>
          <w:szCs w:val="21"/>
        </w:rPr>
        <w:t>。</w:t>
      </w:r>
      <w:r w:rsidRPr="00DB6FCF">
        <w:rPr>
          <w:rFonts w:ascii="ＭＳ Ｐゴシック" w:eastAsia="ＭＳ Ｐゴシック" w:hAnsi="ＭＳ Ｐゴシック" w:hint="eastAsia"/>
          <w:szCs w:val="21"/>
        </w:rPr>
        <w:t>）</w:t>
      </w:r>
    </w:p>
    <w:p w:rsidR="003F0556" w:rsidRPr="00DB6FCF" w:rsidRDefault="003F0556" w:rsidP="00E93F4A">
      <w:pPr>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５．診断基準</w:t>
      </w:r>
    </w:p>
    <w:p w:rsidR="003F0556" w:rsidRPr="00DB6FCF" w:rsidRDefault="003F0556" w:rsidP="00E93F4A">
      <w:pPr>
        <w:ind w:firstLineChars="150" w:firstLine="315"/>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t>あり（研究班作成の診断基準</w:t>
      </w:r>
      <w:r w:rsidR="002B1564">
        <w:rPr>
          <w:rFonts w:ascii="ＭＳ Ｐゴシック" w:eastAsia="ＭＳ Ｐゴシック" w:hAnsi="ＭＳ Ｐゴシック" w:hint="eastAsia"/>
          <w:szCs w:val="21"/>
        </w:rPr>
        <w:t>。</w:t>
      </w:r>
      <w:r w:rsidRPr="00DB6FCF">
        <w:rPr>
          <w:rFonts w:ascii="ＭＳ Ｐゴシック" w:eastAsia="ＭＳ Ｐゴシック" w:hAnsi="ＭＳ Ｐゴシック" w:hint="eastAsia"/>
          <w:szCs w:val="21"/>
        </w:rPr>
        <w:t>）</w:t>
      </w:r>
    </w:p>
    <w:p w:rsidR="00DB6FCF" w:rsidRPr="00E23E2A" w:rsidRDefault="00DB6FCF" w:rsidP="00010DEE">
      <w:pPr>
        <w:rPr>
          <w:rFonts w:ascii="ＭＳ Ｐゴシック" w:eastAsia="ＭＳ Ｐゴシック" w:hAnsi="ＭＳ Ｐゴシック"/>
        </w:rPr>
      </w:pPr>
      <w:r>
        <w:rPr>
          <w:rFonts w:ascii="ＭＳ Ｐゴシック" w:eastAsia="ＭＳ Ｐゴシック" w:hAnsi="ＭＳ Ｐゴシック" w:hint="eastAsia"/>
        </w:rPr>
        <w:t>６．</w:t>
      </w:r>
      <w:r w:rsidRPr="00E23E2A">
        <w:rPr>
          <w:rFonts w:ascii="ＭＳ Ｐゴシック" w:eastAsia="ＭＳ Ｐゴシック" w:hAnsi="ＭＳ Ｐゴシック" w:hint="eastAsia"/>
        </w:rPr>
        <w:t>重症度分類</w:t>
      </w:r>
    </w:p>
    <w:p w:rsidR="003F0556" w:rsidRPr="00DB6FCF" w:rsidRDefault="00F24EC5" w:rsidP="00E93F4A">
      <w:pPr>
        <w:ind w:firstLineChars="150" w:firstLine="315"/>
        <w:rPr>
          <w:rFonts w:ascii="ＭＳ Ｐゴシック" w:eastAsia="ＭＳ Ｐゴシック" w:hAnsi="ＭＳ Ｐゴシック"/>
          <w:szCs w:val="21"/>
        </w:rPr>
      </w:pPr>
      <w:r w:rsidRPr="00F24EC5">
        <w:rPr>
          <w:rFonts w:ascii="ＭＳ Ｐゴシック" w:eastAsia="ＭＳ Ｐゴシック" w:hAnsi="ＭＳ Ｐゴシック" w:hint="eastAsia"/>
          <w:bCs/>
        </w:rPr>
        <w:t>先天性代謝異常症の重症度評価</w:t>
      </w:r>
      <w:r w:rsidR="00DB6FCF">
        <w:rPr>
          <w:rFonts w:ascii="ＭＳ Ｐゴシック" w:eastAsia="ＭＳ Ｐゴシック" w:hAnsi="ＭＳ Ｐゴシック" w:hint="eastAsia"/>
        </w:rPr>
        <w:t>を用いて、中等症以上を対象とする。</w:t>
      </w:r>
    </w:p>
    <w:p w:rsidR="00DB6FCF" w:rsidRDefault="00DB6FCF" w:rsidP="00010DEE">
      <w:pPr>
        <w:widowControl/>
        <w:jc w:val="left"/>
        <w:rPr>
          <w:rFonts w:ascii="ＭＳ Ｐゴシック" w:eastAsia="ＭＳ Ｐゴシック" w:hAnsi="ＭＳ Ｐゴシック"/>
          <w:szCs w:val="21"/>
        </w:rPr>
      </w:pPr>
    </w:p>
    <w:p w:rsidR="00DB6FCF" w:rsidRPr="00D029BD" w:rsidRDefault="00DB6FCF" w:rsidP="00E93F4A">
      <w:pPr>
        <w:ind w:left="556" w:hangingChars="265" w:hanging="556"/>
        <w:rPr>
          <w:rFonts w:ascii="ＭＳ Ｐゴシック" w:eastAsia="ＭＳ Ｐゴシック" w:hAnsi="ＭＳ Ｐゴシック"/>
          <w:szCs w:val="21"/>
          <w:bdr w:val="single" w:sz="4" w:space="0" w:color="auto"/>
        </w:rPr>
      </w:pPr>
      <w:r w:rsidRPr="00D029BD">
        <w:rPr>
          <w:rFonts w:ascii="ＭＳ Ｐゴシック" w:eastAsia="ＭＳ Ｐゴシック" w:hAnsi="ＭＳ Ｐゴシック" w:hint="eastAsia"/>
          <w:szCs w:val="21"/>
          <w:bdr w:val="single" w:sz="4" w:space="0" w:color="auto"/>
        </w:rPr>
        <w:t>○　情報提供元</w:t>
      </w:r>
    </w:p>
    <w:p w:rsidR="00DB6FCF" w:rsidRPr="00E23E2A" w:rsidRDefault="00DB6FCF" w:rsidP="00E93F4A">
      <w:pPr>
        <w:ind w:leftChars="100" w:left="210"/>
        <w:rPr>
          <w:rFonts w:ascii="ＭＳ Ｐゴシック" w:eastAsia="ＭＳ Ｐゴシック" w:hAnsi="ＭＳ Ｐゴシック"/>
          <w:szCs w:val="21"/>
        </w:rPr>
      </w:pPr>
      <w:r w:rsidRPr="00E23E2A">
        <w:rPr>
          <w:rFonts w:ascii="ＭＳ Ｐゴシック" w:eastAsia="ＭＳ Ｐゴシック" w:hAnsi="ＭＳ Ｐゴシック" w:hint="eastAsia"/>
          <w:szCs w:val="21"/>
        </w:rPr>
        <w:t>「</w:t>
      </w:r>
      <w:r w:rsidRPr="00E23E2A">
        <w:rPr>
          <w:rFonts w:ascii="ＭＳ Ｐゴシック" w:eastAsia="ＭＳ Ｐゴシック" w:hAnsi="ＭＳ Ｐゴシック" w:cs="ＭＳ ゴシック" w:hint="eastAsia"/>
          <w:kern w:val="0"/>
          <w:szCs w:val="21"/>
        </w:rPr>
        <w:t>新しい新生児代謝スクリーニング時代に適応した先天代謝異常症の診断基準作成と治療ガイドラインの作成および新たな薬剤開発に向けた調査研究</w:t>
      </w:r>
      <w:r w:rsidRPr="00E23E2A">
        <w:rPr>
          <w:rFonts w:ascii="ＭＳ Ｐゴシック" w:eastAsia="ＭＳ Ｐゴシック" w:hAnsi="ＭＳ Ｐゴシック" w:hint="eastAsia"/>
          <w:szCs w:val="21"/>
        </w:rPr>
        <w:t xml:space="preserve">」　</w:t>
      </w:r>
    </w:p>
    <w:p w:rsidR="00DB6FCF" w:rsidRPr="00E23E2A" w:rsidRDefault="00DB6FCF" w:rsidP="00E93F4A">
      <w:pPr>
        <w:ind w:leftChars="100" w:left="420" w:hangingChars="100" w:hanging="210"/>
        <w:rPr>
          <w:rFonts w:ascii="ＭＳ Ｐゴシック" w:eastAsia="ＭＳ Ｐゴシック" w:hAnsi="ＭＳ Ｐゴシック"/>
          <w:szCs w:val="21"/>
        </w:rPr>
      </w:pPr>
      <w:r w:rsidRPr="00E23E2A">
        <w:rPr>
          <w:rFonts w:ascii="ＭＳ Ｐゴシック" w:eastAsia="ＭＳ Ｐゴシック" w:hAnsi="ＭＳ Ｐゴシック" w:hint="eastAsia"/>
          <w:szCs w:val="21"/>
        </w:rPr>
        <w:t>研究代表者　熊本大学生命科学研究部小児科学分野　教授　遠藤文夫</w:t>
      </w:r>
    </w:p>
    <w:p w:rsidR="00DB6FCF" w:rsidRPr="00DB6FCF" w:rsidRDefault="00DB6FCF" w:rsidP="00010DEE">
      <w:pPr>
        <w:widowControl/>
        <w:jc w:val="left"/>
        <w:rPr>
          <w:rFonts w:ascii="ＭＳ Ｐゴシック" w:eastAsia="ＭＳ Ｐゴシック" w:hAnsi="ＭＳ Ｐゴシック"/>
          <w:szCs w:val="21"/>
        </w:rPr>
      </w:pPr>
    </w:p>
    <w:p w:rsidR="00DB6FCF" w:rsidRDefault="00DB6FCF" w:rsidP="00010DE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F0556" w:rsidRDefault="003F0556" w:rsidP="00E93F4A">
      <w:pPr>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lastRenderedPageBreak/>
        <w:t>＜診断基準＞</w:t>
      </w:r>
    </w:p>
    <w:p w:rsidR="00DB6FCF" w:rsidRPr="0072416A" w:rsidRDefault="009508E8" w:rsidP="00E93F4A">
      <w:pPr>
        <w:rPr>
          <w:rFonts w:ascii="ＭＳ Ｐゴシック" w:eastAsia="ＭＳ Ｐゴシック" w:hAnsi="ＭＳ Ｐゴシック"/>
          <w:szCs w:val="21"/>
        </w:rPr>
      </w:pPr>
      <w:r w:rsidRPr="0072416A">
        <w:rPr>
          <w:rFonts w:ascii="ＭＳ Ｐゴシック" w:eastAsia="ＭＳ Ｐゴシック" w:hAnsi="ＭＳ Ｐゴシック"/>
          <w:szCs w:val="21"/>
        </w:rPr>
        <w:t>Definite</w:t>
      </w:r>
      <w:r w:rsidR="00DB6FCF" w:rsidRPr="0072416A">
        <w:rPr>
          <w:rFonts w:ascii="ＭＳ Ｐゴシック" w:eastAsia="ＭＳ Ｐゴシック" w:hAnsi="ＭＳ Ｐゴシック" w:hint="eastAsia"/>
          <w:szCs w:val="21"/>
        </w:rPr>
        <w:t>を対象とする。</w:t>
      </w:r>
    </w:p>
    <w:p w:rsidR="009508E8" w:rsidRPr="0072416A" w:rsidRDefault="009508E8" w:rsidP="00E93F4A">
      <w:pPr>
        <w:rPr>
          <w:rFonts w:ascii="ＭＳ Ｐゴシック" w:eastAsia="ＭＳ Ｐゴシック" w:hAnsi="ＭＳ Ｐゴシック"/>
          <w:szCs w:val="21"/>
        </w:rPr>
      </w:pPr>
    </w:p>
    <w:p w:rsidR="007A1C1F" w:rsidRPr="00E93F4A" w:rsidRDefault="007A1C1F" w:rsidP="00E93F4A">
      <w:pPr>
        <w:rPr>
          <w:rFonts w:ascii="ＭＳ Ｐゴシック" w:eastAsia="ＭＳ Ｐゴシック" w:hAnsi="ＭＳ Ｐゴシック"/>
          <w:szCs w:val="21"/>
        </w:rPr>
      </w:pPr>
      <w:r w:rsidRPr="00E93F4A">
        <w:rPr>
          <w:rFonts w:ascii="ＭＳ Ｐゴシック" w:eastAsia="ＭＳ Ｐゴシック" w:hAnsi="ＭＳ Ｐゴシック" w:hint="eastAsia"/>
          <w:szCs w:val="21"/>
        </w:rPr>
        <w:t>①アミノ酸分析（</w:t>
      </w:r>
      <w:r w:rsidRPr="00E93F4A">
        <w:rPr>
          <w:rFonts w:ascii="ＭＳ Ｐゴシック" w:eastAsia="ＭＳ Ｐゴシック" w:hAnsi="ＭＳ Ｐゴシック"/>
          <w:szCs w:val="21"/>
        </w:rPr>
        <w:t xml:space="preserve">HPLC法）　　</w:t>
      </w:r>
    </w:p>
    <w:p w:rsidR="007A1C1F" w:rsidRPr="00E93F4A" w:rsidRDefault="007A1C1F" w:rsidP="00E93F4A">
      <w:pPr>
        <w:ind w:firstLineChars="200" w:firstLine="420"/>
        <w:rPr>
          <w:rFonts w:ascii="ＭＳ Ｐゴシック" w:eastAsia="ＭＳ Ｐゴシック" w:hAnsi="ＭＳ Ｐゴシック"/>
          <w:szCs w:val="21"/>
        </w:rPr>
      </w:pPr>
      <w:r w:rsidRPr="00E93F4A">
        <w:rPr>
          <w:rFonts w:ascii="ＭＳ Ｐゴシック" w:eastAsia="ＭＳ Ｐゴシック" w:hAnsi="ＭＳ Ｐゴシック" w:hint="eastAsia"/>
          <w:szCs w:val="21"/>
        </w:rPr>
        <w:t>血中フェニルアラニン値：</w:t>
      </w:r>
      <w:r w:rsidR="009508E8" w:rsidRPr="00E93F4A">
        <w:rPr>
          <w:rFonts w:ascii="ＭＳ Ｐゴシック" w:eastAsia="ＭＳ Ｐゴシック" w:hAnsi="ＭＳ Ｐゴシック" w:hint="eastAsia"/>
          <w:szCs w:val="21"/>
        </w:rPr>
        <w:t>２</w:t>
      </w:r>
      <w:r w:rsidRPr="00E93F4A">
        <w:rPr>
          <w:rFonts w:ascii="ＭＳ Ｐゴシック" w:eastAsia="ＭＳ Ｐゴシック" w:hAnsi="ＭＳ Ｐゴシック"/>
          <w:szCs w:val="21"/>
        </w:rPr>
        <w:t>mg/d</w:t>
      </w:r>
      <w:r w:rsidR="009508E8" w:rsidRPr="00E93F4A">
        <w:rPr>
          <w:rFonts w:ascii="ＭＳ Ｐゴシック" w:eastAsia="ＭＳ Ｐゴシック" w:hAnsi="ＭＳ Ｐゴシック"/>
          <w:szCs w:val="21"/>
        </w:rPr>
        <w:t>L</w:t>
      </w:r>
      <w:r w:rsidR="009508E8"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szCs w:val="21"/>
        </w:rPr>
        <w:t>120</w:t>
      </w:r>
      <w:r w:rsidR="009508E8" w:rsidRPr="00E93F4A">
        <w:rPr>
          <w:rFonts w:ascii="ＭＳ Ｐゴシック" w:eastAsia="ＭＳ Ｐゴシック" w:hAnsi="ＭＳ Ｐゴシック" w:hint="eastAsia"/>
          <w:szCs w:val="21"/>
        </w:rPr>
        <w:t>µ</w:t>
      </w:r>
      <w:r w:rsidRPr="00E93F4A">
        <w:rPr>
          <w:rFonts w:ascii="ＭＳ Ｐゴシック" w:eastAsia="ＭＳ Ｐゴシック" w:hAnsi="ＭＳ Ｐゴシック"/>
          <w:szCs w:val="21"/>
        </w:rPr>
        <w:t>mol/L</w:t>
      </w:r>
      <w:r w:rsidR="009508E8"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hint="eastAsia"/>
          <w:szCs w:val="21"/>
        </w:rPr>
        <w:t>以上（基準値</w:t>
      </w:r>
      <w:r w:rsidRPr="00E93F4A">
        <w:rPr>
          <w:rFonts w:ascii="ＭＳ Ｐゴシック" w:eastAsia="ＭＳ Ｐゴシック" w:hAnsi="ＭＳ Ｐゴシック"/>
          <w:szCs w:val="21"/>
        </w:rPr>
        <w:t>0.7</w:t>
      </w:r>
      <w:r w:rsidR="009508E8"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szCs w:val="21"/>
        </w:rPr>
        <w:t>1.8mg/d</w:t>
      </w:r>
      <w:r w:rsidR="009508E8" w:rsidRPr="00E93F4A">
        <w:rPr>
          <w:rFonts w:ascii="ＭＳ Ｐゴシック" w:eastAsia="ＭＳ Ｐゴシック" w:hAnsi="ＭＳ Ｐゴシック"/>
          <w:szCs w:val="21"/>
        </w:rPr>
        <w:t>L</w:t>
      </w:r>
      <w:r w:rsidRPr="00E93F4A">
        <w:rPr>
          <w:rFonts w:ascii="ＭＳ Ｐゴシック" w:eastAsia="ＭＳ Ｐゴシック" w:hAnsi="ＭＳ Ｐゴシック" w:hint="eastAsia"/>
          <w:szCs w:val="21"/>
        </w:rPr>
        <w:t>）</w:t>
      </w:r>
    </w:p>
    <w:p w:rsidR="007A1C1F" w:rsidRPr="00DB6FCF" w:rsidRDefault="007A1C1F" w:rsidP="00E93F4A">
      <w:pPr>
        <w:rPr>
          <w:rFonts w:ascii="ＭＳ Ｐゴシック" w:eastAsia="ＭＳ Ｐゴシック" w:hAnsi="ＭＳ Ｐゴシック"/>
          <w:color w:val="000000" w:themeColor="text1"/>
          <w:szCs w:val="21"/>
        </w:rPr>
      </w:pPr>
      <w:r w:rsidRPr="00DB6FCF">
        <w:rPr>
          <w:rFonts w:ascii="ＭＳ Ｐゴシック" w:eastAsia="ＭＳ Ｐゴシック" w:hAnsi="ＭＳ Ｐゴシック" w:hint="eastAsia"/>
          <w:color w:val="000000" w:themeColor="text1"/>
          <w:szCs w:val="21"/>
        </w:rPr>
        <w:t>②プテリジン分析</w:t>
      </w:r>
      <w:r w:rsidR="004749C9">
        <w:rPr>
          <w:rFonts w:ascii="ＭＳ Ｐゴシック" w:eastAsia="ＭＳ Ｐゴシック" w:hAnsi="ＭＳ Ｐゴシック" w:hint="eastAsia"/>
          <w:color w:val="000000" w:themeColor="text1"/>
          <w:szCs w:val="21"/>
        </w:rPr>
        <w:t>：</w:t>
      </w:r>
      <w:r w:rsidRPr="00DB6FCF">
        <w:rPr>
          <w:rFonts w:ascii="ＭＳ Ｐゴシック" w:eastAsia="ＭＳ Ｐゴシック" w:hAnsi="ＭＳ Ｐゴシック" w:hint="eastAsia"/>
          <w:color w:val="000000" w:themeColor="text1"/>
          <w:szCs w:val="21"/>
        </w:rPr>
        <w:t>BH</w:t>
      </w:r>
      <w:r w:rsidRPr="00E93F4A">
        <w:rPr>
          <w:rFonts w:ascii="ＭＳ Ｐゴシック" w:eastAsia="ＭＳ Ｐゴシック" w:hAnsi="ＭＳ Ｐゴシック"/>
          <w:color w:val="000000" w:themeColor="text1"/>
          <w:szCs w:val="21"/>
          <w:vertAlign w:val="subscript"/>
        </w:rPr>
        <w:t>4</w:t>
      </w:r>
      <w:r w:rsidRPr="00DB6FCF">
        <w:rPr>
          <w:rFonts w:ascii="ＭＳ Ｐゴシック" w:eastAsia="ＭＳ Ｐゴシック" w:hAnsi="ＭＳ Ｐゴシック" w:hint="eastAsia"/>
          <w:color w:val="000000" w:themeColor="text1"/>
          <w:szCs w:val="21"/>
        </w:rPr>
        <w:t>欠損症で異常パターンが見られる。</w:t>
      </w:r>
    </w:p>
    <w:p w:rsidR="007A1C1F" w:rsidRPr="00DB6FCF" w:rsidRDefault="007A1C1F" w:rsidP="00E93F4A">
      <w:pPr>
        <w:rPr>
          <w:rFonts w:ascii="ＭＳ Ｐゴシック" w:eastAsia="ＭＳ Ｐゴシック" w:hAnsi="ＭＳ Ｐゴシック"/>
          <w:color w:val="000000" w:themeColor="text1"/>
          <w:szCs w:val="21"/>
        </w:rPr>
      </w:pPr>
      <w:r w:rsidRPr="00DB6FCF">
        <w:rPr>
          <w:rFonts w:ascii="ＭＳ Ｐゴシック" w:eastAsia="ＭＳ Ｐゴシック" w:hAnsi="ＭＳ Ｐゴシック" w:hint="eastAsia"/>
          <w:color w:val="000000" w:themeColor="text1"/>
          <w:szCs w:val="21"/>
        </w:rPr>
        <w:t>③DHPR酵素解析</w:t>
      </w:r>
      <w:r w:rsidR="004749C9">
        <w:rPr>
          <w:rFonts w:ascii="ＭＳ Ｐゴシック" w:eastAsia="ＭＳ Ｐゴシック" w:hAnsi="ＭＳ Ｐゴシック" w:hint="eastAsia"/>
          <w:color w:val="000000" w:themeColor="text1"/>
          <w:szCs w:val="21"/>
        </w:rPr>
        <w:t>：</w:t>
      </w:r>
      <w:r w:rsidRPr="00DB6FCF">
        <w:rPr>
          <w:rFonts w:ascii="ＭＳ Ｐゴシック" w:eastAsia="ＭＳ Ｐゴシック" w:hAnsi="ＭＳ Ｐゴシック" w:hint="eastAsia"/>
          <w:color w:val="000000" w:themeColor="text1"/>
          <w:szCs w:val="21"/>
        </w:rPr>
        <w:t>DHPR欠損症ではDHPR活性の著しい活性低下を認める。</w:t>
      </w:r>
    </w:p>
    <w:p w:rsidR="007A1C1F" w:rsidRPr="00E93F4A" w:rsidRDefault="007A1C1F" w:rsidP="00E93F4A">
      <w:pPr>
        <w:rPr>
          <w:rFonts w:ascii="ＭＳ Ｐゴシック" w:eastAsia="ＭＳ Ｐゴシック" w:hAnsi="ＭＳ Ｐゴシック"/>
          <w:szCs w:val="21"/>
        </w:rPr>
      </w:pPr>
      <w:r w:rsidRPr="00DB6FCF">
        <w:rPr>
          <w:rFonts w:ascii="ＭＳ Ｐゴシック" w:eastAsia="ＭＳ Ｐゴシック" w:hAnsi="ＭＳ Ｐゴシック" w:hint="eastAsia"/>
          <w:color w:val="000000" w:themeColor="text1"/>
          <w:szCs w:val="21"/>
        </w:rPr>
        <w:t>④BH</w:t>
      </w:r>
      <w:r w:rsidRPr="00E93F4A">
        <w:rPr>
          <w:rFonts w:ascii="ＭＳ Ｐゴシック" w:eastAsia="ＭＳ Ｐゴシック" w:hAnsi="ＭＳ Ｐゴシック"/>
          <w:color w:val="000000" w:themeColor="text1"/>
          <w:szCs w:val="21"/>
          <w:vertAlign w:val="subscript"/>
        </w:rPr>
        <w:t>4</w:t>
      </w:r>
      <w:r w:rsidRPr="00DB6FCF">
        <w:rPr>
          <w:rFonts w:ascii="ＭＳ Ｐゴシック" w:eastAsia="ＭＳ Ｐゴシック" w:hAnsi="ＭＳ Ｐゴシック" w:hint="eastAsia"/>
          <w:color w:val="000000" w:themeColor="text1"/>
          <w:szCs w:val="21"/>
        </w:rPr>
        <w:t>・</w:t>
      </w:r>
      <w:r w:rsidR="00B66506">
        <w:rPr>
          <w:rFonts w:ascii="ＭＳ Ｐゴシック" w:eastAsia="ＭＳ Ｐゴシック" w:hAnsi="ＭＳ Ｐゴシック" w:hint="eastAsia"/>
          <w:color w:val="000000" w:themeColor="text1"/>
          <w:szCs w:val="21"/>
        </w:rPr>
        <w:t>１</w:t>
      </w:r>
      <w:r w:rsidRPr="00DB6FCF">
        <w:rPr>
          <w:rFonts w:ascii="ＭＳ Ｐゴシック" w:eastAsia="ＭＳ Ｐゴシック" w:hAnsi="ＭＳ Ｐゴシック" w:hint="eastAsia"/>
          <w:color w:val="000000" w:themeColor="text1"/>
          <w:szCs w:val="21"/>
        </w:rPr>
        <w:t>回負荷試験：通</w:t>
      </w:r>
      <w:r w:rsidRPr="00E93F4A">
        <w:rPr>
          <w:rFonts w:ascii="ＭＳ Ｐゴシック" w:eastAsia="ＭＳ Ｐゴシック" w:hAnsi="ＭＳ Ｐゴシック" w:hint="eastAsia"/>
          <w:szCs w:val="21"/>
        </w:rPr>
        <w:t>常、血中</w:t>
      </w:r>
      <w:r w:rsidRPr="00E93F4A">
        <w:rPr>
          <w:rFonts w:ascii="ＭＳ Ｐゴシック" w:eastAsia="ＭＳ Ｐゴシック" w:hAnsi="ＭＳ Ｐゴシック"/>
          <w:szCs w:val="21"/>
        </w:rPr>
        <w:t>Phe</w:t>
      </w:r>
      <w:r w:rsidRPr="00E93F4A">
        <w:rPr>
          <w:rFonts w:ascii="ＭＳ Ｐゴシック" w:eastAsia="ＭＳ Ｐゴシック" w:hAnsi="ＭＳ Ｐゴシック" w:hint="eastAsia"/>
          <w:szCs w:val="21"/>
        </w:rPr>
        <w:t>値が</w:t>
      </w:r>
      <w:r w:rsidR="009508E8" w:rsidRPr="00E93F4A">
        <w:rPr>
          <w:rFonts w:ascii="ＭＳ Ｐゴシック" w:eastAsia="ＭＳ Ｐゴシック" w:hAnsi="ＭＳ Ｐゴシック" w:hint="eastAsia"/>
          <w:szCs w:val="21"/>
        </w:rPr>
        <w:t>６</w:t>
      </w:r>
      <w:r w:rsidRPr="00E93F4A">
        <w:rPr>
          <w:rFonts w:ascii="ＭＳ Ｐゴシック" w:eastAsia="ＭＳ Ｐゴシック" w:hAnsi="ＭＳ Ｐゴシック"/>
          <w:szCs w:val="21"/>
        </w:rPr>
        <w:t>mg/d</w:t>
      </w:r>
      <w:r w:rsidR="009508E8" w:rsidRPr="00E93F4A">
        <w:rPr>
          <w:rFonts w:ascii="ＭＳ Ｐゴシック" w:eastAsia="ＭＳ Ｐゴシック" w:hAnsi="ＭＳ Ｐゴシック"/>
          <w:szCs w:val="21"/>
        </w:rPr>
        <w:t>L</w:t>
      </w:r>
      <w:r w:rsidR="009508E8"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szCs w:val="21"/>
        </w:rPr>
        <w:t>360</w:t>
      </w:r>
      <w:r w:rsidR="009508E8" w:rsidRPr="00E93F4A">
        <w:rPr>
          <w:rFonts w:ascii="ＭＳ Ｐゴシック" w:eastAsia="ＭＳ Ｐゴシック" w:hAnsi="ＭＳ Ｐゴシック" w:hint="eastAsia"/>
          <w:szCs w:val="21"/>
        </w:rPr>
        <w:t>µ</w:t>
      </w:r>
      <w:r w:rsidRPr="00E93F4A">
        <w:rPr>
          <w:rFonts w:ascii="ＭＳ Ｐゴシック" w:eastAsia="ＭＳ Ｐゴシック" w:hAnsi="ＭＳ Ｐゴシック"/>
          <w:szCs w:val="21"/>
        </w:rPr>
        <w:t>mol/L</w:t>
      </w:r>
      <w:r w:rsidR="009508E8"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hint="eastAsia"/>
          <w:szCs w:val="21"/>
        </w:rPr>
        <w:t>以上の場合に行われる。</w:t>
      </w:r>
    </w:p>
    <w:p w:rsidR="007A1C1F" w:rsidRPr="00E93F4A" w:rsidRDefault="007A1C1F" w:rsidP="00E93F4A">
      <w:pPr>
        <w:ind w:leftChars="200" w:left="420"/>
        <w:rPr>
          <w:rFonts w:ascii="ＭＳ Ｐゴシック" w:eastAsia="ＭＳ Ｐゴシック" w:hAnsi="ＭＳ Ｐゴシック"/>
          <w:szCs w:val="21"/>
        </w:rPr>
      </w:pPr>
      <w:r w:rsidRPr="00E93F4A">
        <w:rPr>
          <w:rFonts w:ascii="ＭＳ Ｐゴシック" w:eastAsia="ＭＳ Ｐゴシック" w:hAnsi="ＭＳ Ｐゴシック"/>
          <w:szCs w:val="21"/>
        </w:rPr>
        <w:t>BH</w:t>
      </w:r>
      <w:r w:rsidRPr="00E93F4A">
        <w:rPr>
          <w:rFonts w:ascii="ＭＳ Ｐゴシック" w:eastAsia="ＭＳ Ｐゴシック" w:hAnsi="ＭＳ Ｐゴシック"/>
          <w:szCs w:val="21"/>
          <w:vertAlign w:val="subscript"/>
        </w:rPr>
        <w:t>4</w:t>
      </w:r>
      <w:r w:rsidRPr="00E93F4A">
        <w:rPr>
          <w:rFonts w:ascii="ＭＳ Ｐゴシック" w:eastAsia="ＭＳ Ｐゴシック" w:hAnsi="ＭＳ Ｐゴシック"/>
          <w:szCs w:val="21"/>
        </w:rPr>
        <w:t xml:space="preserve"> 10mg/kgを経口</w:t>
      </w:r>
      <w:r w:rsidR="004749C9" w:rsidRPr="00E93F4A">
        <w:rPr>
          <w:rFonts w:ascii="ＭＳ Ｐゴシック" w:eastAsia="ＭＳ Ｐゴシック" w:hAnsi="ＭＳ Ｐゴシック" w:hint="eastAsia"/>
          <w:szCs w:val="21"/>
        </w:rPr>
        <w:t>１</w:t>
      </w:r>
      <w:r w:rsidRPr="00E93F4A">
        <w:rPr>
          <w:rFonts w:ascii="ＭＳ Ｐゴシック" w:eastAsia="ＭＳ Ｐゴシック" w:hAnsi="ＭＳ Ｐゴシック" w:hint="eastAsia"/>
          <w:szCs w:val="21"/>
        </w:rPr>
        <w:t>回投与。負荷前</w:t>
      </w:r>
      <w:r w:rsidR="00153894" w:rsidRPr="00E93F4A">
        <w:rPr>
          <w:rFonts w:ascii="ＭＳ Ｐゴシック" w:eastAsia="ＭＳ Ｐゴシック" w:hAnsi="ＭＳ Ｐゴシック" w:hint="eastAsia"/>
          <w:szCs w:val="21"/>
        </w:rPr>
        <w:t>及び</w:t>
      </w:r>
      <w:r w:rsidRPr="00E93F4A">
        <w:rPr>
          <w:rFonts w:ascii="ＭＳ Ｐゴシック" w:eastAsia="ＭＳ Ｐゴシック" w:hAnsi="ＭＳ Ｐゴシック" w:hint="eastAsia"/>
          <w:szCs w:val="21"/>
        </w:rPr>
        <w:t>負荷後</w:t>
      </w:r>
      <w:r w:rsidR="004749C9" w:rsidRPr="00E93F4A">
        <w:rPr>
          <w:rFonts w:ascii="ＭＳ Ｐゴシック" w:eastAsia="ＭＳ Ｐゴシック" w:hAnsi="ＭＳ Ｐゴシック" w:hint="eastAsia"/>
          <w:szCs w:val="21"/>
        </w:rPr>
        <w:t>４</w:t>
      </w:r>
      <w:r w:rsidRPr="00E93F4A">
        <w:rPr>
          <w:rFonts w:ascii="ＭＳ Ｐゴシック" w:eastAsia="ＭＳ Ｐゴシック" w:hAnsi="ＭＳ Ｐゴシック" w:hint="eastAsia"/>
          <w:szCs w:val="21"/>
        </w:rPr>
        <w:t>、</w:t>
      </w:r>
      <w:r w:rsidR="004749C9" w:rsidRPr="00E93F4A">
        <w:rPr>
          <w:rFonts w:ascii="ＭＳ Ｐゴシック" w:eastAsia="ＭＳ Ｐゴシック" w:hAnsi="ＭＳ Ｐゴシック" w:hint="eastAsia"/>
          <w:szCs w:val="21"/>
        </w:rPr>
        <w:t>８</w:t>
      </w:r>
      <w:r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szCs w:val="21"/>
        </w:rPr>
        <w:t>24時間の血中Phe</w:t>
      </w:r>
      <w:r w:rsidRPr="00E93F4A">
        <w:rPr>
          <w:rFonts w:ascii="ＭＳ Ｐゴシック" w:eastAsia="ＭＳ Ｐゴシック" w:hAnsi="ＭＳ Ｐゴシック" w:hint="eastAsia"/>
          <w:szCs w:val="21"/>
        </w:rPr>
        <w:t>値を測定。古典型</w:t>
      </w:r>
      <w:r w:rsidRPr="00E93F4A">
        <w:rPr>
          <w:rFonts w:ascii="ＭＳ Ｐゴシック" w:eastAsia="ＭＳ Ｐゴシック" w:hAnsi="ＭＳ Ｐゴシック"/>
          <w:szCs w:val="21"/>
        </w:rPr>
        <w:t>PKUもしくはDHPR欠損症では変化なし。BH</w:t>
      </w:r>
      <w:r w:rsidRPr="00E93F4A">
        <w:rPr>
          <w:rFonts w:ascii="ＭＳ Ｐゴシック" w:eastAsia="ＭＳ Ｐゴシック" w:hAnsi="ＭＳ Ｐゴシック"/>
          <w:szCs w:val="21"/>
          <w:vertAlign w:val="subscript"/>
        </w:rPr>
        <w:t>4</w:t>
      </w:r>
      <w:r w:rsidRPr="00E93F4A">
        <w:rPr>
          <w:rFonts w:ascii="ＭＳ Ｐゴシック" w:eastAsia="ＭＳ Ｐゴシック" w:hAnsi="ＭＳ Ｐゴシック" w:hint="eastAsia"/>
          <w:szCs w:val="21"/>
        </w:rPr>
        <w:t>欠損症（</w:t>
      </w:r>
      <w:r w:rsidRPr="00E93F4A">
        <w:rPr>
          <w:rFonts w:ascii="ＭＳ Ｐゴシック" w:eastAsia="ＭＳ Ｐゴシック" w:hAnsi="ＭＳ Ｐゴシック"/>
          <w:szCs w:val="21"/>
        </w:rPr>
        <w:t>DHPR欠損症を除く）で</w:t>
      </w:r>
      <w:r w:rsidR="00B63545" w:rsidRPr="00E93F4A">
        <w:rPr>
          <w:rFonts w:ascii="ＭＳ Ｐゴシック" w:eastAsia="ＭＳ Ｐゴシック" w:hAnsi="ＭＳ Ｐゴシック" w:hint="eastAsia"/>
          <w:szCs w:val="21"/>
        </w:rPr>
        <w:t>は</w:t>
      </w:r>
      <w:r w:rsidRPr="00E93F4A">
        <w:rPr>
          <w:rFonts w:ascii="ＭＳ Ｐゴシック" w:eastAsia="ＭＳ Ｐゴシック" w:hAnsi="ＭＳ Ｐゴシック" w:hint="eastAsia"/>
          <w:szCs w:val="21"/>
        </w:rPr>
        <w:t>血中</w:t>
      </w:r>
      <w:r w:rsidRPr="00E93F4A">
        <w:rPr>
          <w:rFonts w:ascii="ＭＳ Ｐゴシック" w:eastAsia="ＭＳ Ｐゴシック" w:hAnsi="ＭＳ Ｐゴシック"/>
          <w:szCs w:val="21"/>
        </w:rPr>
        <w:t>Phe</w:t>
      </w:r>
      <w:r w:rsidR="00B63545" w:rsidRPr="00E93F4A">
        <w:rPr>
          <w:rFonts w:ascii="ＭＳ Ｐゴシック" w:eastAsia="ＭＳ Ｐゴシック" w:hAnsi="ＭＳ Ｐゴシック" w:hint="eastAsia"/>
          <w:szCs w:val="21"/>
        </w:rPr>
        <w:t>値は</w:t>
      </w:r>
      <w:r w:rsidRPr="00E93F4A">
        <w:rPr>
          <w:rFonts w:ascii="ＭＳ Ｐゴシック" w:eastAsia="ＭＳ Ｐゴシック" w:hAnsi="ＭＳ Ｐゴシック" w:hint="eastAsia"/>
          <w:szCs w:val="21"/>
        </w:rPr>
        <w:t>正常化</w:t>
      </w:r>
      <w:r w:rsidR="002C67BB"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szCs w:val="21"/>
        </w:rPr>
        <w:t>BH</w:t>
      </w:r>
      <w:r w:rsidRPr="00E93F4A">
        <w:rPr>
          <w:rFonts w:ascii="ＭＳ Ｐゴシック" w:eastAsia="ＭＳ Ｐゴシック" w:hAnsi="ＭＳ Ｐゴシック"/>
          <w:szCs w:val="21"/>
          <w:vertAlign w:val="subscript"/>
        </w:rPr>
        <w:t>4</w:t>
      </w:r>
      <w:r w:rsidRPr="00E93F4A">
        <w:rPr>
          <w:rFonts w:ascii="ＭＳ Ｐゴシック" w:eastAsia="ＭＳ Ｐゴシック" w:hAnsi="ＭＳ Ｐゴシック" w:hint="eastAsia"/>
          <w:szCs w:val="21"/>
        </w:rPr>
        <w:t>反応性高</w:t>
      </w:r>
      <w:r w:rsidRPr="00E93F4A">
        <w:rPr>
          <w:rFonts w:ascii="ＭＳ Ｐゴシック" w:eastAsia="ＭＳ Ｐゴシック" w:hAnsi="ＭＳ Ｐゴシック"/>
          <w:szCs w:val="21"/>
        </w:rPr>
        <w:t>Phe</w:t>
      </w:r>
      <w:r w:rsidRPr="00E93F4A">
        <w:rPr>
          <w:rFonts w:ascii="ＭＳ Ｐゴシック" w:eastAsia="ＭＳ Ｐゴシック" w:hAnsi="ＭＳ Ｐゴシック" w:hint="eastAsia"/>
          <w:szCs w:val="21"/>
        </w:rPr>
        <w:t>血症で前値より</w:t>
      </w:r>
      <w:r w:rsidRPr="00E93F4A">
        <w:rPr>
          <w:rFonts w:ascii="ＭＳ Ｐゴシック" w:eastAsia="ＭＳ Ｐゴシック" w:hAnsi="ＭＳ Ｐゴシック"/>
          <w:szCs w:val="21"/>
        </w:rPr>
        <w:t>20</w:t>
      </w:r>
      <w:r w:rsidR="004749C9"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hint="eastAsia"/>
          <w:szCs w:val="21"/>
        </w:rPr>
        <w:t>以上低下。</w:t>
      </w:r>
    </w:p>
    <w:p w:rsidR="007A1C1F" w:rsidRPr="00DB6FCF" w:rsidRDefault="007A1C1F" w:rsidP="00E93F4A">
      <w:pPr>
        <w:rPr>
          <w:rFonts w:ascii="ＭＳ Ｐゴシック" w:eastAsia="ＭＳ Ｐゴシック" w:hAnsi="ＭＳ Ｐゴシック"/>
          <w:color w:val="000000" w:themeColor="text1"/>
          <w:szCs w:val="21"/>
        </w:rPr>
      </w:pPr>
      <w:r w:rsidRPr="00E93F4A">
        <w:rPr>
          <w:rFonts w:ascii="ＭＳ Ｐゴシック" w:eastAsia="ＭＳ Ｐゴシック" w:hAnsi="ＭＳ Ｐゴシック" w:hint="eastAsia"/>
          <w:szCs w:val="21"/>
        </w:rPr>
        <w:t>⑤遺伝子解析</w:t>
      </w:r>
      <w:r w:rsidR="004749C9"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szCs w:val="21"/>
        </w:rPr>
        <w:t xml:space="preserve"> </w:t>
      </w:r>
      <w:r w:rsidRPr="00E93F4A">
        <w:rPr>
          <w:rFonts w:ascii="ＭＳ Ｐゴシック" w:eastAsia="ＭＳ Ｐゴシック" w:hAnsi="ＭＳ Ｐゴシック"/>
          <w:i/>
          <w:szCs w:val="21"/>
        </w:rPr>
        <w:t>PAH</w:t>
      </w:r>
      <w:r w:rsidRPr="00E93F4A">
        <w:rPr>
          <w:rFonts w:ascii="ＭＳ Ｐゴシック" w:eastAsia="ＭＳ Ｐゴシック" w:hAnsi="ＭＳ Ｐゴシック" w:hint="eastAsia"/>
          <w:szCs w:val="21"/>
        </w:rPr>
        <w:t>遺伝子などの責任遺伝子において</w:t>
      </w:r>
      <w:r w:rsidR="004749C9" w:rsidRPr="00E93F4A">
        <w:rPr>
          <w:rFonts w:ascii="ＭＳ Ｐゴシック" w:eastAsia="ＭＳ Ｐゴシック" w:hAnsi="ＭＳ Ｐゴシック" w:hint="eastAsia"/>
          <w:szCs w:val="21"/>
        </w:rPr>
        <w:t>２</w:t>
      </w:r>
      <w:r w:rsidRPr="00E93F4A">
        <w:rPr>
          <w:rFonts w:ascii="ＭＳ Ｐゴシック" w:eastAsia="ＭＳ Ｐゴシック" w:hAnsi="ＭＳ Ｐゴシック" w:hint="eastAsia"/>
          <w:szCs w:val="21"/>
        </w:rPr>
        <w:t>アレルに病因となる変異が同定され</w:t>
      </w:r>
      <w:r w:rsidRPr="00DB6FCF">
        <w:rPr>
          <w:rFonts w:ascii="ＭＳ Ｐゴシック" w:eastAsia="ＭＳ Ｐゴシック" w:hAnsi="ＭＳ Ｐゴシック" w:hint="eastAsia"/>
          <w:color w:val="000000" w:themeColor="text1"/>
          <w:szCs w:val="21"/>
        </w:rPr>
        <w:t>ること。</w:t>
      </w:r>
    </w:p>
    <w:p w:rsidR="004749C9" w:rsidRPr="00DB6FCF" w:rsidRDefault="004749C9" w:rsidP="00E93F4A">
      <w:pPr>
        <w:rPr>
          <w:rFonts w:ascii="ＭＳ Ｐゴシック" w:eastAsia="ＭＳ Ｐゴシック" w:hAnsi="ＭＳ Ｐゴシック"/>
          <w:color w:val="000000" w:themeColor="text1"/>
          <w:szCs w:val="21"/>
        </w:rPr>
      </w:pPr>
    </w:p>
    <w:p w:rsidR="007B5E1C" w:rsidRDefault="007B5E1C" w:rsidP="007B5E1C">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rsidR="003F0556" w:rsidRPr="00DB6FCF" w:rsidRDefault="007A1C1F" w:rsidP="00E93F4A">
      <w:pPr>
        <w:ind w:firstLineChars="100" w:firstLine="210"/>
        <w:rPr>
          <w:rFonts w:ascii="ＭＳ Ｐゴシック" w:eastAsia="ＭＳ Ｐゴシック" w:hAnsi="ＭＳ Ｐゴシック"/>
          <w:color w:val="000000" w:themeColor="text1"/>
          <w:szCs w:val="21"/>
        </w:rPr>
      </w:pPr>
      <w:r w:rsidRPr="00DB6FCF">
        <w:rPr>
          <w:rFonts w:ascii="ＭＳ Ｐゴシック" w:eastAsia="ＭＳ Ｐゴシック" w:hAnsi="ＭＳ Ｐゴシック" w:hint="eastAsia"/>
          <w:color w:val="000000" w:themeColor="text1"/>
          <w:szCs w:val="21"/>
        </w:rPr>
        <w:t>診断の根拠となる①を認めるものを生化学診断例とし、②③を</w:t>
      </w:r>
      <w:r w:rsidR="009E3428" w:rsidRPr="00E93F4A">
        <w:rPr>
          <w:rFonts w:ascii="ＭＳ Ｐゴシック" w:eastAsia="ＭＳ Ｐゴシック" w:hAnsi="ＭＳ Ｐゴシック" w:hint="eastAsia"/>
          <w:szCs w:val="21"/>
        </w:rPr>
        <w:t>実施</w:t>
      </w:r>
      <w:r w:rsidRPr="00E93F4A">
        <w:rPr>
          <w:rFonts w:ascii="ＭＳ Ｐゴシック" w:eastAsia="ＭＳ Ｐゴシック" w:hAnsi="ＭＳ Ｐゴシック" w:hint="eastAsia"/>
          <w:szCs w:val="21"/>
        </w:rPr>
        <w:t>し（必要に応じて④⑤を</w:t>
      </w:r>
      <w:r w:rsidR="009E3428" w:rsidRPr="00E93F4A">
        <w:rPr>
          <w:rFonts w:ascii="ＭＳ Ｐゴシック" w:eastAsia="ＭＳ Ｐゴシック" w:hAnsi="ＭＳ Ｐゴシック" w:hint="eastAsia"/>
          <w:szCs w:val="21"/>
        </w:rPr>
        <w:t>実施</w:t>
      </w:r>
      <w:r w:rsidRPr="00E93F4A">
        <w:rPr>
          <w:rFonts w:ascii="ＭＳ Ｐゴシック" w:eastAsia="ＭＳ Ｐゴシック" w:hAnsi="ＭＳ Ｐゴシック" w:hint="eastAsia"/>
          <w:szCs w:val="21"/>
        </w:rPr>
        <w:t>）、</w:t>
      </w:r>
      <w:r w:rsidRPr="00E93F4A">
        <w:rPr>
          <w:rFonts w:ascii="ＭＳ Ｐゴシック" w:eastAsia="ＭＳ Ｐゴシック" w:hAnsi="ＭＳ Ｐゴシック"/>
          <w:szCs w:val="21"/>
        </w:rPr>
        <w:t>PAH欠損症、BH</w:t>
      </w:r>
      <w:r w:rsidRPr="00E93F4A">
        <w:rPr>
          <w:rFonts w:ascii="ＭＳ Ｐゴシック" w:eastAsia="ＭＳ Ｐゴシック" w:hAnsi="ＭＳ Ｐゴシック"/>
          <w:szCs w:val="21"/>
          <w:vertAlign w:val="subscript"/>
        </w:rPr>
        <w:t>4</w:t>
      </w:r>
      <w:r w:rsidRPr="00E93F4A">
        <w:rPr>
          <w:rFonts w:ascii="ＭＳ Ｐゴシック" w:eastAsia="ＭＳ Ｐゴシック" w:hAnsi="ＭＳ Ｐゴシック" w:hint="eastAsia"/>
          <w:szCs w:val="21"/>
        </w:rPr>
        <w:t>欠損症、</w:t>
      </w:r>
      <w:r w:rsidRPr="00E93F4A">
        <w:rPr>
          <w:rFonts w:ascii="ＭＳ Ｐゴシック" w:eastAsia="ＭＳ Ｐゴシック" w:hAnsi="ＭＳ Ｐゴシック"/>
          <w:szCs w:val="21"/>
        </w:rPr>
        <w:t>BH</w:t>
      </w:r>
      <w:r w:rsidRPr="00E93F4A">
        <w:rPr>
          <w:rFonts w:ascii="ＭＳ Ｐゴシック" w:eastAsia="ＭＳ Ｐゴシック" w:hAnsi="ＭＳ Ｐゴシック"/>
          <w:szCs w:val="21"/>
          <w:vertAlign w:val="subscript"/>
        </w:rPr>
        <w:t>4</w:t>
      </w:r>
      <w:r w:rsidRPr="00E93F4A">
        <w:rPr>
          <w:rFonts w:ascii="ＭＳ Ｐゴシック" w:eastAsia="ＭＳ Ｐゴシック" w:hAnsi="ＭＳ Ｐゴシック" w:hint="eastAsia"/>
          <w:szCs w:val="21"/>
        </w:rPr>
        <w:t>反応性高</w:t>
      </w:r>
      <w:r w:rsidRPr="00E93F4A">
        <w:rPr>
          <w:rFonts w:ascii="ＭＳ Ｐゴシック" w:eastAsia="ＭＳ Ｐゴシック" w:hAnsi="ＭＳ Ｐゴシック"/>
          <w:szCs w:val="21"/>
        </w:rPr>
        <w:t>Phe</w:t>
      </w:r>
      <w:r w:rsidRPr="00E93F4A">
        <w:rPr>
          <w:rFonts w:ascii="ＭＳ Ｐゴシック" w:eastAsia="ＭＳ Ｐゴシック" w:hAnsi="ＭＳ Ｐゴシック" w:hint="eastAsia"/>
          <w:szCs w:val="21"/>
        </w:rPr>
        <w:t>血症のいずれかに病型分類できたものを</w:t>
      </w:r>
      <w:r w:rsidR="004749C9" w:rsidRPr="00E93F4A">
        <w:rPr>
          <w:rFonts w:ascii="ＭＳ Ｐゴシック" w:eastAsia="ＭＳ Ｐゴシック" w:hAnsi="ＭＳ Ｐゴシック"/>
          <w:szCs w:val="21"/>
        </w:rPr>
        <w:t>Definite</w:t>
      </w:r>
      <w:r w:rsidRPr="00E93F4A">
        <w:rPr>
          <w:rFonts w:ascii="ＭＳ Ｐゴシック" w:eastAsia="ＭＳ Ｐゴシック" w:hAnsi="ＭＳ Ｐゴシック" w:hint="eastAsia"/>
          <w:szCs w:val="21"/>
        </w:rPr>
        <w:t>とする。</w:t>
      </w:r>
      <w:r w:rsidRPr="00E93F4A">
        <w:rPr>
          <w:rFonts w:ascii="ＭＳ Ｐゴシック" w:eastAsia="ＭＳ Ｐゴシック" w:hAnsi="ＭＳ Ｐゴシック"/>
          <w:szCs w:val="21"/>
        </w:rPr>
        <w:t>BH</w:t>
      </w:r>
      <w:r w:rsidRPr="00E93F4A">
        <w:rPr>
          <w:rFonts w:ascii="ＭＳ Ｐゴシック" w:eastAsia="ＭＳ Ｐゴシック" w:hAnsi="ＭＳ Ｐゴシック"/>
          <w:szCs w:val="21"/>
          <w:vertAlign w:val="subscript"/>
        </w:rPr>
        <w:t>4</w:t>
      </w:r>
      <w:r w:rsidRPr="00E93F4A">
        <w:rPr>
          <w:rFonts w:ascii="ＭＳ Ｐゴシック" w:eastAsia="ＭＳ Ｐゴシック" w:hAnsi="ＭＳ Ｐゴシック" w:hint="eastAsia"/>
          <w:szCs w:val="21"/>
        </w:rPr>
        <w:t>反応性高</w:t>
      </w:r>
      <w:r w:rsidRPr="00E93F4A">
        <w:rPr>
          <w:rFonts w:ascii="ＭＳ Ｐゴシック" w:eastAsia="ＭＳ Ｐゴシック" w:hAnsi="ＭＳ Ｐゴシック"/>
          <w:szCs w:val="21"/>
        </w:rPr>
        <w:t>Phe</w:t>
      </w:r>
      <w:r w:rsidRPr="00E93F4A">
        <w:rPr>
          <w:rFonts w:ascii="ＭＳ Ｐゴシック" w:eastAsia="ＭＳ Ｐゴシック" w:hAnsi="ＭＳ Ｐゴシック" w:hint="eastAsia"/>
          <w:szCs w:val="21"/>
        </w:rPr>
        <w:t>血症の診断の確認のために、特殊検査④に加えて、乳児期後半に</w:t>
      </w:r>
      <w:r w:rsidRPr="00E93F4A">
        <w:rPr>
          <w:rFonts w:ascii="ＭＳ Ｐゴシック" w:eastAsia="ＭＳ Ｐゴシック" w:hAnsi="ＭＳ Ｐゴシック"/>
          <w:szCs w:val="21"/>
        </w:rPr>
        <w:t>BH</w:t>
      </w:r>
      <w:r w:rsidRPr="00E93F4A">
        <w:rPr>
          <w:rFonts w:ascii="ＭＳ Ｐゴシック" w:eastAsia="ＭＳ Ｐゴシック" w:hAnsi="ＭＳ Ｐゴシック"/>
          <w:szCs w:val="21"/>
          <w:vertAlign w:val="subscript"/>
        </w:rPr>
        <w:t>4</w:t>
      </w:r>
      <w:r w:rsidRPr="00E93F4A">
        <w:rPr>
          <w:rFonts w:ascii="ＭＳ Ｐゴシック" w:eastAsia="ＭＳ Ｐゴシック" w:hAnsi="ＭＳ Ｐゴシック" w:hint="eastAsia"/>
          <w:szCs w:val="21"/>
        </w:rPr>
        <w:t>・１週間投与</w:t>
      </w:r>
      <w:r w:rsidRPr="00DB6FCF">
        <w:rPr>
          <w:rFonts w:ascii="ＭＳ Ｐゴシック" w:eastAsia="ＭＳ Ｐゴシック" w:hAnsi="ＭＳ Ｐゴシック" w:hint="eastAsia"/>
          <w:color w:val="000000" w:themeColor="text1"/>
          <w:szCs w:val="21"/>
        </w:rPr>
        <w:t>試験にて血中Phe</w:t>
      </w:r>
      <w:r w:rsidR="00B63545">
        <w:rPr>
          <w:rFonts w:ascii="ＭＳ Ｐゴシック" w:eastAsia="ＭＳ Ｐゴシック" w:hAnsi="ＭＳ Ｐゴシック" w:hint="eastAsia"/>
          <w:color w:val="000000" w:themeColor="text1"/>
          <w:szCs w:val="21"/>
        </w:rPr>
        <w:t>値が投与前より</w:t>
      </w:r>
      <w:r w:rsidRPr="00DB6FCF">
        <w:rPr>
          <w:rFonts w:ascii="ＭＳ Ｐゴシック" w:eastAsia="ＭＳ Ｐゴシック" w:hAnsi="ＭＳ Ｐゴシック" w:hint="eastAsia"/>
          <w:color w:val="000000" w:themeColor="text1"/>
          <w:szCs w:val="21"/>
        </w:rPr>
        <w:t>30</w:t>
      </w:r>
      <w:r w:rsidR="00B66506">
        <w:rPr>
          <w:rFonts w:ascii="ＭＳ Ｐゴシック" w:eastAsia="ＭＳ Ｐゴシック" w:hAnsi="ＭＳ Ｐゴシック" w:hint="eastAsia"/>
          <w:color w:val="000000" w:themeColor="text1"/>
          <w:szCs w:val="21"/>
        </w:rPr>
        <w:t>％</w:t>
      </w:r>
      <w:r w:rsidRPr="00DB6FCF">
        <w:rPr>
          <w:rFonts w:ascii="ＭＳ Ｐゴシック" w:eastAsia="ＭＳ Ｐゴシック" w:hAnsi="ＭＳ Ｐゴシック" w:hint="eastAsia"/>
          <w:color w:val="000000" w:themeColor="text1"/>
          <w:szCs w:val="21"/>
        </w:rPr>
        <w:t>以上の低下を確認することが望ましい。</w:t>
      </w:r>
    </w:p>
    <w:p w:rsidR="003F0556" w:rsidRPr="00DB6FCF" w:rsidRDefault="003F0556" w:rsidP="00E93F4A">
      <w:pPr>
        <w:rPr>
          <w:rFonts w:ascii="ＭＳ Ｐゴシック" w:eastAsia="ＭＳ Ｐゴシック" w:hAnsi="ＭＳ Ｐゴシック"/>
          <w:szCs w:val="21"/>
        </w:rPr>
      </w:pPr>
    </w:p>
    <w:p w:rsidR="00DB6FCF" w:rsidRDefault="00DB6FCF" w:rsidP="00010DE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F0556" w:rsidRPr="00DB6FCF" w:rsidRDefault="003F0556" w:rsidP="00B56739">
      <w:pPr>
        <w:spacing w:line="300" w:lineRule="exact"/>
        <w:rPr>
          <w:rFonts w:ascii="ＭＳ Ｐゴシック" w:eastAsia="ＭＳ Ｐゴシック" w:hAnsi="ＭＳ Ｐゴシック"/>
          <w:szCs w:val="21"/>
        </w:rPr>
      </w:pPr>
      <w:r w:rsidRPr="00DB6FCF">
        <w:rPr>
          <w:rFonts w:ascii="ＭＳ Ｐゴシック" w:eastAsia="ＭＳ Ｐゴシック" w:hAnsi="ＭＳ Ｐゴシック" w:hint="eastAsia"/>
          <w:szCs w:val="21"/>
        </w:rPr>
        <w:lastRenderedPageBreak/>
        <w:t>＜重症度分類＞</w:t>
      </w:r>
    </w:p>
    <w:p w:rsidR="00086980" w:rsidRDefault="00086980" w:rsidP="00086980">
      <w:pPr>
        <w:jc w:val="left"/>
        <w:rPr>
          <w:rFonts w:ascii="ＭＳ Ｐゴシック" w:eastAsia="ＭＳ Ｐゴシック" w:hAnsi="ＭＳ Ｐゴシック"/>
          <w:kern w:val="0"/>
          <w:sz w:val="20"/>
        </w:rPr>
      </w:pPr>
      <w:r>
        <w:rPr>
          <w:rFonts w:ascii="ＭＳ Ｐゴシック" w:eastAsia="ＭＳ Ｐゴシック" w:hAnsi="ＭＳ Ｐゴシック" w:hint="eastAsia"/>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F24EC5" w:rsidTr="00AA06BA">
        <w:trPr>
          <w:trHeight w:val="465"/>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eastAsia="Times New Roman" w:cs="ＭＳ Ｐゴシック"/>
              </w:rPr>
            </w:pPr>
          </w:p>
        </w:tc>
        <w:tc>
          <w:tcPr>
            <w:tcW w:w="1070" w:type="dxa"/>
            <w:noWrap/>
            <w:hideMark/>
          </w:tcPr>
          <w:p w:rsidR="00F24EC5" w:rsidRPr="008B0127" w:rsidRDefault="00F24EC5" w:rsidP="00AA06BA">
            <w:pPr>
              <w:widowControl/>
              <w:jc w:val="left"/>
              <w:rPr>
                <w:rFonts w:cs="ＭＳ Ｐゴシック"/>
              </w:rPr>
            </w:pPr>
            <w:r>
              <w:rPr>
                <w:rFonts w:cs="ＭＳ Ｐゴシック" w:hint="eastAsia"/>
              </w:rPr>
              <w:t>点数</w:t>
            </w:r>
          </w:p>
        </w:tc>
      </w:tr>
      <w:tr w:rsidR="00F24EC5" w:rsidTr="00AA06BA">
        <w:trPr>
          <w:trHeight w:val="270"/>
        </w:trPr>
        <w:tc>
          <w:tcPr>
            <w:tcW w:w="582"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E775A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eastAsia="Times New Roman" w:cs="ＭＳ Ｐゴシック"/>
              </w:rPr>
            </w:pP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E775A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eastAsia="Times New Roman" w:cs="ＭＳ Ｐゴシック"/>
              </w:rPr>
            </w:pP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eastAsia="Times New Roman" w:cs="ＭＳ Ｐゴシック"/>
              </w:rPr>
            </w:pP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eastAsia="Times New Roman" w:cs="ＭＳ Ｐゴシック"/>
              </w:rPr>
            </w:pP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24EC5" w:rsidTr="00AA06BA">
        <w:trPr>
          <w:trHeight w:val="51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F24EC5" w:rsidTr="00AA06BA">
        <w:trPr>
          <w:trHeight w:val="51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F24EC5" w:rsidTr="00AA06BA">
        <w:trPr>
          <w:trHeight w:val="51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24EC5" w:rsidTr="00AA06BA">
        <w:trPr>
          <w:trHeight w:val="270"/>
        </w:trPr>
        <w:tc>
          <w:tcPr>
            <w:tcW w:w="582"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eastAsia="Times New Roman" w:cs="ＭＳ Ｐゴシック"/>
              </w:rPr>
            </w:pP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eastAsia="Times New Roman" w:cs="ＭＳ Ｐゴシック"/>
              </w:rPr>
            </w:pP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85"/>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F24EC5">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F24EC5">
              <w:rPr>
                <w:rFonts w:ascii="ＭＳ Ｐゴシック" w:eastAsia="ＭＳ Ｐゴシック" w:hAnsi="ＭＳ Ｐゴシック" w:hint="eastAsia"/>
                <w:kern w:val="0"/>
                <w:sz w:val="20"/>
              </w:rPr>
              <w:t>までの各評価及び総点</w:t>
            </w:r>
            <w:r w:rsidR="00F110AD">
              <w:rPr>
                <w:rFonts w:ascii="ＭＳ Ｐゴシック" w:eastAsia="ＭＳ Ｐゴシック" w:hAnsi="ＭＳ Ｐゴシック" w:hint="eastAsia"/>
                <w:kern w:val="0"/>
                <w:sz w:val="20"/>
              </w:rPr>
              <w:t>数</w:t>
            </w:r>
            <w:r w:rsidR="00F24EC5">
              <w:rPr>
                <w:rFonts w:ascii="ＭＳ Ｐゴシック" w:eastAsia="ＭＳ Ｐゴシック" w:hAnsi="ＭＳ Ｐゴシック" w:hint="eastAsia"/>
                <w:kern w:val="0"/>
                <w:sz w:val="20"/>
              </w:rPr>
              <w:t>をもとに最終評価を決定する。</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C57EB4">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C57EB4">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C57EB4">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F24EC5" w:rsidTr="00E93F4A">
        <w:trPr>
          <w:trHeight w:val="293"/>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eastAsia="Times New Roman" w:cs="ＭＳ Ｐゴシック"/>
              </w:rPr>
            </w:pP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F24EC5" w:rsidP="00AA06BA">
            <w:pPr>
              <w:widowControl/>
              <w:jc w:val="left"/>
              <w:rPr>
                <w:rFonts w:eastAsia="Times New Roman" w:cs="ＭＳ Ｐゴシック"/>
              </w:rPr>
            </w:pP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F24EC5" w:rsidRDefault="00F24EC5"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F24EC5" w:rsidRDefault="00F24EC5" w:rsidP="00AA06BA">
            <w:pPr>
              <w:widowControl/>
              <w:jc w:val="left"/>
              <w:rPr>
                <w:rFonts w:eastAsia="Times New Roman" w:cs="ＭＳ Ｐゴシック"/>
              </w:rPr>
            </w:pPr>
          </w:p>
        </w:tc>
      </w:tr>
      <w:tr w:rsidR="00F24EC5" w:rsidTr="00AA06BA">
        <w:trPr>
          <w:trHeight w:val="270"/>
        </w:trPr>
        <w:tc>
          <w:tcPr>
            <w:tcW w:w="582" w:type="dxa"/>
            <w:noWrap/>
            <w:hideMark/>
          </w:tcPr>
          <w:p w:rsidR="00F24EC5" w:rsidRDefault="00F24EC5" w:rsidP="00AA06BA">
            <w:pPr>
              <w:widowControl/>
              <w:jc w:val="left"/>
              <w:rPr>
                <w:rFonts w:eastAsia="Times New Roman" w:cs="ＭＳ Ｐゴシック"/>
              </w:rPr>
            </w:pPr>
          </w:p>
        </w:tc>
        <w:tc>
          <w:tcPr>
            <w:tcW w:w="426" w:type="dxa"/>
            <w:noWrap/>
            <w:hideMark/>
          </w:tcPr>
          <w:p w:rsidR="00F24EC5" w:rsidRDefault="00C57EB4"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F24EC5" w:rsidRDefault="00F24EC5"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F24EC5" w:rsidRDefault="00F24EC5" w:rsidP="00AA06BA">
            <w:pPr>
              <w:widowControl/>
              <w:jc w:val="left"/>
              <w:rPr>
                <w:rFonts w:eastAsia="Times New Roman" w:cs="ＭＳ Ｐゴシック"/>
              </w:rPr>
            </w:pPr>
          </w:p>
        </w:tc>
      </w:tr>
    </w:tbl>
    <w:p w:rsidR="003F0556" w:rsidRPr="00F24EC5" w:rsidRDefault="003F0556" w:rsidP="00E23E2A">
      <w:pPr>
        <w:spacing w:line="300" w:lineRule="exact"/>
        <w:rPr>
          <w:rFonts w:ascii="ＭＳ ゴシック" w:hAnsi="ＭＳ ゴシック"/>
          <w:szCs w:val="21"/>
        </w:rPr>
      </w:pPr>
    </w:p>
    <w:p w:rsidR="002E127C" w:rsidRDefault="002E127C" w:rsidP="002E127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2E127C" w:rsidRDefault="002E127C" w:rsidP="002E127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819A4">
        <w:rPr>
          <w:rFonts w:asciiTheme="minorEastAsia" w:hAnsiTheme="minorEastAsia" w:hint="eastAsia"/>
          <w:szCs w:val="21"/>
        </w:rPr>
        <w:t>。</w:t>
      </w:r>
      <w:r>
        <w:rPr>
          <w:rFonts w:asciiTheme="minorEastAsia" w:hAnsiTheme="minorEastAsia" w:hint="eastAsia"/>
          <w:szCs w:val="21"/>
        </w:rPr>
        <w:t>）</w:t>
      </w:r>
      <w:r w:rsidR="00487BDD">
        <w:rPr>
          <w:rFonts w:asciiTheme="minorEastAsia" w:hAnsiTheme="minorEastAsia" w:hint="eastAsia"/>
          <w:szCs w:val="21"/>
        </w:rPr>
        <w:t>。</w:t>
      </w:r>
    </w:p>
    <w:p w:rsidR="002E127C" w:rsidRDefault="002E127C" w:rsidP="002E127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819A4" w:rsidRPr="00D819A4">
        <w:rPr>
          <w:rFonts w:asciiTheme="minorEastAsia" w:hAnsiTheme="minorEastAsia" w:hint="eastAsia"/>
          <w:szCs w:val="21"/>
        </w:rPr>
        <w:t>あって</w:t>
      </w:r>
      <w:r>
        <w:rPr>
          <w:rFonts w:asciiTheme="minorEastAsia" w:hAnsiTheme="minorEastAsia" w:hint="eastAsia"/>
          <w:szCs w:val="21"/>
        </w:rPr>
        <w:t>、直近６</w:t>
      </w:r>
      <w:r w:rsidR="00B66506">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2E127C" w:rsidRDefault="002E127C" w:rsidP="002E127C">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D819A4">
        <w:rPr>
          <w:rFonts w:hint="eastAsia"/>
          <w:kern w:val="0"/>
          <w:szCs w:val="21"/>
        </w:rPr>
        <w:t>もの</w:t>
      </w:r>
      <w:r>
        <w:rPr>
          <w:rFonts w:hint="eastAsia"/>
          <w:kern w:val="0"/>
          <w:szCs w:val="21"/>
        </w:rPr>
        <w:t>については、医療費助成の対象とする。</w:t>
      </w:r>
    </w:p>
    <w:p w:rsidR="003755BD" w:rsidRPr="002E127C" w:rsidRDefault="003755BD" w:rsidP="00E23E2A">
      <w:pPr>
        <w:overflowPunct w:val="0"/>
        <w:spacing w:line="300" w:lineRule="exact"/>
        <w:textAlignment w:val="baseline"/>
        <w:rPr>
          <w:rFonts w:ascii="ＭＳ ゴシック" w:hAnsi="ＭＳ ゴシック"/>
          <w:szCs w:val="21"/>
        </w:rPr>
      </w:pPr>
    </w:p>
    <w:sectPr w:rsidR="003755BD" w:rsidRPr="002E127C"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B31" w:rsidRDefault="00A63B31" w:rsidP="005C0141">
      <w:r>
        <w:separator/>
      </w:r>
    </w:p>
  </w:endnote>
  <w:endnote w:type="continuationSeparator" w:id="0">
    <w:p w:rsidR="00A63B31" w:rsidRDefault="00A63B31"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B31" w:rsidRDefault="00A63B31" w:rsidP="005C0141">
      <w:r>
        <w:separator/>
      </w:r>
    </w:p>
  </w:footnote>
  <w:footnote w:type="continuationSeparator" w:id="0">
    <w:p w:rsidR="00A63B31" w:rsidRDefault="00A63B31"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355300D"/>
    <w:multiLevelType w:val="hybridMultilevel"/>
    <w:tmpl w:val="816EC0AC"/>
    <w:lvl w:ilvl="0" w:tplc="9D3EBF5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B3A4526"/>
    <w:multiLevelType w:val="hybridMultilevel"/>
    <w:tmpl w:val="B518F758"/>
    <w:lvl w:ilvl="0" w:tplc="D35AA1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8DA651D"/>
    <w:multiLevelType w:val="hybridMultilevel"/>
    <w:tmpl w:val="613464BC"/>
    <w:lvl w:ilvl="0" w:tplc="A2C29C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E0C70D4"/>
    <w:multiLevelType w:val="hybridMultilevel"/>
    <w:tmpl w:val="66AE7C46"/>
    <w:lvl w:ilvl="0" w:tplc="9740F76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10"/>
  </w:num>
  <w:num w:numId="5">
    <w:abstractNumId w:val="0"/>
  </w:num>
  <w:num w:numId="6">
    <w:abstractNumId w:val="4"/>
  </w:num>
  <w:num w:numId="7">
    <w:abstractNumId w:val="5"/>
  </w:num>
  <w:num w:numId="8">
    <w:abstractNumId w:val="1"/>
  </w:num>
  <w:num w:numId="9">
    <w:abstractNumId w:val="9"/>
  </w:num>
  <w:num w:numId="10">
    <w:abstractNumId w:val="3"/>
  </w:num>
  <w:num w:numId="11">
    <w:abstractNumId w:val="8"/>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73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0DEE"/>
    <w:rsid w:val="00026BD2"/>
    <w:rsid w:val="0003604C"/>
    <w:rsid w:val="00052C64"/>
    <w:rsid w:val="0005720E"/>
    <w:rsid w:val="00057D0A"/>
    <w:rsid w:val="00064133"/>
    <w:rsid w:val="00086980"/>
    <w:rsid w:val="000955F1"/>
    <w:rsid w:val="000B47D6"/>
    <w:rsid w:val="000E6FC6"/>
    <w:rsid w:val="000F7358"/>
    <w:rsid w:val="0010295C"/>
    <w:rsid w:val="00134ECA"/>
    <w:rsid w:val="00137F5B"/>
    <w:rsid w:val="00153894"/>
    <w:rsid w:val="001676A2"/>
    <w:rsid w:val="001A0B38"/>
    <w:rsid w:val="001D59F4"/>
    <w:rsid w:val="001E3FB5"/>
    <w:rsid w:val="002160C3"/>
    <w:rsid w:val="00234CF0"/>
    <w:rsid w:val="002514D1"/>
    <w:rsid w:val="00256A2A"/>
    <w:rsid w:val="00281133"/>
    <w:rsid w:val="002A1739"/>
    <w:rsid w:val="002B1564"/>
    <w:rsid w:val="002B7DAA"/>
    <w:rsid w:val="002C000C"/>
    <w:rsid w:val="002C0CAE"/>
    <w:rsid w:val="002C67BB"/>
    <w:rsid w:val="002D5610"/>
    <w:rsid w:val="002E127C"/>
    <w:rsid w:val="00307DA3"/>
    <w:rsid w:val="0032737B"/>
    <w:rsid w:val="00334A15"/>
    <w:rsid w:val="00350417"/>
    <w:rsid w:val="00353128"/>
    <w:rsid w:val="0036545E"/>
    <w:rsid w:val="003755BD"/>
    <w:rsid w:val="00377D88"/>
    <w:rsid w:val="003834A3"/>
    <w:rsid w:val="003E1B96"/>
    <w:rsid w:val="003E3A5E"/>
    <w:rsid w:val="003F0556"/>
    <w:rsid w:val="003F35DB"/>
    <w:rsid w:val="003F5DDF"/>
    <w:rsid w:val="00401FD2"/>
    <w:rsid w:val="004227BE"/>
    <w:rsid w:val="004337D3"/>
    <w:rsid w:val="004749C9"/>
    <w:rsid w:val="00484814"/>
    <w:rsid w:val="00487BDD"/>
    <w:rsid w:val="004A1E3F"/>
    <w:rsid w:val="004D2C37"/>
    <w:rsid w:val="004F3191"/>
    <w:rsid w:val="005008AF"/>
    <w:rsid w:val="00544105"/>
    <w:rsid w:val="005449C2"/>
    <w:rsid w:val="005472C3"/>
    <w:rsid w:val="00554573"/>
    <w:rsid w:val="005625B8"/>
    <w:rsid w:val="00565952"/>
    <w:rsid w:val="005934B8"/>
    <w:rsid w:val="005C0141"/>
    <w:rsid w:val="00613421"/>
    <w:rsid w:val="00614936"/>
    <w:rsid w:val="006176D9"/>
    <w:rsid w:val="00617725"/>
    <w:rsid w:val="0063044F"/>
    <w:rsid w:val="006A0552"/>
    <w:rsid w:val="006A164D"/>
    <w:rsid w:val="006A72D2"/>
    <w:rsid w:val="006B7288"/>
    <w:rsid w:val="006B7978"/>
    <w:rsid w:val="006C4678"/>
    <w:rsid w:val="006C5EA7"/>
    <w:rsid w:val="006E4E0A"/>
    <w:rsid w:val="007136CF"/>
    <w:rsid w:val="0072416A"/>
    <w:rsid w:val="00724FB7"/>
    <w:rsid w:val="007414C9"/>
    <w:rsid w:val="0074777A"/>
    <w:rsid w:val="00750061"/>
    <w:rsid w:val="00754E61"/>
    <w:rsid w:val="007559F1"/>
    <w:rsid w:val="007639DC"/>
    <w:rsid w:val="00771659"/>
    <w:rsid w:val="007A1C1F"/>
    <w:rsid w:val="007B5E1C"/>
    <w:rsid w:val="007E4A30"/>
    <w:rsid w:val="007F1C0B"/>
    <w:rsid w:val="008B7208"/>
    <w:rsid w:val="008C12C4"/>
    <w:rsid w:val="008C3972"/>
    <w:rsid w:val="008F4079"/>
    <w:rsid w:val="0091373E"/>
    <w:rsid w:val="00914A9B"/>
    <w:rsid w:val="00923FD1"/>
    <w:rsid w:val="00924ABA"/>
    <w:rsid w:val="009261C9"/>
    <w:rsid w:val="009508E8"/>
    <w:rsid w:val="009566E9"/>
    <w:rsid w:val="00964923"/>
    <w:rsid w:val="00965C69"/>
    <w:rsid w:val="00983AC3"/>
    <w:rsid w:val="00986190"/>
    <w:rsid w:val="009A0C7E"/>
    <w:rsid w:val="009C3E7F"/>
    <w:rsid w:val="009E3428"/>
    <w:rsid w:val="00A277B1"/>
    <w:rsid w:val="00A43DC4"/>
    <w:rsid w:val="00A63B31"/>
    <w:rsid w:val="00A776B4"/>
    <w:rsid w:val="00AA25D5"/>
    <w:rsid w:val="00AD71E0"/>
    <w:rsid w:val="00AE52B5"/>
    <w:rsid w:val="00AF1F4D"/>
    <w:rsid w:val="00B44571"/>
    <w:rsid w:val="00B55205"/>
    <w:rsid w:val="00B56131"/>
    <w:rsid w:val="00B56739"/>
    <w:rsid w:val="00B6321F"/>
    <w:rsid w:val="00B63545"/>
    <w:rsid w:val="00B66506"/>
    <w:rsid w:val="00B76755"/>
    <w:rsid w:val="00B84BBC"/>
    <w:rsid w:val="00BB731C"/>
    <w:rsid w:val="00C07B41"/>
    <w:rsid w:val="00C31EA1"/>
    <w:rsid w:val="00C335CF"/>
    <w:rsid w:val="00C57EB4"/>
    <w:rsid w:val="00C6258D"/>
    <w:rsid w:val="00C7489E"/>
    <w:rsid w:val="00C8319B"/>
    <w:rsid w:val="00CC64BB"/>
    <w:rsid w:val="00CC7964"/>
    <w:rsid w:val="00CD1578"/>
    <w:rsid w:val="00CF2D66"/>
    <w:rsid w:val="00CF5681"/>
    <w:rsid w:val="00CF7464"/>
    <w:rsid w:val="00D029BD"/>
    <w:rsid w:val="00D078D2"/>
    <w:rsid w:val="00D23FD9"/>
    <w:rsid w:val="00D25D5F"/>
    <w:rsid w:val="00D31133"/>
    <w:rsid w:val="00D44BEF"/>
    <w:rsid w:val="00D461CE"/>
    <w:rsid w:val="00D46C69"/>
    <w:rsid w:val="00D63621"/>
    <w:rsid w:val="00D80F1D"/>
    <w:rsid w:val="00D819A4"/>
    <w:rsid w:val="00DB6FCF"/>
    <w:rsid w:val="00DC4360"/>
    <w:rsid w:val="00DE0B47"/>
    <w:rsid w:val="00DE4C90"/>
    <w:rsid w:val="00E00A99"/>
    <w:rsid w:val="00E23E2A"/>
    <w:rsid w:val="00E3457B"/>
    <w:rsid w:val="00E76347"/>
    <w:rsid w:val="00E775A6"/>
    <w:rsid w:val="00E93F4A"/>
    <w:rsid w:val="00EC1F2A"/>
    <w:rsid w:val="00EC223C"/>
    <w:rsid w:val="00EF5FFD"/>
    <w:rsid w:val="00F02E40"/>
    <w:rsid w:val="00F02EAC"/>
    <w:rsid w:val="00F110AD"/>
    <w:rsid w:val="00F24EC5"/>
    <w:rsid w:val="00F327F7"/>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73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1">
    <w:name w:val="標準1"/>
    <w:rsid w:val="004337D3"/>
    <w:rPr>
      <w:rFonts w:ascii="Times New Roman" w:eastAsia="ヒラギノ角ゴ Pro W3" w:hAnsi="Times New Roman" w:cs="Times New Roman"/>
      <w:color w:val="000000"/>
      <w:kern w:val="0"/>
      <w:sz w:val="24"/>
      <w:szCs w:val="20"/>
    </w:rPr>
  </w:style>
  <w:style w:type="table" w:styleId="aa">
    <w:name w:val="Table Grid"/>
    <w:basedOn w:val="a1"/>
    <w:uiPriority w:val="59"/>
    <w:rsid w:val="00086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E6FC6"/>
    <w:rPr>
      <w:sz w:val="18"/>
      <w:szCs w:val="18"/>
    </w:rPr>
  </w:style>
  <w:style w:type="paragraph" w:styleId="ac">
    <w:name w:val="annotation text"/>
    <w:basedOn w:val="a"/>
    <w:link w:val="ad"/>
    <w:uiPriority w:val="99"/>
    <w:semiHidden/>
    <w:unhideWhenUsed/>
    <w:rsid w:val="000E6FC6"/>
    <w:pPr>
      <w:jc w:val="left"/>
    </w:pPr>
  </w:style>
  <w:style w:type="character" w:customStyle="1" w:styleId="ad">
    <w:name w:val="コメント文字列 (文字)"/>
    <w:basedOn w:val="a0"/>
    <w:link w:val="ac"/>
    <w:uiPriority w:val="99"/>
    <w:semiHidden/>
    <w:rsid w:val="000E6FC6"/>
  </w:style>
  <w:style w:type="paragraph" w:styleId="ae">
    <w:name w:val="annotation subject"/>
    <w:basedOn w:val="ac"/>
    <w:next w:val="ac"/>
    <w:link w:val="af"/>
    <w:uiPriority w:val="99"/>
    <w:semiHidden/>
    <w:unhideWhenUsed/>
    <w:rsid w:val="000E6FC6"/>
    <w:rPr>
      <w:b/>
      <w:bCs/>
    </w:rPr>
  </w:style>
  <w:style w:type="character" w:customStyle="1" w:styleId="af">
    <w:name w:val="コメント内容 (文字)"/>
    <w:basedOn w:val="ad"/>
    <w:link w:val="ae"/>
    <w:uiPriority w:val="99"/>
    <w:semiHidden/>
    <w:rsid w:val="000E6FC6"/>
    <w:rPr>
      <w:b/>
      <w:bCs/>
    </w:rPr>
  </w:style>
  <w:style w:type="paragraph" w:styleId="af0">
    <w:name w:val="Revision"/>
    <w:hidden/>
    <w:uiPriority w:val="99"/>
    <w:semiHidden/>
    <w:rsid w:val="00AD7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1">
    <w:name w:val="標準1"/>
    <w:rsid w:val="004337D3"/>
    <w:rPr>
      <w:rFonts w:ascii="Times New Roman" w:eastAsia="ヒラギノ角ゴ Pro W3" w:hAnsi="Times New Roman" w:cs="Times New Roman"/>
      <w:color w:val="000000"/>
      <w:kern w:val="0"/>
      <w:sz w:val="24"/>
      <w:szCs w:val="20"/>
    </w:rPr>
  </w:style>
  <w:style w:type="table" w:styleId="aa">
    <w:name w:val="Table Grid"/>
    <w:basedOn w:val="a1"/>
    <w:uiPriority w:val="59"/>
    <w:rsid w:val="00086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E6FC6"/>
    <w:rPr>
      <w:sz w:val="18"/>
      <w:szCs w:val="18"/>
    </w:rPr>
  </w:style>
  <w:style w:type="paragraph" w:styleId="ac">
    <w:name w:val="annotation text"/>
    <w:basedOn w:val="a"/>
    <w:link w:val="ad"/>
    <w:uiPriority w:val="99"/>
    <w:semiHidden/>
    <w:unhideWhenUsed/>
    <w:rsid w:val="000E6FC6"/>
    <w:pPr>
      <w:jc w:val="left"/>
    </w:pPr>
  </w:style>
  <w:style w:type="character" w:customStyle="1" w:styleId="ad">
    <w:name w:val="コメント文字列 (文字)"/>
    <w:basedOn w:val="a0"/>
    <w:link w:val="ac"/>
    <w:uiPriority w:val="99"/>
    <w:semiHidden/>
    <w:rsid w:val="000E6FC6"/>
  </w:style>
  <w:style w:type="paragraph" w:styleId="ae">
    <w:name w:val="annotation subject"/>
    <w:basedOn w:val="ac"/>
    <w:next w:val="ac"/>
    <w:link w:val="af"/>
    <w:uiPriority w:val="99"/>
    <w:semiHidden/>
    <w:unhideWhenUsed/>
    <w:rsid w:val="000E6FC6"/>
    <w:rPr>
      <w:b/>
      <w:bCs/>
    </w:rPr>
  </w:style>
  <w:style w:type="character" w:customStyle="1" w:styleId="af">
    <w:name w:val="コメント内容 (文字)"/>
    <w:basedOn w:val="ad"/>
    <w:link w:val="ae"/>
    <w:uiPriority w:val="99"/>
    <w:semiHidden/>
    <w:rsid w:val="000E6FC6"/>
    <w:rPr>
      <w:b/>
      <w:bCs/>
    </w:rPr>
  </w:style>
  <w:style w:type="paragraph" w:styleId="af0">
    <w:name w:val="Revision"/>
    <w:hidden/>
    <w:uiPriority w:val="99"/>
    <w:semiHidden/>
    <w:rsid w:val="00AD7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58860525">
      <w:bodyDiv w:val="1"/>
      <w:marLeft w:val="0"/>
      <w:marRight w:val="0"/>
      <w:marTop w:val="0"/>
      <w:marBottom w:val="0"/>
      <w:divBdr>
        <w:top w:val="none" w:sz="0" w:space="0" w:color="auto"/>
        <w:left w:val="none" w:sz="0" w:space="0" w:color="auto"/>
        <w:bottom w:val="none" w:sz="0" w:space="0" w:color="auto"/>
        <w:right w:val="none" w:sz="0" w:space="0" w:color="auto"/>
      </w:divBdr>
    </w:div>
    <w:div w:id="129521301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ED96F-5413-482B-8FCA-5C06A3B0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667</Words>
  <Characters>3804</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2014-10-28T23:40:00Z</cp:lastPrinted>
  <dcterms:created xsi:type="dcterms:W3CDTF">2016-12-07T00:35:00Z</dcterms:created>
  <dcterms:modified xsi:type="dcterms:W3CDTF">2017-03-21T06:02:00Z</dcterms:modified>
</cp:coreProperties>
</file>