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65" w:hanging="165"/>
        <w:jc w:val="center"/>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8"/>
        </w:rPr>
        <w:t>220</w:t>
      </w:r>
      <w:r>
        <w:rPr>
          <w:rFonts w:ascii="ＭＳ Ｐゴシック" w:hAnsi="ＭＳ Ｐゴシック" w:cs="ＭＳ Ｐゴシック" w:eastAsia="ＭＳ Ｐゴシック"/>
          <w:sz w:val="28"/>
        </w:rPr>
        <w:t>　急速進行性糸球体腎炎</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210"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ind w:left="210" w:hanging="0"/>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 xml:space="preserve">概要 </w:t>
      </w:r>
    </w:p>
    <w:p>
      <w:pPr>
        <w:pStyle w:val="Normal"/>
        <w:ind w:left="414"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腎糸球体に急速かつ激烈な炎症が生じ、数週から数か月間の経過で腎機能が急速に低下して腎不全に至る。重篤な糸球体腎炎症候群であり、生命予後、腎予後ともに不良で維持透析へ移行しない場合も慢性腎不全としての加療を要することが大半である。腎疾患の中でも最も予後が悪く、治療にも難渋することが多い。</w:t>
      </w:r>
    </w:p>
    <w:p>
      <w:pPr>
        <w:pStyle w:val="Normal"/>
        <w:ind w:left="372" w:firstLine="42"/>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582"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腎糸球体の特徴的な病理像は、ボウマン腔に形成される半月体（クレッセント）と呼ばれる構造の出現である。これにより本来の糸球体の血流が妨げられ糸球体における血液ろ過が急速に低下し腎機能が悪化する。半月体の形成機序は不明である。自己抗体（</w:t>
      </w:r>
      <w:r>
        <w:rPr>
          <w:rFonts w:eastAsia="ＭＳ Ｐゴシック" w:cs="ＭＳ Ｐゴシック" w:ascii="ＭＳ Ｐゴシック" w:hAnsi="ＭＳ Ｐゴシック"/>
          <w:szCs w:val="21"/>
        </w:rPr>
        <w:t>ANCA</w:t>
      </w:r>
      <w:r>
        <w:rPr>
          <w:rFonts w:ascii="ＭＳ Ｐゴシック" w:hAnsi="ＭＳ Ｐゴシック" w:cs="ＭＳ Ｐゴシック" w:eastAsia="ＭＳ Ｐゴシック"/>
          <w:szCs w:val="21"/>
        </w:rPr>
        <w:t>＝抗好中球細胞質抗体、抗糸球体基底膜抗体、抗核抗体）が陽性な症例や免疫複合体が沈着する病型が多く、免疫学的機序を介しておこるものと考えられている。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582"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自覚症状としては、全身倦怠感、微熱などの不特定な症状。検査所見としては、血尿＋たんぱく尿、腎機能の急速な低下</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血清クレアチニンの急速な上昇）、貧血、などである。全身性血管炎の部分症状である場合には、腎臓以外の全身症状として、上気道を含む呼吸器や四肢の神経・血管症状がみられることがある。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firstLine="21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582" w:firstLine="105"/>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ステロイド</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経口、点滴パルス）、免疫抑制薬（シクロホスファミド、アザチオプリン、ミゾリビンなど）、抗体除去のための血漿交換ないし血液吸着療法など。完全な原因除去でなく、免疫抑制療法による、長期的な疾患コントロールが行われる</w:t>
      </w:r>
      <w:r>
        <w:rPr>
          <w:rFonts w:ascii="ＭＳ Ｐゴシック" w:hAnsi="ＭＳ Ｐゴシック" w:cs="ＭＳ Ｐゴシック" w:eastAsia="ＭＳ Ｐゴシック"/>
        </w:rPr>
        <w:t>経過中の免疫抑制薬等による維持治療が必須で、長期の療養が必要である。</w:t>
      </w:r>
      <w:r>
        <w:rPr>
          <w:rFonts w:ascii="ＭＳ Ｐゴシック" w:hAnsi="ＭＳ Ｐゴシック" w:cs="ＭＳ Ｐゴシック" w:eastAsia="ＭＳ Ｐゴシック"/>
          <w:szCs w:val="21"/>
        </w:rPr>
        <w:t>腎不全が進行した場合には透析療法が必要になる。治療を開始した場合には、重篤な感染症が合併する危険性も高く、それが原因で死亡することもある。</w:t>
      </w:r>
    </w:p>
    <w:p>
      <w:pPr>
        <w:pStyle w:val="Normal"/>
        <w:ind w:left="372"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５．予後</w:t>
      </w:r>
    </w:p>
    <w:p>
      <w:pPr>
        <w:pStyle w:val="Normal"/>
        <w:ind w:left="420" w:firstLine="21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２年間での死亡率</w:t>
      </w:r>
      <w:r>
        <w:rPr>
          <w:rFonts w:eastAsia="ＭＳ Ｐゴシック" w:cs="ＭＳ Ｐゴシック" w:ascii="ＭＳ Ｐゴシック" w:hAnsi="ＭＳ Ｐゴシック"/>
          <w:szCs w:val="21"/>
        </w:rPr>
        <w:t>17.1</w:t>
      </w:r>
      <w:r>
        <w:rPr>
          <w:rFonts w:ascii="ＭＳ Ｐゴシック" w:hAnsi="ＭＳ Ｐゴシック" w:cs="ＭＳ Ｐゴシック" w:eastAsia="ＭＳ Ｐゴシック"/>
          <w:szCs w:val="21"/>
        </w:rPr>
        <w:t>％、腎不全による維持透析への移行率（腎死率）</w:t>
      </w:r>
      <w:r>
        <w:rPr>
          <w:rFonts w:eastAsia="ＭＳ Ｐゴシック" w:cs="ＭＳ Ｐゴシック" w:ascii="ＭＳ Ｐゴシック" w:hAnsi="ＭＳ Ｐゴシック"/>
          <w:szCs w:val="21"/>
        </w:rPr>
        <w:t>26.6</w:t>
      </w:r>
      <w:r>
        <w:rPr>
          <w:rFonts w:ascii="ＭＳ Ｐゴシック" w:hAnsi="ＭＳ Ｐゴシック" w:cs="ＭＳ Ｐゴシック" w:eastAsia="ＭＳ Ｐゴシック"/>
          <w:szCs w:val="21"/>
        </w:rPr>
        <w:t>％である。維持透析に至らなくとも、大半の患者で慢性腎不全としての管理加療を要する。</w:t>
      </w:r>
    </w:p>
    <w:p>
      <w:pPr>
        <w:pStyle w:val="Normal"/>
        <w:ind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r>
        <w:br w:type="page"/>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Normal"/>
        <w:spacing w:lineRule="exact" w:line="300"/>
        <w:ind w:firstLine="525"/>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総患者数約</w:t>
      </w:r>
      <w:r>
        <w:rPr>
          <w:rFonts w:eastAsia="ＭＳ Ｐゴシック" w:cs="ＭＳ Ｐゴシック" w:ascii="ＭＳ Ｐゴシック" w:hAnsi="ＭＳ Ｐゴシック"/>
          <w:szCs w:val="21"/>
        </w:rPr>
        <w:t>3,800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5,800</w:t>
      </w:r>
      <w:r>
        <w:rPr>
          <w:rFonts w:ascii="ＭＳ Ｐゴシック" w:hAnsi="ＭＳ Ｐゴシック" w:cs="ＭＳ Ｐゴシック" w:eastAsia="ＭＳ Ｐゴシック"/>
          <w:szCs w:val="21"/>
        </w:rPr>
        <w:t>人と推計されている。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不明（自己抗体の関与が指摘されている。）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未確立（対症療法のみである。）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必要（長期の免疫療法や腎不全の進行による透析療法を行う必要がある。）</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13"/>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あり（日本腎臓学会と研究班が共同で作成した基準あり。）</w:t>
      </w:r>
    </w:p>
    <w:p>
      <w:pPr>
        <w:pStyle w:val="13"/>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ind w:firstLine="630"/>
        <w:jc w:val="left"/>
        <w:rPr/>
      </w:pPr>
      <w:r>
        <w:rPr>
          <w:rFonts w:ascii="ＭＳ Ｐゴシック" w:hAnsi="ＭＳ Ｐゴシック" w:cs="ＭＳ Ｐゴシック" w:eastAsia="ＭＳ Ｐゴシック"/>
        </w:rPr>
        <w:t>初期治療時及び再発時用と維持治療時用を用いて、重症を対象とする。</w:t>
      </w:r>
    </w:p>
    <w:p>
      <w:pPr>
        <w:pStyle w:val="Normal"/>
        <w:widowControl/>
        <w:ind w:firstLine="63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ア）初期・再発時は急速進行性糸球体腎炎の診断基準を満たす全例が重症である。</w:t>
      </w:r>
    </w:p>
    <w:p>
      <w:pPr>
        <w:pStyle w:val="Normal"/>
        <w:widowControl/>
        <w:ind w:firstLine="63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イ）維持治療期では上記の慢性腎臓病重症度分類で重症（赤）に該当するものとする。</w:t>
      </w:r>
    </w:p>
    <w:p>
      <w:pPr>
        <w:pStyle w:val="13"/>
        <w:ind w:left="570" w:firstLine="105"/>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ウ）いずれの腎機能であっても蛋白尿</w:t>
      </w:r>
      <w:r>
        <w:rPr>
          <w:rFonts w:eastAsia="ＭＳ Ｐゴシック" w:cs="ＭＳ Ｐゴシック" w:ascii="ＭＳ Ｐゴシック" w:hAnsi="ＭＳ Ｐゴシック"/>
          <w:szCs w:val="21"/>
        </w:rPr>
        <w:t>0.5g/</w:t>
      </w:r>
      <w:r>
        <w:rPr>
          <w:rFonts w:ascii="ＭＳ Ｐゴシック" w:hAnsi="ＭＳ Ｐゴシック" w:cs="ＭＳ Ｐゴシック" w:eastAsia="ＭＳ Ｐゴシック"/>
          <w:szCs w:val="21"/>
        </w:rPr>
        <w:t>日以上のものは、重症として扱う。</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情報提供元</w:t>
      </w:r>
    </w:p>
    <w:p>
      <w:pPr>
        <w:pStyle w:val="Normal"/>
        <w:ind w:firstLine="220"/>
        <w:rPr>
          <w:rFonts w:ascii="ＭＳ Ｐゴシック" w:hAnsi="ＭＳ Ｐゴシック" w:eastAsia="ＭＳ Ｐゴシック" w:cs="ＭＳ Ｐゴシック"/>
          <w:sz w:val="22"/>
          <w:highlight w:val="white"/>
        </w:rPr>
      </w:pPr>
      <w:r>
        <w:rPr>
          <w:rFonts w:ascii="ＭＳ Ｐゴシック" w:hAnsi="ＭＳ Ｐゴシック" w:cs="ＭＳ Ｐゴシック" w:eastAsia="ＭＳ Ｐゴシック"/>
          <w:sz w:val="22"/>
          <w:shd w:fill="FFFFFF" w:val="clear"/>
        </w:rPr>
        <w:t>「難治性腎疾患に関する調査研究班」</w:t>
      </w:r>
    </w:p>
    <w:p>
      <w:pPr>
        <w:pStyle w:val="Normal"/>
        <w:ind w:firstLine="220"/>
        <w:rPr>
          <w:rFonts w:ascii="ＭＳ Ｐゴシック" w:hAnsi="ＭＳ Ｐゴシック" w:eastAsia="ＭＳ Ｐゴシック" w:cs="ＭＳ Ｐゴシック"/>
          <w:sz w:val="22"/>
          <w:highlight w:val="white"/>
        </w:rPr>
      </w:pPr>
      <w:r>
        <w:rPr>
          <w:rFonts w:ascii="ＭＳ Ｐゴシック" w:hAnsi="ＭＳ Ｐゴシック" w:cs="ＭＳ Ｐゴシック" w:eastAsia="ＭＳ Ｐゴシック"/>
          <w:sz w:val="22"/>
          <w:shd w:fill="FFFFFF" w:val="clear"/>
        </w:rPr>
        <w:t>研究代表者　新潟大学医歯学総合研究科　腎･膠原病内科学　教授　成田一衛</w:t>
      </w:r>
    </w:p>
    <w:p>
      <w:pPr>
        <w:pStyle w:val="Normal"/>
        <w:spacing w:lineRule="exact" w:line="300"/>
        <w:ind w:firstLine="210"/>
        <w:rPr>
          <w:rFonts w:ascii="ＭＳ Ｐゴシック" w:hAnsi="ＭＳ Ｐゴシック" w:eastAsia="ＭＳ Ｐゴシック" w:cs="ＭＳ Ｐゴシック"/>
          <w:sz w:val="22"/>
          <w:szCs w:val="21"/>
          <w:shd w:fill="FFFFFF" w:val="clear"/>
        </w:rPr>
      </w:pPr>
      <w:r>
        <w:rPr>
          <w:rFonts w:eastAsia="ＭＳ Ｐゴシック" w:cs="ＭＳ Ｐゴシック" w:ascii="ＭＳ Ｐゴシック" w:hAnsi="ＭＳ Ｐゴシック"/>
          <w:sz w:val="22"/>
          <w:szCs w:val="21"/>
          <w:shd w:fill="FFFFFF" w:val="clear"/>
        </w:rPr>
      </w:r>
    </w:p>
    <w:p>
      <w:pPr>
        <w:pStyle w:val="Normal"/>
        <w:spacing w:lineRule="exact" w:line="300"/>
        <w:ind w:firstLine="21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r>
        <w:br w:type="page"/>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＜診断基準＞</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を対象とする。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急速進行性糸球体腎炎の疑い（</w:t>
      </w:r>
      <w:r>
        <w:rPr>
          <w:rFonts w:eastAsia="ＭＳ Ｐゴシック" w:cs="ＭＳ Ｐゴシック" w:ascii="ＭＳ Ｐゴシック" w:hAnsi="ＭＳ Ｐゴシック"/>
        </w:rPr>
        <w:t>Possible</w:t>
      </w:r>
      <w:r>
        <w:rPr>
          <w:rFonts w:ascii="ＭＳ Ｐゴシック" w:hAnsi="ＭＳ Ｐゴシック" w:cs="ＭＳ Ｐゴシック" w:eastAsia="ＭＳ Ｐゴシック"/>
        </w:rPr>
        <w:t>）</w:t>
      </w:r>
    </w:p>
    <w:p>
      <w:pPr>
        <w:pStyle w:val="Normal"/>
        <w:numPr>
          <w:ilvl w:val="0"/>
          <w:numId w:val="3"/>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尿所見異常（主として血尿や蛋白尿，円柱尿）を認める。</w:t>
      </w:r>
    </w:p>
    <w:p>
      <w:pPr>
        <w:pStyle w:val="Normal"/>
        <w:numPr>
          <w:ilvl w:val="0"/>
          <w:numId w:val="3"/>
        </w:numPr>
        <w:rPr>
          <w:rFonts w:ascii="ＭＳ Ｐゴシック" w:hAnsi="ＭＳ Ｐゴシック" w:eastAsia="ＭＳ Ｐゴシック" w:cs="ＭＳ Ｐゴシック"/>
        </w:rPr>
      </w:pPr>
      <w:r>
        <w:rPr>
          <w:rFonts w:eastAsia="ＭＳ Ｐゴシック" w:cs="ＭＳ Ｐゴシック" w:ascii="ＭＳ Ｐゴシック" w:hAnsi="ＭＳ Ｐゴシック"/>
        </w:rPr>
        <w:t>eGFR</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60 mL</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min</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1.73 m</w:t>
      </w:r>
      <w:r>
        <w:rPr>
          <w:rFonts w:eastAsia="ＭＳ Ｐゴシック" w:cs="ＭＳ Ｐゴシック" w:ascii="ＭＳ Ｐゴシック" w:hAnsi="ＭＳ Ｐゴシック"/>
          <w:vertAlign w:val="superscript"/>
        </w:rPr>
        <w:t>2</w:t>
      </w:r>
      <w:r>
        <w:rPr>
          <w:rFonts w:ascii="ＭＳ Ｐゴシック" w:hAnsi="ＭＳ Ｐゴシック" w:cs="ＭＳ Ｐゴシック" w:eastAsia="ＭＳ Ｐゴシック"/>
        </w:rPr>
        <w:t>　</w:t>
      </w:r>
    </w:p>
    <w:p>
      <w:pPr>
        <w:pStyle w:val="Normal"/>
        <w:numPr>
          <w:ilvl w:val="0"/>
          <w:numId w:val="3"/>
        </w:numPr>
        <w:rPr>
          <w:rFonts w:ascii="ＭＳ Ｐゴシック" w:hAnsi="ＭＳ Ｐゴシック" w:eastAsia="ＭＳ Ｐゴシック" w:cs="ＭＳ Ｐゴシック"/>
        </w:rPr>
      </w:pPr>
      <w:r>
        <w:rPr>
          <w:rFonts w:eastAsia="ＭＳ Ｐゴシック" w:cs="ＭＳ Ｐゴシック" w:ascii="ＭＳ Ｐゴシック" w:hAnsi="ＭＳ Ｐゴシック"/>
        </w:rPr>
        <w:t xml:space="preserve">CRP </w:t>
      </w:r>
      <w:r>
        <w:rPr>
          <w:rFonts w:ascii="ＭＳ Ｐゴシック" w:hAnsi="ＭＳ Ｐゴシック" w:cs="ＭＳ Ｐゴシック" w:eastAsia="ＭＳ Ｐゴシック"/>
        </w:rPr>
        <w:t>高値や赤沈促進</w:t>
      </w:r>
    </w:p>
    <w:p>
      <w:pPr>
        <w:pStyle w:val="Normal"/>
        <w:ind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上記の １～３）を認める場合、「急速進行性糸球体腎炎の疑い」と診断する。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ただし、腎臓超音波検査を実施可能な施設では、腎皮質の萎縮がないことを確認する。</w:t>
      </w:r>
    </w:p>
    <w:p>
      <w:pPr>
        <w:pStyle w:val="Normal"/>
        <w:ind w:left="21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なお、急性感染症の合併、慢性腎炎に伴う緩徐な腎機能障害が疑われる場合には、１～２週間以内に血清クレアチニンを再検し、</w:t>
      </w:r>
      <w:r>
        <w:rPr>
          <w:rFonts w:eastAsia="ＭＳ Ｐゴシック" w:cs="ＭＳ Ｐゴシック" w:ascii="ＭＳ Ｐゴシック" w:hAnsi="ＭＳ Ｐゴシック"/>
        </w:rPr>
        <w:t xml:space="preserve">eGFR </w:t>
      </w:r>
      <w:r>
        <w:rPr>
          <w:rFonts w:ascii="ＭＳ Ｐゴシック" w:hAnsi="ＭＳ Ｐゴシック" w:cs="ＭＳ Ｐゴシック" w:eastAsia="ＭＳ Ｐゴシック"/>
        </w:rPr>
        <w:t>を再計算する。</w:t>
      </w:r>
    </w:p>
    <w:p>
      <w:pPr>
        <w:pStyle w:val="Normal"/>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２</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急速進行性糸球体腎炎の確定診断（</w:t>
      </w: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p>
    <w:p>
      <w:pPr>
        <w:pStyle w:val="13"/>
        <w:numPr>
          <w:ilvl w:val="0"/>
          <w:numId w:val="2"/>
        </w:numPr>
        <w:rPr>
          <w:rFonts w:ascii="ＭＳ Ｐゴシック" w:hAnsi="ＭＳ Ｐゴシック" w:eastAsia="ＭＳ Ｐゴシック" w:cs="ＭＳ Ｐゴシック"/>
          <w:bCs/>
        </w:rPr>
      </w:pPr>
      <w:r>
        <w:rPr>
          <w:rFonts w:ascii="ＭＳ Ｐゴシック" w:hAnsi="ＭＳ Ｐゴシック" w:cs="ＭＳ Ｐゴシック" w:eastAsia="ＭＳ Ｐゴシック"/>
        </w:rPr>
        <w:t>数週から数か月の経過で急速に腎不全が進行する（病歴の聴取、過去の検診、その他の腎機能データを確認する。）。３</w:t>
      </w:r>
      <w:r>
        <w:rPr>
          <w:rFonts w:ascii="ＭＳ Ｐゴシック" w:hAnsi="ＭＳ Ｐゴシック" w:cs="ＭＳ Ｐゴシック" w:eastAsia="ＭＳ Ｐゴシック"/>
          <w:bCs/>
        </w:rPr>
        <w:t>か月以内に</w:t>
      </w:r>
      <w:r>
        <w:rPr>
          <w:rFonts w:eastAsia="ＭＳ Ｐゴシック" w:cs="ＭＳ Ｐゴシック" w:ascii="ＭＳ Ｐゴシック" w:hAnsi="ＭＳ Ｐゴシック"/>
          <w:bCs/>
        </w:rPr>
        <w:t>30</w:t>
      </w:r>
      <w:r>
        <w:rPr>
          <w:rFonts w:ascii="ＭＳ Ｐゴシック" w:hAnsi="ＭＳ Ｐゴシック" w:cs="ＭＳ Ｐゴシック" w:eastAsia="ＭＳ Ｐゴシック"/>
          <w:bCs/>
        </w:rPr>
        <w:t>％以上の</w:t>
      </w:r>
      <w:r>
        <w:rPr>
          <w:rFonts w:eastAsia="ＭＳ Ｐゴシック" w:cs="ＭＳ Ｐゴシック" w:ascii="ＭＳ Ｐゴシック" w:hAnsi="ＭＳ Ｐゴシック"/>
          <w:bCs/>
        </w:rPr>
        <w:t>eGFR</w:t>
      </w:r>
      <w:r>
        <w:rPr>
          <w:rFonts w:ascii="ＭＳ Ｐゴシック" w:hAnsi="ＭＳ Ｐゴシック" w:cs="ＭＳ Ｐゴシック" w:eastAsia="ＭＳ Ｐゴシック"/>
          <w:bCs/>
        </w:rPr>
        <w:t>の低下を目安とする。</w:t>
      </w:r>
    </w:p>
    <w:p>
      <w:pPr>
        <w:pStyle w:val="13"/>
        <w:numPr>
          <w:ilvl w:val="0"/>
          <w:numId w:val="2"/>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血尿（多くは顕微鏡的血尿、稀に肉眼的血尿）、蛋白尿、円柱尿などの腎炎性尿所見を認める。</w:t>
      </w:r>
    </w:p>
    <w:p>
      <w:pPr>
        <w:pStyle w:val="13"/>
        <w:numPr>
          <w:ilvl w:val="0"/>
          <w:numId w:val="2"/>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腎生検で壊死性半月体形成性糸球体腎炎を認める。</w:t>
      </w:r>
    </w:p>
    <w:p>
      <w:pPr>
        <w:pStyle w:val="Normal"/>
        <w:ind w:left="2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上記の１）と２）を認める場合には「急速進行性糸球体腎炎」と確定診断する。可能な限り腎生検を実施し３）を確認することが望ましい。</w:t>
      </w:r>
    </w:p>
    <w:p>
      <w:pPr>
        <w:pStyle w:val="Normal"/>
        <w:ind w:left="2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ただし、過去の検査歴等がない場合や来院時無尿状態で尿所見が得られない場合は、腎臓超音波検査、</w:t>
      </w:r>
      <w:r>
        <w:rPr>
          <w:rFonts w:eastAsia="ＭＳ Ｐゴシック" w:cs="ＭＳ Ｐゴシック" w:ascii="ＭＳ Ｐゴシック" w:hAnsi="ＭＳ Ｐゴシック"/>
        </w:rPr>
        <w:t>CT</w:t>
      </w:r>
      <w:r>
        <w:rPr>
          <w:rFonts w:ascii="ＭＳ Ｐゴシック" w:hAnsi="ＭＳ Ｐゴシック" w:cs="ＭＳ Ｐゴシック" w:eastAsia="ＭＳ Ｐゴシック"/>
        </w:rPr>
        <w:t>等により両側腎臓の高度な萎縮がみられないことを確認し慢性腎不全との鑑別を行う。脱水の把握・補液による是正に努め高度脱水による腎前性急性腎不全を除外する。また、腎臓超音波検査、</w:t>
      </w:r>
      <w:r>
        <w:rPr>
          <w:rFonts w:eastAsia="ＭＳ Ｐゴシック" w:cs="ＭＳ Ｐゴシック" w:ascii="ＭＳ Ｐゴシック" w:hAnsi="ＭＳ Ｐゴシック"/>
        </w:rPr>
        <w:t>CT</w:t>
      </w:r>
      <w:r>
        <w:rPr>
          <w:rFonts w:ascii="ＭＳ Ｐゴシック" w:hAnsi="ＭＳ Ｐゴシック" w:cs="ＭＳ Ｐゴシック" w:eastAsia="ＭＳ Ｐゴシック"/>
        </w:rPr>
        <w:t>等で尿路閉塞による腎後性急性腎不全を除外する。</w:t>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重症度分類は、初期治療時及び再発時用と維持治療時用を用いて、重症を対象とする。</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ア）初期・再発時は急速進行性糸球体腎炎の診断基準を満たす全例が重症である。</w:t>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イ）維持治療期では上記の慢性腎臓病重症度分類で重症（赤）に該当するものとする。</w:t>
      </w:r>
    </w:p>
    <w:p>
      <w:pPr>
        <w:pStyle w:val="Norma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ウ）いずれの腎機能であっても蛋白尿</w:t>
      </w:r>
      <w:r>
        <w:rPr>
          <w:rFonts w:eastAsia="ＭＳ Ｐゴシック" w:cs="ＭＳ Ｐゴシック" w:ascii="ＭＳ Ｐゴシック" w:hAnsi="ＭＳ Ｐゴシック"/>
          <w:szCs w:val="21"/>
        </w:rPr>
        <w:t>0.5g/</w:t>
      </w:r>
      <w:r>
        <w:rPr>
          <w:rFonts w:ascii="ＭＳ Ｐゴシック" w:hAnsi="ＭＳ Ｐゴシック" w:cs="ＭＳ Ｐゴシック" w:eastAsia="ＭＳ Ｐゴシック"/>
          <w:szCs w:val="21"/>
        </w:rPr>
        <w:t>日以上のものは、重症として扱う。</w:t>
      </w:r>
    </w:p>
    <w:p>
      <w:pPr>
        <w:pStyle w:val="Norma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臨床所見のスコア化による重症度分類（初期治療時及び再発時用）</w:t>
      </w:r>
    </w:p>
    <w:p>
      <w:pPr>
        <w:pStyle w:val="Normal"/>
        <w:widowControl/>
        <w:jc w:val="left"/>
        <w:rPr>
          <w:rFonts w:ascii="ＭＳ Ｐゴシック" w:hAnsi="ＭＳ Ｐゴシック" w:eastAsia="ＭＳ Ｐゴシック" w:cs="ＭＳ Ｐゴシック"/>
          <w:lang w:val="ja-JP" w:eastAsia="ja-JP"/>
        </w:rPr>
      </w:pPr>
      <w:r>
        <w:rPr>
          <w:rFonts w:eastAsia="ＭＳ Ｐゴシック" w:cs="ＭＳ Ｐゴシック" w:ascii="ＭＳ Ｐゴシック" w:hAnsi="ＭＳ Ｐゴシック"/>
          <w:lang w:val="ja-JP" w:eastAsia="ja-JP"/>
        </w:rPr>
      </w:r>
      <w:r>
        <mc:AlternateContent>
          <mc:Choice Requires="wps">
            <w:drawing>
              <wp:anchor behindDoc="0" distT="0" distB="0" distL="114935" distR="114935" simplePos="0" locked="0" layoutInCell="1" allowOverlap="1" relativeHeight="2">
                <wp:simplePos x="0" y="0"/>
                <wp:positionH relativeFrom="column">
                  <wp:posOffset>228600</wp:posOffset>
                </wp:positionH>
                <wp:positionV relativeFrom="paragraph">
                  <wp:posOffset>53340</wp:posOffset>
                </wp:positionV>
                <wp:extent cx="4076700" cy="2842260"/>
                <wp:effectExtent l="0" t="0" r="0" b="0"/>
                <wp:wrapNone/>
                <wp:docPr id="1" name="枠1"/>
                <a:graphic xmlns:a="http://schemas.openxmlformats.org/drawingml/2006/main">
                  <a:graphicData uri="http://schemas.microsoft.com/office/word/2010/wordprocessingShape">
                    <wps:wsp>
                      <wps:cNvSpPr txBox="1"/>
                      <wps:spPr>
                        <a:xfrm>
                          <a:off x="0" y="0"/>
                          <a:ext cx="4076700" cy="2842260"/>
                        </a:xfrm>
                        <a:prstGeom prst="rect"/>
                        <a:solidFill>
                          <a:srgbClr val="FFFFFF">
                            <a:alpha val="0"/>
                          </a:srgbClr>
                        </a:solidFill>
                      </wps:spPr>
                      <wps:txbx>
                        <w:txbxContent>
                          <w:p>
                            <w:pPr>
                              <w:pStyle w:val="Normal"/>
                              <w:pBdr>
                                <w:top w:val="single" w:sz="4" w:space="1" w:color="000000"/>
                                <w:left w:val="single" w:sz="4" w:space="4" w:color="000000"/>
                                <w:bottom w:val="single" w:sz="4" w:space="1" w:color="000000"/>
                                <w:right w:val="single" w:sz="4" w:space="1" w:color="000000"/>
                              </w:pBdr>
                              <w:rPr>
                                <w:rFonts w:ascii="ＭＳ Ｐゴシック" w:hAnsi="ＭＳ Ｐゴシック" w:eastAsia="ＭＳ Ｐゴシック" w:cs="ＭＳ Ｐゴシック"/>
                                <w:b/>
                                <w:b/>
                                <w:color w:val="808080"/>
                                <w:sz w:val="72"/>
                                <w:szCs w:val="72"/>
                                <w:lang w:val="ja-JP" w:eastAsia="ja-JP"/>
                              </w:rPr>
                            </w:pPr>
                            <w:r>
                              <w:rPr>
                                <w:rFonts w:ascii="ＭＳ Ｐゴシック" w:hAnsi="ＭＳ Ｐゴシック" w:cs="ＭＳ Ｐゴシック" w:eastAsia="ＭＳ Ｐゴシック"/>
                                <w:color w:val="808080"/>
                                <w:sz w:val="72"/>
                                <w:szCs w:val="72"/>
                                <w:u w:val="single"/>
                                <w:lang w:val="ja-JP" w:eastAsia="ja-JP"/>
                              </w:rPr>
                              <w:drawing>
                                <wp:inline distT="0" distB="0" distL="0" distR="0">
                                  <wp:extent cx="3848735" cy="2425700"/>
                                  <wp:effectExtent l="0" t="0" r="0" b="0"/>
                                  <wp:docPr id="2"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9" descr=""/>
                                          <pic:cNvPicPr>
                                            <a:picLocks noChangeAspect="1" noChangeArrowheads="1"/>
                                          </pic:cNvPicPr>
                                        </pic:nvPicPr>
                                        <pic:blipFill>
                                          <a:blip r:embed="rId2"/>
                                          <a:srcRect l="-4" t="-7" r="-4" b="-7"/>
                                          <a:stretch>
                                            <a:fillRect/>
                                          </a:stretch>
                                        </pic:blipFill>
                                        <pic:spPr bwMode="auto">
                                          <a:xfrm>
                                            <a:off x="0" y="0"/>
                                            <a:ext cx="3848735" cy="2425700"/>
                                          </a:xfrm>
                                          <a:prstGeom prst="rect">
                                            <a:avLst/>
                                          </a:prstGeom>
                                        </pic:spPr>
                                      </pic:pic>
                                    </a:graphicData>
                                  </a:graphic>
                                </wp:inline>
                              </w:drawing>
                            </w:r>
                          </w:p>
                        </w:txbxContent>
                      </wps:txbx>
                      <wps:bodyPr anchor="t" lIns="74930" tIns="9525" rIns="74930" bIns="9525">
                        <a:noAutofit/>
                      </wps:bodyPr>
                    </wps:wsp>
                  </a:graphicData>
                </a:graphic>
              </wp:anchor>
            </w:drawing>
          </mc:Choice>
          <mc:Fallback>
            <w:pict>
              <v:rect fillcolor="#FFFFFF" style="position:absolute;rotation:0;width:321pt;height:223.8pt;mso-wrap-distance-left:9.05pt;mso-wrap-distance-right:9.05pt;margin-top:4.2pt;mso-position-vertical-relative:text;margin-left:18pt;mso-position-horizontal-relative:text">
                <v:fill opacity="0f"/>
                <v:textbox inset="0.0819444444444444in,0.0104166666666667in,0.0819444444444444in,0.0104166666666667in">
                  <w:txbxContent>
                    <w:p>
                      <w:pPr>
                        <w:pStyle w:val="Normal"/>
                        <w:pBdr>
                          <w:top w:val="single" w:sz="4" w:space="1" w:color="000000"/>
                          <w:left w:val="single" w:sz="4" w:space="4" w:color="000000"/>
                          <w:bottom w:val="single" w:sz="4" w:space="1" w:color="000000"/>
                          <w:right w:val="single" w:sz="4" w:space="1" w:color="000000"/>
                        </w:pBdr>
                        <w:rPr>
                          <w:rFonts w:ascii="ＭＳ Ｐゴシック" w:hAnsi="ＭＳ Ｐゴシック" w:eastAsia="ＭＳ Ｐゴシック" w:cs="ＭＳ Ｐゴシック"/>
                          <w:b/>
                          <w:b/>
                          <w:color w:val="808080"/>
                          <w:sz w:val="72"/>
                          <w:szCs w:val="72"/>
                          <w:lang w:val="ja-JP" w:eastAsia="ja-JP"/>
                        </w:rPr>
                      </w:pPr>
                      <w:r>
                        <w:rPr>
                          <w:rFonts w:ascii="ＭＳ Ｐゴシック" w:hAnsi="ＭＳ Ｐゴシック" w:cs="ＭＳ Ｐゴシック" w:eastAsia="ＭＳ Ｐゴシック"/>
                          <w:color w:val="808080"/>
                          <w:sz w:val="72"/>
                          <w:szCs w:val="72"/>
                          <w:u w:val="single"/>
                          <w:lang w:val="ja-JP" w:eastAsia="ja-JP"/>
                        </w:rPr>
                        <w:drawing>
                          <wp:inline distT="0" distB="0" distL="0" distR="0">
                            <wp:extent cx="3848735" cy="2425700"/>
                            <wp:effectExtent l="0" t="0" r="0" b="0"/>
                            <wp:docPr id="3"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9" descr=""/>
                                    <pic:cNvPicPr>
                                      <a:picLocks noChangeAspect="1" noChangeArrowheads="1"/>
                                    </pic:cNvPicPr>
                                  </pic:nvPicPr>
                                  <pic:blipFill>
                                    <a:blip r:embed="rId2"/>
                                    <a:srcRect l="-4" t="-7" r="-4" b="-7"/>
                                    <a:stretch>
                                      <a:fillRect/>
                                    </a:stretch>
                                  </pic:blipFill>
                                  <pic:spPr bwMode="auto">
                                    <a:xfrm>
                                      <a:off x="0" y="0"/>
                                      <a:ext cx="3848735" cy="2425700"/>
                                    </a:xfrm>
                                    <a:prstGeom prst="rect">
                                      <a:avLst/>
                                    </a:prstGeom>
                                  </pic:spPr>
                                </pic:pic>
                              </a:graphicData>
                            </a:graphic>
                          </wp:inline>
                        </w:drawing>
                      </w:r>
                    </w:p>
                  </w:txbxContent>
                </v:textbox>
              </v:rect>
            </w:pict>
          </mc:Fallback>
        </mc:AlternateConten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pP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rPr>
        <w:t>肺病変には、肺胞出血、間質性肺炎、肺結節影、肺浸潤影を含む。</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急速進行性糸球体腎炎</w:t>
      </w:r>
      <w:r>
        <w:rPr>
          <w:rFonts w:ascii="ＭＳ Ｐゴシック" w:hAnsi="ＭＳ Ｐゴシック" w:cs="ＭＳ Ｐゴシック" w:eastAsia="ＭＳ Ｐゴシック"/>
        </w:rPr>
        <w:t>の診断</w:t>
      </w:r>
      <w:r>
        <w:rPr>
          <w:rFonts w:ascii="ＭＳ Ｐゴシック" w:hAnsi="ＭＳ Ｐゴシック" w:cs="ＭＳ Ｐゴシック" w:eastAsia="ＭＳ Ｐゴシック"/>
        </w:rPr>
        <w:t>が加わる時には</w:t>
      </w:r>
      <w:r>
        <w:rPr>
          <w:rFonts w:ascii="ＭＳ Ｐゴシック" w:hAnsi="ＭＳ Ｐゴシック" w:cs="ＭＳ Ｐゴシック" w:eastAsia="ＭＳ Ｐゴシック"/>
        </w:rPr>
        <w:t>、全ての患者が入院加療の上、腎生検・免疫抑制療法を中心とした高度医療の対象とな</w:t>
      </w:r>
      <w:r>
        <w:rPr>
          <w:rFonts w:ascii="ＭＳ Ｐゴシック" w:hAnsi="ＭＳ Ｐゴシック" w:cs="ＭＳ Ｐゴシック" w:eastAsia="ＭＳ Ｐゴシック"/>
        </w:rPr>
        <w:t>るため、初期治療時に診断基準を満たした</w:t>
      </w:r>
      <w:r>
        <w:rPr>
          <w:rFonts w:eastAsia="ＭＳ Ｐゴシック" w:cs="ＭＳ Ｐゴシック" w:ascii="ＭＳ Ｐゴシック" w:hAnsi="ＭＳ Ｐゴシック"/>
        </w:rPr>
        <w:t>GradeI</w:t>
      </w:r>
      <w:r>
        <w:rPr>
          <w:rFonts w:ascii="ＭＳ Ｐゴシック" w:hAnsi="ＭＳ Ｐゴシック" w:cs="ＭＳ Ｐゴシック" w:eastAsia="ＭＳ Ｐゴシック"/>
        </w:rPr>
        <w:t>以上を重症とする。</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　</w:t>
      </w:r>
      <w:r>
        <w:rPr>
          <w:rFonts w:ascii="ＭＳ Ｐゴシック" w:hAnsi="ＭＳ Ｐゴシック" w:cs="ＭＳ Ｐゴシック" w:eastAsia="ＭＳ Ｐゴシック"/>
        </w:rPr>
        <w:t>寛解とは、腎不全の進行が停止し、腎炎性尿所見が消失した状態である。再発とは、一度寛解した状態から、腎炎性尿所見を伴い腎不全が再度進行し、治療法の強化が必要な状態をさす。再発時にも</w:t>
      </w:r>
      <w:r>
        <w:rPr>
          <w:rFonts w:eastAsia="ＭＳ Ｐゴシック" w:cs="ＭＳ Ｐゴシック" w:ascii="ＭＳ Ｐゴシック" w:hAnsi="ＭＳ Ｐゴシック"/>
        </w:rPr>
        <w:t>GradeI</w:t>
      </w:r>
      <w:r>
        <w:rPr>
          <w:rFonts w:ascii="ＭＳ Ｐゴシック" w:hAnsi="ＭＳ Ｐゴシック" w:cs="ＭＳ Ｐゴシック" w:eastAsia="ＭＳ Ｐゴシック"/>
        </w:rPr>
        <w:t>以上を重症とする。</w:t>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臨床所見のスコア化による重症度分類（維持治療用）</w:t>
      </w:r>
    </w:p>
    <w:p>
      <w:pPr>
        <w:pStyle w:val="Normal"/>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4"/>
        </w:rPr>
        <w:t>CKD</w:t>
      </w:r>
      <w:r>
        <w:rPr>
          <w:rFonts w:ascii="ＭＳ Ｐゴシック" w:hAnsi="ＭＳ Ｐゴシック" w:cs="ＭＳ Ｐゴシック" w:eastAsia="ＭＳ Ｐゴシック"/>
          <w:sz w:val="24"/>
        </w:rPr>
        <w:t>重症度分類ヒートマップで赤の部分を対象とする。</w:t>
      </w:r>
    </w:p>
    <w:tbl>
      <w:tblPr>
        <w:tblW w:w="10870" w:type="dxa"/>
        <w:jc w:val="left"/>
        <w:tblInd w:w="-562" w:type="dxa"/>
        <w:tblBorders>
          <w:top w:val="single" w:sz="4" w:space="0" w:color="000000"/>
          <w:left w:val="single" w:sz="4" w:space="0" w:color="000000"/>
          <w:bottom w:val="single" w:sz="4" w:space="0" w:color="000000"/>
          <w:insideH w:val="single" w:sz="4" w:space="0" w:color="000000"/>
        </w:tblBorders>
        <w:tblCellMar>
          <w:top w:w="0" w:type="dxa"/>
          <w:left w:w="94" w:type="dxa"/>
          <w:bottom w:w="0" w:type="dxa"/>
          <w:right w:w="99" w:type="dxa"/>
        </w:tblCellMar>
      </w:tblPr>
      <w:tblGrid>
        <w:gridCol w:w="1642"/>
        <w:gridCol w:w="1275"/>
        <w:gridCol w:w="1843"/>
        <w:gridCol w:w="1172"/>
        <w:gridCol w:w="1663"/>
        <w:gridCol w:w="1625"/>
        <w:gridCol w:w="1650"/>
      </w:tblGrid>
      <w:tr>
        <w:trPr>
          <w:trHeight w:val="300" w:hRule="atLeast"/>
        </w:trPr>
        <w:tc>
          <w:tcPr>
            <w:tcW w:w="2917" w:type="dxa"/>
            <w:gridSpan w:val="2"/>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　</w:t>
            </w:r>
          </w:p>
        </w:tc>
        <w:tc>
          <w:tcPr>
            <w:tcW w:w="3015" w:type="dxa"/>
            <w:gridSpan w:val="2"/>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蛋白尿区分</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A1</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A2</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eastAsia="HGP創英角ｺﾞｼｯｸUB" w:cs="ＭＳ Ｐゴシック" w:ascii="HGP創英角ｺﾞｼｯｸUB" w:hAnsi="HGP創英角ｺﾞｼｯｸUB"/>
                <w:sz w:val="26"/>
                <w:szCs w:val="26"/>
              </w:rPr>
              <w:t>A3</w:t>
            </w:r>
          </w:p>
        </w:tc>
      </w:tr>
      <w:tr>
        <w:trPr>
          <w:trHeight w:val="360" w:hRule="atLeast"/>
        </w:trPr>
        <w:tc>
          <w:tcPr>
            <w:tcW w:w="2917"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　</w:t>
            </w:r>
          </w:p>
        </w:tc>
        <w:tc>
          <w:tcPr>
            <w:tcW w:w="3015" w:type="dxa"/>
            <w:gridSpan w:val="2"/>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尿蛋白定量</w:t>
            </w:r>
            <w:r>
              <w:rPr>
                <w:rFonts w:eastAsia="HGP創英角ｺﾞｼｯｸUB" w:cs="ＭＳ Ｐゴシック" w:ascii="HGP創英角ｺﾞｼｯｸUB" w:hAnsi="HGP創英角ｺﾞｼｯｸUB"/>
                <w:sz w:val="26"/>
                <w:szCs w:val="26"/>
              </w:rPr>
              <w:br/>
              <w:t>(g/</w:t>
            </w:r>
            <w:r>
              <w:rPr>
                <w:rFonts w:ascii="HGP創英角ｺﾞｼｯｸUB" w:hAnsi="HGP創英角ｺﾞｼｯｸUB" w:cs="ＭＳ Ｐゴシック" w:eastAsia="HGP創英角ｺﾞｼｯｸUB"/>
                <w:sz w:val="26"/>
                <w:szCs w:val="26"/>
              </w:rPr>
              <w:t>日</w:t>
            </w:r>
            <w:r>
              <w:rPr>
                <w:rFonts w:eastAsia="HGP創英角ｺﾞｼｯｸUB" w:cs="ＭＳ Ｐゴシック" w:ascii="HGP創英角ｺﾞｼｯｸUB" w:hAnsi="HGP創英角ｺﾞｼｯｸUB"/>
                <w:sz w:val="26"/>
                <w:szCs w:val="26"/>
              </w:rPr>
              <w:t>)</w:t>
              <w:br/>
            </w:r>
            <w:r>
              <w:rPr>
                <w:rFonts w:ascii="HGP創英角ｺﾞｼｯｸUB" w:hAnsi="HGP創英角ｺﾞｼｯｸUB" w:cs="ＭＳ Ｐゴシック" w:eastAsia="HGP創英角ｺﾞｼｯｸUB"/>
                <w:sz w:val="26"/>
                <w:szCs w:val="26"/>
              </w:rPr>
              <w:t>尿蛋白</w:t>
            </w:r>
            <w:r>
              <w:rPr>
                <w:rFonts w:eastAsia="HGP創英角ｺﾞｼｯｸUB" w:cs="ＭＳ Ｐゴシック" w:ascii="HGP創英角ｺﾞｼｯｸUB" w:hAnsi="HGP創英角ｺﾞｼｯｸUB"/>
                <w:sz w:val="26"/>
                <w:szCs w:val="26"/>
              </w:rPr>
              <w:t xml:space="preserve">/Cr </w:t>
            </w:r>
            <w:r>
              <w:rPr>
                <w:rFonts w:ascii="HGP創英角ｺﾞｼｯｸUB" w:hAnsi="HGP創英角ｺﾞｼｯｸUB" w:cs="ＭＳ Ｐゴシック" w:eastAsia="HGP創英角ｺﾞｼｯｸUB"/>
                <w:sz w:val="26"/>
                <w:szCs w:val="26"/>
              </w:rPr>
              <w:t>比</w:t>
            </w:r>
            <w:r>
              <w:rPr>
                <w:rFonts w:eastAsia="HGP創英角ｺﾞｼｯｸUB" w:cs="ＭＳ Ｐゴシック" w:ascii="HGP創英角ｺﾞｼｯｸUB" w:hAnsi="HGP創英角ｺﾞｼｯｸUB"/>
                <w:sz w:val="26"/>
                <w:szCs w:val="26"/>
              </w:rPr>
              <w:br/>
              <w:t>(g/gCr)</w:t>
            </w:r>
          </w:p>
        </w:tc>
        <w:tc>
          <w:tcPr>
            <w:tcW w:w="1663"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正常</w:t>
            </w:r>
          </w:p>
        </w:tc>
        <w:tc>
          <w:tcPr>
            <w:tcW w:w="1625"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軽度蛋白尿</w:t>
            </w:r>
          </w:p>
        </w:tc>
        <w:tc>
          <w:tcPr>
            <w:tcW w:w="165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sz w:val="26"/>
                <w:szCs w:val="26"/>
              </w:rPr>
            </w:pPr>
            <w:r>
              <w:rPr>
                <w:rFonts w:ascii="HGP創英角ｺﾞｼｯｸUB" w:hAnsi="HGP創英角ｺﾞｼｯｸUB" w:cs="ＭＳ Ｐゴシック" w:eastAsia="HGP創英角ｺﾞｼｯｸUB"/>
                <w:sz w:val="26"/>
                <w:szCs w:val="26"/>
              </w:rPr>
              <w:t>高度蛋白尿</w:t>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36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25" w:type="dxa"/>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r>
      <w:tr>
        <w:trPr>
          <w:trHeight w:val="600" w:hRule="atLeast"/>
        </w:trPr>
        <w:tc>
          <w:tcPr>
            <w:tcW w:w="2917"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3015" w:type="dxa"/>
            <w:gridSpan w:val="2"/>
            <w:vMerge w:val="continue"/>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0.15</w:t>
            </w:r>
            <w:r>
              <w:rPr>
                <w:rFonts w:ascii="HGP創英角ｺﾞｼｯｸUB" w:hAnsi="HGP創英角ｺﾞｼｯｸUB" w:cs="ＭＳ Ｐゴシック" w:eastAsia="HGP創英角ｺﾞｼｯｸUB"/>
                <w:color w:val="000000"/>
                <w:sz w:val="26"/>
                <w:szCs w:val="26"/>
              </w:rPr>
              <w:t>未満</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0.15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0.49</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0.50</w:t>
            </w:r>
            <w:r>
              <w:rPr>
                <w:rFonts w:ascii="HGP創英角ｺﾞｼｯｸUB" w:hAnsi="HGP創英角ｺﾞｼｯｸUB" w:cs="ＭＳ Ｐゴシック" w:eastAsia="HGP創英角ｺﾞｼｯｸUB"/>
                <w:color w:val="000000"/>
                <w:sz w:val="26"/>
                <w:szCs w:val="26"/>
              </w:rPr>
              <w:t>以上</w:t>
            </w:r>
          </w:p>
        </w:tc>
      </w:tr>
      <w:tr>
        <w:trPr>
          <w:trHeight w:val="420" w:hRule="atLeast"/>
        </w:trPr>
        <w:tc>
          <w:tcPr>
            <w:tcW w:w="1642" w:type="dxa"/>
            <w:vMerge w:val="restart"/>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mc:AlternateContent>
                <mc:Choice Requires="wps">
                  <w:drawing>
                    <wp:anchor behindDoc="0" distT="0" distB="0" distL="114935" distR="114935" simplePos="0" locked="0" layoutInCell="1" allowOverlap="1" relativeHeight="5">
                      <wp:simplePos x="0" y="0"/>
                      <wp:positionH relativeFrom="margin">
                        <wp:posOffset>-53975</wp:posOffset>
                      </wp:positionH>
                      <wp:positionV relativeFrom="paragraph">
                        <wp:posOffset>1398270</wp:posOffset>
                      </wp:positionV>
                      <wp:extent cx="5878195" cy="448310"/>
                      <wp:effectExtent l="0" t="0" r="0" b="0"/>
                      <wp:wrapNone/>
                      <wp:docPr id="4" name="カギ線コネクタ 36"/>
                      <a:graphic xmlns:a="http://schemas.openxmlformats.org/drawingml/2006/main">
                        <a:graphicData uri="http://schemas.microsoft.com/office/word/2010/wordprocessingShape">
                          <wps:cxnSp>
                            <wps:nvCxnSpPr>
                              <wps:cNvPr id="0" name="Line 1"/>
                              <wps:cNvCxnSpPr/>
                              <wps:nvPr/>
                            </wps:nvCxnSpPr>
                            <wps:spPr>
                              <a:xfrm flipV="1">
                                <a:off x="0" y="0"/>
                                <a:ext cx="5878080" cy="448200"/>
                              </a:xfrm>
                              <a:prstGeom prst="straightConnector1">
                                <a:avLst/>
                              </a:prstGeom>
                              <a:ln w="38160">
                                <a:solidFill>
                                  <a:srgbClr val="ff0000"/>
                                </a:solidFill>
                                <a:custDash>
                                  <a:ds d="300000" sp="200000"/>
                                </a:custDash>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カギ線コネクタ 36" stroked="t" style="position:absolute;margin-left:23.85pt;margin-top:110.1pt;width:462.8pt;height:35.2pt;flip:y;mso-position-horizontal-relative:margin" type="shapetype_32">
                      <v:stroke color="red" weight="38160" dashstyle="dash" joinstyle="miter" endcap="square"/>
                      <v:fill o:detectmouseclick="t" on="false"/>
                    </v:shape>
                  </w:pict>
                </mc:Fallback>
              </mc:AlternateContent>
            </w:r>
            <w:r>
              <w:rPr>
                <w:rFonts w:eastAsia="HGP創英角ｺﾞｼｯｸUB" w:cs="ＭＳ Ｐゴシック" w:ascii="HGP創英角ｺﾞｼｯｸUB" w:hAnsi="HGP創英角ｺﾞｼｯｸUB"/>
                <w:color w:val="000000"/>
                <w:sz w:val="26"/>
                <w:szCs w:val="26"/>
              </w:rPr>
              <w:t>G</w:t>
            </w:r>
            <w:r>
              <w:rPr>
                <w:rFonts w:eastAsia="HGP創英角ｺﾞｼｯｸUB" w:cs="ＭＳ Ｐゴシック" w:ascii="HGP創英角ｺﾞｼｯｸUB" w:hAnsi="HGP創英角ｺﾞｼｯｸUB"/>
                <w:color w:val="000000"/>
                <w:sz w:val="26"/>
                <w:szCs w:val="26"/>
              </w:rPr>
              <w:t>FR</w:t>
            </w:r>
            <w:r>
              <w:rPr>
                <w:rFonts w:ascii="HGP創英角ｺﾞｼｯｸUB" w:hAnsi="HGP創英角ｺﾞｼｯｸUB" w:cs="ＭＳ Ｐゴシック" w:eastAsia="HGP創英角ｺﾞｼｯｸUB"/>
                <w:color w:val="000000"/>
                <w:sz w:val="26"/>
                <w:szCs w:val="26"/>
              </w:rPr>
              <w:t>区分</w:t>
            </w:r>
            <w:r>
              <w:rPr>
                <w:rFonts w:eastAsia="HGP創英角ｺﾞｼｯｸUB" w:cs="ＭＳ Ｐゴシック" w:ascii="HGP創英角ｺﾞｼｯｸUB" w:hAnsi="HGP創英角ｺﾞｼｯｸUB"/>
                <w:color w:val="000000"/>
                <w:sz w:val="26"/>
                <w:szCs w:val="26"/>
              </w:rPr>
              <w:br/>
              <w:t>(mL/</w:t>
            </w:r>
            <w:r>
              <w:rPr>
                <w:rFonts w:ascii="HGP創英角ｺﾞｼｯｸUB" w:hAnsi="HGP創英角ｺﾞｼｯｸUB" w:cs="ＭＳ Ｐゴシック" w:eastAsia="HGP創英角ｺﾞｼｯｸUB"/>
                <w:color w:val="000000"/>
                <w:sz w:val="26"/>
                <w:szCs w:val="26"/>
              </w:rPr>
              <w:t>分</w:t>
            </w:r>
            <w:r>
              <w:rPr>
                <w:rFonts w:eastAsia="HGP創英角ｺﾞｼｯｸUB" w:cs="ＭＳ Ｐゴシック" w:ascii="HGP創英角ｺﾞｼｯｸUB" w:hAnsi="HGP創英角ｺﾞｼｯｸUB"/>
                <w:color w:val="000000"/>
                <w:sz w:val="26"/>
                <w:szCs w:val="26"/>
              </w:rPr>
              <w:t>/1.73</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w:t>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G1</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正常又は高値</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HGP創英角ｺﾞｼｯｸUB"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90</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緑</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G2</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正常又は軽度低下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60</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89</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緑</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G3a</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軽度～中等度低下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45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59</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黄</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mc:AlternateContent>
                <mc:Choice Requires="wps">
                  <w:drawing>
                    <wp:anchor behindDoc="0" distT="0" distB="0" distL="114935" distR="114935" simplePos="0" locked="0" layoutInCell="1" allowOverlap="1" relativeHeight="4">
                      <wp:simplePos x="0" y="0"/>
                      <wp:positionH relativeFrom="margin">
                        <wp:posOffset>-44450</wp:posOffset>
                      </wp:positionH>
                      <wp:positionV relativeFrom="paragraph">
                        <wp:posOffset>35560</wp:posOffset>
                      </wp:positionV>
                      <wp:extent cx="2058670" cy="448945"/>
                      <wp:effectExtent l="0" t="0" r="0" b="0"/>
                      <wp:wrapNone/>
                      <wp:docPr id="5" name="カギ線コネクタ 14"/>
                      <a:graphic xmlns:a="http://schemas.openxmlformats.org/drawingml/2006/main">
                        <a:graphicData uri="http://schemas.microsoft.com/office/word/2010/wordprocessingShape">
                          <wps:cxnSp>
                            <wps:nvCxnSpPr>
                              <wps:cNvPr id="1" name="Line 1"/>
                              <wps:cNvCxnSpPr/>
                              <wps:nvPr/>
                            </wps:nvCxnSpPr>
                            <wps:spPr>
                              <a:xfrm flipV="1">
                                <a:off x="0" y="0"/>
                                <a:ext cx="2058480" cy="448560"/>
                              </a:xfrm>
                              <a:prstGeom prst="straightConnector1">
                                <a:avLst/>
                              </a:prstGeom>
                              <a:ln w="38160">
                                <a:solidFill>
                                  <a:srgbClr val="ff0000"/>
                                </a:solidFill>
                                <a:custDash>
                                  <a:ds d="300000" sp="200000"/>
                                </a:custDash>
                                <a:miter/>
                              </a:ln>
                            </wps:spPr>
                            <wps:bodyPr/>
                          </wps:cxnSp>
                        </a:graphicData>
                      </a:graphic>
                    </wp:anchor>
                  </w:drawing>
                </mc:Choice>
                <mc:Fallback>
                  <w:pict>
                    <v:shape id="shape_0" ID="カギ線コネクタ 14" stroked="t" style="position:absolute;margin-left:-355.1pt;margin-top:2.8pt;width:162.05pt;height:35.2pt;flip:y;mso-position-horizontal-relative:margin" type="shapetype_32">
                      <v:stroke color="red" weight="38160" dashstyle="dash" joinstyle="miter" endcap="square"/>
                      <v:fill o:detectmouseclick="t" on="false"/>
                    </v:shape>
                  </w:pict>
                </mc:Fallback>
              </mc:AlternateContent>
            </w:r>
            <w:r>
              <w:rPr>
                <w:rFonts w:ascii="ＭＳ Ｐゴシック" w:hAnsi="ＭＳ Ｐゴシック" w:cs="ＭＳ Ｐゴシック" w:eastAsia="ＭＳ Ｐゴシック"/>
                <w:sz w:val="36"/>
                <w:szCs w:val="36"/>
              </w:rPr>
              <w:t>オ</w:t>
            </w:r>
            <w:r>
              <w:rPr>
                <w:rFonts w:ascii="ＭＳ Ｐゴシック" w:hAnsi="ＭＳ Ｐゴシック" w:cs="ＭＳ Ｐゴシック" w:eastAsia="ＭＳ Ｐゴシック"/>
                <w:sz w:val="36"/>
                <w:szCs w:val="36"/>
              </w:rPr>
              <w:t>レンジ</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60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G3b</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中等度～高度低下</w:t>
            </w:r>
          </w:p>
        </w:tc>
        <w:tc>
          <w:tcPr>
            <w:tcW w:w="1172"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30</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44</w:t>
            </w:r>
          </w:p>
        </w:tc>
        <w:tc>
          <w:tcPr>
            <w:tcW w:w="1663"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オレンジ</w:t>
            </w:r>
          </w:p>
        </w:tc>
        <w:tc>
          <w:tcPr>
            <w:tcW w:w="1625" w:type="dxa"/>
            <w:tcBorders>
              <w:top w:val="single" w:sz="4" w:space="0" w:color="000000"/>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51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G4</w:t>
            </w:r>
          </w:p>
        </w:tc>
        <w:tc>
          <w:tcPr>
            <w:tcW w:w="1843"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高度低下</w:t>
            </w:r>
          </w:p>
        </w:tc>
        <w:tc>
          <w:tcPr>
            <w:tcW w:w="1172"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15</w:t>
            </w: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29</w:t>
            </w:r>
          </w:p>
        </w:tc>
        <w:tc>
          <w:tcPr>
            <w:tcW w:w="1663"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25" w:type="dxa"/>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c>
          <w:tcPr>
            <w:tcW w:w="16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ＭＳ Ｐゴシック" w:hAnsi="ＭＳ Ｐゴシック" w:eastAsia="ＭＳ Ｐゴシック" w:cs="ＭＳ Ｐゴシック"/>
                <w:sz w:val="36"/>
                <w:szCs w:val="36"/>
              </w:rPr>
            </w:pPr>
            <w:r>
              <w:rPr>
                <w:rFonts w:ascii="ＭＳ Ｐゴシック" w:hAnsi="ＭＳ Ｐゴシック" w:cs="ＭＳ Ｐゴシック" w:eastAsia="ＭＳ Ｐゴシック"/>
                <w:sz w:val="36"/>
                <w:szCs w:val="36"/>
              </w:rPr>
              <w:t>赤</w:t>
            </w:r>
          </w:p>
        </w:tc>
      </w:tr>
      <w:tr>
        <w:trPr>
          <w:trHeight w:val="36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t>G5</w:t>
            </w:r>
          </w:p>
        </w:tc>
        <w:tc>
          <w:tcPr>
            <w:tcW w:w="1843"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left"/>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末期腎不全（</w:t>
            </w:r>
            <w:r>
              <w:rPr>
                <w:rFonts w:eastAsia="HGP創英角ｺﾞｼｯｸUB" w:cs="ＭＳ Ｐゴシック" w:ascii="HGP創英角ｺﾞｼｯｸUB" w:hAnsi="HGP創英角ｺﾞｼｯｸUB"/>
                <w:color w:val="000000"/>
                <w:sz w:val="26"/>
                <w:szCs w:val="26"/>
              </w:rPr>
              <w:t>ESKD</w:t>
            </w:r>
            <w:r>
              <w:rPr>
                <w:rFonts w:ascii="HGP創英角ｺﾞｼｯｸUB" w:hAnsi="HGP創英角ｺﾞｼｯｸUB" w:cs="ＭＳ Ｐゴシック" w:eastAsia="HGP創英角ｺﾞｼｯｸUB"/>
                <w:color w:val="000000"/>
                <w:sz w:val="26"/>
                <w:szCs w:val="26"/>
              </w:rPr>
              <w:t>）</w:t>
            </w:r>
          </w:p>
        </w:tc>
        <w:tc>
          <w:tcPr>
            <w:tcW w:w="1172"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HGP創英角ｺﾞｼｯｸUB" w:hAnsi="HGP創英角ｺﾞｼｯｸUB" w:eastAsia="HGP創英角ｺﾞｼｯｸUB" w:cs="ＭＳ Ｐゴシック"/>
                <w:color w:val="000000"/>
                <w:sz w:val="26"/>
                <w:szCs w:val="26"/>
              </w:rPr>
            </w:pPr>
            <w:r>
              <w:rPr>
                <w:rFonts w:ascii="HGP創英角ｺﾞｼｯｸUB" w:hAnsi="HGP創英角ｺﾞｼｯｸUB" w:cs="ＭＳ Ｐゴシック" w:eastAsia="HGP創英角ｺﾞｼｯｸUB"/>
                <w:color w:val="000000"/>
                <w:sz w:val="26"/>
                <w:szCs w:val="26"/>
              </w:rPr>
              <w:t>＜</w:t>
            </w:r>
            <w:r>
              <w:rPr>
                <w:rFonts w:eastAsia="HGP創英角ｺﾞｼｯｸUB" w:cs="ＭＳ Ｐゴシック" w:ascii="HGP創英角ｺﾞｼｯｸUB" w:hAnsi="HGP創英角ｺﾞｼｯｸUB"/>
                <w:color w:val="000000"/>
                <w:sz w:val="26"/>
                <w:szCs w:val="26"/>
              </w:rPr>
              <w:t>15</w:t>
            </w:r>
          </w:p>
        </w:tc>
        <w:tc>
          <w:tcPr>
            <w:tcW w:w="1663"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c>
          <w:tcPr>
            <w:tcW w:w="1625" w:type="dxa"/>
            <w:vMerge w:val="restart"/>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c>
          <w:tcPr>
            <w:tcW w:w="165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jc w:val="center"/>
              <w:rPr>
                <w:rFonts w:ascii="Arial" w:hAnsi="Arial" w:eastAsia="ＭＳ Ｐゴシック" w:cs="Arial"/>
                <w:sz w:val="36"/>
                <w:szCs w:val="36"/>
              </w:rPr>
            </w:pPr>
            <w:r>
              <w:rPr>
                <w:rFonts w:ascii="Arial" w:hAnsi="Arial" w:cs="Arial" w:eastAsia="ＭＳ Ｐゴシック"/>
                <w:sz w:val="36"/>
                <w:szCs w:val="36"/>
              </w:rPr>
              <w:t>赤</w:t>
            </w:r>
          </w:p>
        </w:tc>
      </w:tr>
      <w:tr>
        <w:trPr>
          <w:trHeight w:val="360" w:hRule="atLeast"/>
        </w:trPr>
        <w:tc>
          <w:tcPr>
            <w:tcW w:w="164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275"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843"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172"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HGP創英角ｺﾞｼｯｸUB" w:hAnsi="HGP創英角ｺﾞｼｯｸUB" w:eastAsia="HGP創英角ｺﾞｼｯｸUB" w:cs="ＭＳ Ｐゴシック"/>
                <w:color w:val="000000"/>
                <w:sz w:val="26"/>
                <w:szCs w:val="26"/>
              </w:rPr>
            </w:pPr>
            <w:r>
              <w:rPr>
                <w:rFonts w:eastAsia="HGP創英角ｺﾞｼｯｸUB" w:cs="ＭＳ Ｐゴシック" w:ascii="HGP創英角ｺﾞｼｯｸUB" w:hAnsi="HGP創英角ｺﾞｼｯｸUB"/>
                <w:color w:val="000000"/>
                <w:sz w:val="26"/>
                <w:szCs w:val="26"/>
              </w:rPr>
            </w:r>
          </w:p>
        </w:tc>
        <w:tc>
          <w:tcPr>
            <w:tcW w:w="1663"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color w:val="000000"/>
                <w:sz w:val="36"/>
                <w:szCs w:val="36"/>
              </w:rPr>
            </w:pPr>
            <w:r>
              <w:rPr>
                <w:rFonts w:eastAsia="ＭＳ Ｐゴシック" w:cs="Arial" w:ascii="Arial" w:hAnsi="Arial"/>
                <w:color w:val="000000"/>
                <w:sz w:val="36"/>
                <w:szCs w:val="36"/>
              </w:rPr>
            </w:r>
          </w:p>
        </w:tc>
        <w:tc>
          <w:tcPr>
            <w:tcW w:w="1625" w:type="dxa"/>
            <w:vMerge w:val="continue"/>
            <w:tcBorders>
              <w:left w:val="single" w:sz="4" w:space="0" w:color="000000"/>
              <w:bottom w:val="single" w:sz="4" w:space="0" w:color="000000"/>
              <w:insideH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sz w:val="36"/>
                <w:szCs w:val="36"/>
              </w:rPr>
            </w:pPr>
            <w:r>
              <w:rPr>
                <w:rFonts w:eastAsia="ＭＳ Ｐゴシック" w:cs="Arial" w:ascii="Arial" w:hAnsi="Arial"/>
                <w:sz w:val="36"/>
                <w:szCs w:val="36"/>
              </w:rPr>
            </w:r>
          </w:p>
        </w:tc>
        <w:tc>
          <w:tcPr>
            <w:tcW w:w="165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94" w:type="dxa"/>
            </w:tcMar>
            <w:vAlign w:val="center"/>
          </w:tcPr>
          <w:p>
            <w:pPr>
              <w:pStyle w:val="Normal"/>
              <w:widowControl/>
              <w:snapToGrid w:val="false"/>
              <w:jc w:val="left"/>
              <w:rPr>
                <w:rFonts w:ascii="Arial" w:hAnsi="Arial" w:eastAsia="ＭＳ Ｐゴシック" w:cs="Arial"/>
                <w:sz w:val="36"/>
                <w:szCs w:val="36"/>
              </w:rPr>
            </w:pPr>
            <w:r>
              <w:rPr>
                <w:rFonts w:eastAsia="ＭＳ Ｐゴシック" w:cs="Arial" w:ascii="Arial" w:hAnsi="Arial"/>
                <w:sz w:val="36"/>
                <w:szCs w:val="36"/>
              </w:rPr>
            </w:r>
          </w:p>
        </w:tc>
      </w:tr>
    </w:tbl>
    <w:p>
      <w:pPr>
        <w:pStyle w:val="Normal"/>
        <w:rPr>
          <w:rFonts w:ascii="ＭＳ Ｐゴシック" w:hAnsi="ＭＳ Ｐゴシック" w:eastAsia="ＭＳ Ｐゴシック" w:cs="ＭＳ Ｐゴシック"/>
          <w:b/>
          <w:b/>
          <w:color w:val="FF0000"/>
        </w:rPr>
      </w:pPr>
      <w:r>
        <w:rPr>
          <w:rFonts w:eastAsia="ＭＳ Ｐゴシック" w:cs="ＭＳ Ｐゴシック" w:ascii="ＭＳ Ｐゴシック" w:hAnsi="ＭＳ Ｐゴシック"/>
          <w:b/>
          <w:color w:val="FF0000"/>
        </w:rPr>
      </w:r>
    </w:p>
    <w:p>
      <w:pPr>
        <w:pStyle w:val="Normal"/>
        <w:widowControl/>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維持治療時とは、初期治療あるいは再発時治療を行い、おおむね</w:t>
      </w:r>
      <w:r>
        <w:rPr>
          <w:rFonts w:eastAsia="ＭＳ Ｐゴシック" w:cs="ＭＳ Ｐゴシック" w:ascii="ＭＳ Ｐゴシック" w:hAnsi="ＭＳ Ｐゴシック"/>
          <w:szCs w:val="21"/>
        </w:rPr>
        <w:t>0.5</w:t>
      </w:r>
      <w:r>
        <w:rPr>
          <w:rFonts w:ascii="ＭＳ Ｐゴシック" w:hAnsi="ＭＳ Ｐゴシック" w:cs="ＭＳ Ｐゴシック" w:eastAsia="ＭＳ Ｐゴシック"/>
          <w:szCs w:val="21"/>
        </w:rPr>
        <w:t>年経過した時点とする。</w:t>
      </w:r>
    </w:p>
    <w:p>
      <w:pPr>
        <w:pStyle w:val="Normal"/>
        <w:rPr>
          <w:rFonts w:ascii="ＭＳ Ｐゴシック" w:hAnsi="ＭＳ Ｐゴシック" w:eastAsia="ＭＳ Ｐゴシック" w:cs="ＭＳ Ｐゴシック"/>
          <w:b/>
          <w:b/>
          <w:szCs w:val="21"/>
        </w:rPr>
      </w:pPr>
      <w:r>
        <w:rPr>
          <w:rFonts w:eastAsia="ＭＳ Ｐゴシック" w:cs="ＭＳ Ｐゴシック" w:ascii="ＭＳ Ｐゴシック" w:hAnsi="ＭＳ Ｐゴシック"/>
          <w:b/>
          <w:szCs w:val="21"/>
        </w:rPr>
      </w:r>
    </w:p>
    <w:p>
      <w:pPr>
        <w:pStyle w:val="Normal"/>
        <w:widowControl/>
        <w:jc w:val="left"/>
        <w:rPr>
          <w:rFonts w:ascii="ＭＳ Ｐゴシック" w:hAnsi="ＭＳ Ｐゴシック" w:eastAsia="ＭＳ Ｐゴシック" w:cs="ＭＳ Ｐゴシック"/>
          <w:b/>
          <w:b/>
          <w:sz w:val="20"/>
          <w:szCs w:val="21"/>
        </w:rPr>
      </w:pPr>
      <w:r>
        <w:rPr>
          <w:rFonts w:eastAsia="ＭＳ Ｐゴシック" w:cs="ＭＳ Ｐゴシック" w:ascii="ＭＳ Ｐゴシック" w:hAnsi="ＭＳ Ｐゴシック"/>
          <w:b/>
          <w:sz w:val="20"/>
          <w:szCs w:val="21"/>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ind w:left="420" w:hanging="420"/>
        <w:rPr/>
      </w:pPr>
      <w:r>
        <w:rPr>
          <w:szCs w:val="21"/>
        </w:rPr>
        <w:t>３．なお、症状の程度が上記の重症度分類等で一定以上に該当しない者であるが、高額な医療を継続することが必要なものについては、医療費助成の対象とする。</w:t>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ＭＳ Ｐゴシック">
    <w:charset w:val="80"/>
    <w:family w:val="modern"/>
    <w:pitch w:val="variable"/>
  </w:font>
  <w:font w:name="Liberation Sans">
    <w:altName w:val="Arial"/>
    <w:charset w:val="01"/>
    <w:family w:val="swiss"/>
    <w:pitch w:val="variable"/>
  </w:font>
  <w:font w:name="HGP創英角ｺﾞｼｯｸUB">
    <w:charset w:val="80"/>
    <w:family w:val="modern"/>
    <w:pitch w:val="variable"/>
  </w:font>
  <w:font w:name="ＭＳ 明朝">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lang w:val="en-US"/>
      </w:rPr>
    </w:lvl>
  </w:abstractNum>
  <w:abstractNum w:abstractNumId="2">
    <w:lvl w:ilvl="0">
      <w:start w:val="1"/>
      <w:numFmt w:val="decimalFullWidth"/>
      <w:lvlText w:val="%1）"/>
      <w:lvlJc w:val="left"/>
      <w:pPr>
        <w:ind w:left="502" w:hanging="360"/>
      </w:pPr>
      <w:rPr>
        <w:bCs/>
        <w:rFonts w:ascii="ＭＳ Ｐゴシック" w:hAnsi="ＭＳ Ｐゴシック" w:eastAsia="ＭＳ Ｐゴシック" w:cs="ＭＳ Ｐゴシック"/>
      </w:rPr>
    </w:lvl>
  </w:abstractNum>
  <w:abstractNum w:abstractNumId="3">
    <w:lvl w:ilvl="0">
      <w:start w:val="1"/>
      <w:numFmt w:val="decimalFullWidth"/>
      <w:lvlText w:val="%1）"/>
      <w:lvlJc w:val="left"/>
      <w:pPr>
        <w:ind w:left="630" w:hanging="420"/>
      </w:pPr>
      <w:rPr>
        <w:rFonts w:ascii="ＭＳ Ｐゴシック" w:hAnsi="ＭＳ Ｐゴシック" w:eastAsia="ＭＳ Ｐゴシック" w:cs="ＭＳ Ｐゴシック"/>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lang w:val="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ＭＳ Ｐゴシック" w:hAnsi="ＭＳ Ｐゴシック" w:eastAsia="ＭＳ Ｐゴシック" w:cs="ＭＳ Ｐゴシック"/>
      <w:bC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ＭＳ Ｐゴシック" w:hAnsi="ＭＳ Ｐゴシック" w:eastAsia="ＭＳ Ｐゴシック" w:cs="ＭＳ Ｐゴシック"/>
      <w:color w:val="000000"/>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basedOn w:val="Style14"/>
    <w:qFormat/>
    <w:rPr/>
  </w:style>
  <w:style w:type="character" w:styleId="Style17">
    <w:name w:val="フッター (文字)"/>
    <w:basedOn w:val="Style14"/>
    <w:qFormat/>
    <w:rPr/>
  </w:style>
  <w:style w:type="character" w:styleId="Style18">
    <w:name w:val="コメント参照"/>
    <w:qFormat/>
    <w:rPr>
      <w:sz w:val="18"/>
      <w:szCs w:val="18"/>
    </w:rPr>
  </w:style>
  <w:style w:type="character" w:styleId="Style19">
    <w:name w:val="コメント文字列 (文字)"/>
    <w:basedOn w:val="Style14"/>
    <w:qFormat/>
    <w:rPr/>
  </w:style>
  <w:style w:type="character" w:styleId="Style20">
    <w:name w:val="コメント内容 (文字)"/>
    <w:qFormat/>
    <w:rPr>
      <w:b/>
      <w:bCs/>
    </w:rPr>
  </w:style>
  <w:style w:type="paragraph" w:styleId="Style21">
    <w:name w:val="見出し"/>
    <w:basedOn w:val="Normal"/>
    <w:next w:val="Style22"/>
    <w:qFormat/>
    <w:pPr>
      <w:keepNext w:val="true"/>
      <w:spacing w:before="240" w:after="120"/>
    </w:pPr>
    <w:rPr>
      <w:rFonts w:ascii="Liberation Sans" w:hAnsi="Liberation Sans" w:eastAsia="VL ゴシック" w:cs="VL ゴシック"/>
      <w:sz w:val="28"/>
      <w:szCs w:val="28"/>
    </w:rPr>
  </w:style>
  <w:style w:type="paragraph" w:styleId="Style22">
    <w:name w:val="Body Text"/>
    <w:basedOn w:val="Normal"/>
    <w:pPr>
      <w:spacing w:lineRule="auto" w:line="288"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i/>
      <w:iCs/>
      <w:sz w:val="24"/>
      <w:szCs w:val="24"/>
    </w:rPr>
  </w:style>
  <w:style w:type="paragraph" w:styleId="Style25">
    <w:name w:val="索引"/>
    <w:basedOn w:val="Normal"/>
    <w:qFormat/>
    <w:pPr>
      <w:suppressLineNumbers/>
    </w:pPr>
    <w:rPr/>
  </w:style>
  <w:style w:type="paragraph" w:styleId="Style26">
    <w:name w:val="吹き出し"/>
    <w:basedOn w:val="Normal"/>
    <w:qFormat/>
    <w:pPr/>
    <w:rPr>
      <w:rFonts w:ascii="Arial" w:hAnsi="Arial" w:eastAsia="ＭＳ ゴシック;MS Gothic" w:cs="Arial"/>
      <w:sz w:val="18"/>
      <w:szCs w:val="18"/>
      <w:lang w:val="ja-JP"/>
    </w:rPr>
  </w:style>
  <w:style w:type="paragraph" w:styleId="13">
    <w:name w:val="表 (青) 13"/>
    <w:basedOn w:val="Normal"/>
    <w:qFormat/>
    <w:pPr>
      <w:ind w:left="840" w:hanging="0"/>
    </w:pPr>
    <w:rPr/>
  </w:style>
  <w:style w:type="paragraph" w:styleId="Style27">
    <w:name w:val="Header"/>
    <w:basedOn w:val="Normal"/>
    <w:pPr>
      <w:snapToGrid w:val="false"/>
    </w:pPr>
    <w:rPr/>
  </w:style>
  <w:style w:type="paragraph" w:styleId="Style28">
    <w:name w:val="Footer"/>
    <w:basedOn w:val="Normal"/>
    <w:pPr>
      <w:snapToGrid w:val="false"/>
    </w:pPr>
    <w:rPr/>
  </w:style>
  <w:style w:type="paragraph" w:styleId="Style29">
    <w:name w:val="コメント文字列"/>
    <w:basedOn w:val="Normal"/>
    <w:qFormat/>
    <w:pPr>
      <w:jc w:val="left"/>
    </w:pPr>
    <w:rPr/>
  </w:style>
  <w:style w:type="paragraph" w:styleId="Style30">
    <w:name w:val="コメント内容"/>
    <w:basedOn w:val="Style29"/>
    <w:next w:val="Style29"/>
    <w:qFormat/>
    <w:pPr/>
    <w:rPr>
      <w:b/>
      <w:bCs/>
      <w:sz w:val="20"/>
      <w:szCs w:val="20"/>
      <w:lang w:val="ja-JP"/>
    </w:rPr>
  </w:style>
  <w:style w:type="paragraph" w:styleId="12">
    <w:name w:val="表 (青) 12"/>
    <w:qFormat/>
    <w:pPr>
      <w:widowControl/>
    </w:pPr>
    <w:rPr>
      <w:rFonts w:ascii="Century" w:hAnsi="Century" w:eastAsia="ＭＳ 明朝;MS Mincho" w:cs="Times New Roman"/>
      <w:color w:val="auto"/>
      <w:sz w:val="21"/>
      <w:szCs w:val="22"/>
      <w:lang w:val="en-US" w:eastAsia="ja-JP" w:bidi="ar-SA"/>
    </w:rPr>
  </w:style>
  <w:style w:type="paragraph" w:styleId="Style31">
    <w:name w:val="枠の内容"/>
    <w:basedOn w:val="Normal"/>
    <w:qFormat/>
    <w:pPr/>
    <w:rPr/>
  </w:style>
  <w:style w:type="paragraph" w:styleId="Style32">
    <w:name w:val="表の内容"/>
    <w:basedOn w:val="Normal"/>
    <w:qFormat/>
    <w:pPr>
      <w:suppressLineNumbers/>
    </w:pPr>
    <w:rPr/>
  </w:style>
  <w:style w:type="paragraph" w:styleId="Style33">
    <w:name w:val="表の見出し"/>
    <w:basedOn w:val="Style32"/>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2017-07-26T18:03:00Z</dcterms:created>
  <dc:creator>厚生労働省ネットワークシステム</dc:creator>
  <dc:description/>
  <dc:language>ja-JP</dc:language>
  <cp:lastModifiedBy>厚生労働省ネットワークシステム</cp:lastModifiedBy>
  <cp:lastPrinted>2018-02-15T18:00:00Z</cp:lastPrinted>
  <dcterms:modified xsi:type="dcterms:W3CDTF">2018-03-16T13:56:00Z</dcterms:modified>
  <cp:revision>6</cp:revision>
  <dc:subject/>
  <dc:title/>
</cp:coreProperties>
</file>