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ＭＳ Ｐゴシック" w:hAnsi="ＭＳ Ｐゴシック" w:eastAsia="ＭＳ Ｐゴシック" w:cs="ＭＳ Ｐゴシック"/>
          <w:sz w:val="28"/>
        </w:rPr>
      </w:pPr>
      <w:r>
        <w:rPr>
          <w:rFonts w:eastAsia="ＭＳ Ｐゴシック" w:cs="ＭＳ Ｐゴシック" w:ascii="ＭＳ Ｐゴシック" w:hAnsi="ＭＳ Ｐゴシック"/>
          <w:sz w:val="28"/>
        </w:rPr>
        <w:t>221</w:t>
      </w:r>
      <w:r>
        <w:rPr>
          <w:rFonts w:ascii="ＭＳ Ｐゴシック" w:hAnsi="ＭＳ Ｐゴシック" w:cs="ＭＳ Ｐゴシック" w:eastAsia="ＭＳ Ｐゴシック"/>
          <w:sz w:val="28"/>
        </w:rPr>
        <w:t>　抗糸球体基底膜腎炎</w:t>
      </w:r>
    </w:p>
    <w:p>
      <w:pPr>
        <w:pStyle w:val="Normal"/>
        <w:rPr>
          <w:rFonts w:ascii="ＭＳ Ｐゴシック" w:hAnsi="ＭＳ Ｐゴシック" w:eastAsia="ＭＳ Ｐゴシック" w:cs="ＭＳ Ｐゴシック"/>
          <w:bdr w:val="single" w:sz="4" w:space="0" w:color="000000"/>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　概要</w:t>
      </w:r>
    </w:p>
    <w:p>
      <w:pPr>
        <w:pStyle w:val="Normal"/>
        <w:ind w:left="210" w:hanging="0"/>
        <w:rPr>
          <w:rFonts w:ascii="ＭＳ Ｐゴシック" w:hAnsi="ＭＳ Ｐゴシック" w:eastAsia="ＭＳ Ｐゴシック" w:cs="ＭＳ Ｐゴシック"/>
          <w:bdr w:val="single" w:sz="4" w:space="0" w:color="000000"/>
        </w:rPr>
      </w:pPr>
      <w:r>
        <w:rPr>
          <w:rFonts w:eastAsia="ＭＳ Ｐゴシック" w:cs="ＭＳ Ｐゴシック" w:ascii="ＭＳ Ｐゴシック" w:hAnsi="ＭＳ Ｐゴシック"/>
          <w:bdr w:val="single" w:sz="4" w:space="0" w:color="000000"/>
        </w:rPr>
      </w:r>
    </w:p>
    <w:p>
      <w:pPr>
        <w:pStyle w:val="Normal"/>
        <w:ind w:left="210" w:hanging="0"/>
        <w:rPr/>
      </w:pPr>
      <w:r>
        <w:rPr>
          <w:rFonts w:ascii="ＭＳ Ｐゴシック" w:hAnsi="ＭＳ Ｐゴシック" w:cs="ＭＳ Ｐゴシック" w:eastAsia="ＭＳ Ｐゴシック"/>
        </w:rPr>
        <w:t>１．</w:t>
      </w:r>
      <w:r>
        <w:rPr>
          <w:rFonts w:ascii="ＭＳ Ｐゴシック" w:hAnsi="ＭＳ Ｐゴシック" w:cs="ＭＳ Ｐゴシック" w:eastAsia="ＭＳ Ｐゴシック"/>
        </w:rPr>
        <w:t>概要</w:t>
      </w:r>
    </w:p>
    <w:p>
      <w:pPr>
        <w:pStyle w:val="Normal"/>
        <w:ind w:left="372" w:firstLine="42"/>
        <w:rPr/>
      </w:pPr>
      <w:r>
        <w:rPr>
          <w:rFonts w:ascii="ＭＳ Ｐゴシック" w:hAnsi="ＭＳ Ｐゴシック" w:cs="ＭＳ Ｐゴシック" w:eastAsia="ＭＳ Ｐゴシック"/>
        </w:rPr>
        <w:t>　血清中又は腎糸球体に抗糸球体基底膜抗体を認め、典型例では</w:t>
      </w:r>
      <w:r>
        <w:rPr>
          <w:rFonts w:ascii="ＭＳ Ｐゴシック" w:hAnsi="ＭＳ Ｐゴシック" w:cs="ＭＳ Ｐゴシック" w:eastAsia="ＭＳ Ｐゴシック"/>
          <w:szCs w:val="21"/>
        </w:rPr>
        <w:t>腎糸球体に急速かつ激烈な炎症がおこり、数週から数か月間の経過で腎機能が急速に低下する急速進行性糸球体腎炎症候群を呈する。肺出血を合併する場合もあり、腎予後、生命予後とも不良で維持透析へ移行しない場合も慢性腎不全としての管理加療を要することが大半である。腎疾患の中でも最も予後が悪く、治療にも難渋することが多い。</w:t>
      </w:r>
    </w:p>
    <w:p>
      <w:pPr>
        <w:pStyle w:val="Normal"/>
        <w:ind w:left="372" w:firstLine="42"/>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ind w:left="210" w:hanging="0"/>
        <w:rPr/>
      </w:pPr>
      <w:r>
        <w:rPr>
          <w:rFonts w:ascii="ＭＳ Ｐゴシック" w:hAnsi="ＭＳ Ｐゴシック" w:cs="ＭＳ Ｐゴシック" w:eastAsia="ＭＳ Ｐゴシック"/>
        </w:rPr>
        <w:t>２．原因</w:t>
      </w:r>
      <w:r>
        <w:rPr>
          <w:rFonts w:ascii="ＭＳ Ｐゴシック" w:hAnsi="ＭＳ Ｐゴシック" w:cs="ＭＳ Ｐゴシック" w:eastAsia="ＭＳ Ｐゴシック"/>
        </w:rPr>
        <w:t xml:space="preserve"> </w:t>
      </w:r>
    </w:p>
    <w:p>
      <w:pPr>
        <w:pStyle w:val="Normal"/>
        <w:ind w:left="372" w:hanging="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rPr>
        <w:t>　何らかの機序で、糸球体基底膜の４型コラーゲンに対する自己抗体</w:t>
      </w:r>
      <w:r>
        <w:rPr>
          <w:rFonts w:ascii="ＭＳ Ｐゴシック" w:hAnsi="ＭＳ Ｐゴシック" w:cs="ＭＳ Ｐゴシック" w:eastAsia="ＭＳ Ｐゴシック"/>
          <w:szCs w:val="21"/>
        </w:rPr>
        <w:t>（抗糸球体基底膜抗体）</w:t>
      </w:r>
      <w:r>
        <w:rPr>
          <w:rFonts w:ascii="ＭＳ Ｐゴシック" w:hAnsi="ＭＳ Ｐゴシック" w:cs="ＭＳ Ｐゴシック" w:eastAsia="ＭＳ Ｐゴシック"/>
        </w:rPr>
        <w:t>が産生され、糸球体基底膜に沈着することで</w:t>
      </w:r>
      <w:r>
        <w:rPr>
          <w:rFonts w:ascii="ＭＳ Ｐゴシック" w:hAnsi="ＭＳ Ｐゴシック" w:cs="ＭＳ Ｐゴシック" w:eastAsia="ＭＳ Ｐゴシック"/>
          <w:szCs w:val="21"/>
        </w:rPr>
        <w:t>、免疫学的機序を介しておこるものと考えられている。腎糸球体の特徴的な病理像は、ボウマン腔に形成される半月体（クレッセント）と呼ばれる構造の出現である。これにより本来の糸球体の血流が妨げられ糸球体における血液ろ過が急速に低下し腎機能が悪化する。半月体の形成機序は不明である。</w:t>
      </w:r>
    </w:p>
    <w:p>
      <w:pPr>
        <w:pStyle w:val="Normal"/>
        <w:ind w:left="372" w:firstLine="210"/>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ind w:left="210" w:hanging="0"/>
        <w:rPr/>
      </w:pPr>
      <w:r>
        <w:rPr>
          <w:rFonts w:ascii="ＭＳ Ｐゴシック" w:hAnsi="ＭＳ Ｐゴシック" w:cs="ＭＳ Ｐゴシック" w:eastAsia="ＭＳ Ｐゴシック"/>
        </w:rPr>
        <w:t>３．症状</w:t>
      </w:r>
      <w:r>
        <w:rPr>
          <w:rFonts w:ascii="ＭＳ Ｐゴシック" w:hAnsi="ＭＳ Ｐゴシック" w:cs="ＭＳ Ｐゴシック" w:eastAsia="ＭＳ Ｐゴシック"/>
        </w:rPr>
        <w:t xml:space="preserve"> </w:t>
      </w:r>
    </w:p>
    <w:p>
      <w:pPr>
        <w:pStyle w:val="Normal"/>
        <w:ind w:left="372" w:hanging="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rPr>
        <w:t>　</w:t>
      </w:r>
      <w:r>
        <w:rPr>
          <w:rFonts w:ascii="ＭＳ Ｐゴシック" w:hAnsi="ＭＳ Ｐゴシック" w:cs="ＭＳ Ｐゴシック" w:eastAsia="ＭＳ Ｐゴシック"/>
          <w:szCs w:val="21"/>
        </w:rPr>
        <w:t>自覚症状としては、全身倦怠感、微熱などの不特定な症状。検査所見としては、血尿＋たんぱく尿、腎機能の急速な低下</w:t>
      </w:r>
      <w:r>
        <w:rPr>
          <w:rFonts w:eastAsia="ＭＳ Ｐゴシック" w:cs="ＭＳ Ｐゴシック" w:ascii="ＭＳ Ｐゴシック" w:hAnsi="ＭＳ Ｐゴシック"/>
          <w:szCs w:val="21"/>
        </w:rPr>
        <w:t>(</w:t>
      </w:r>
      <w:r>
        <w:rPr>
          <w:rFonts w:ascii="ＭＳ Ｐゴシック" w:hAnsi="ＭＳ Ｐゴシック" w:cs="ＭＳ Ｐゴシック" w:eastAsia="ＭＳ Ｐゴシック"/>
          <w:szCs w:val="21"/>
        </w:rPr>
        <w:t>血清クレアチニンの急速な上昇）、貧血、などである。腎臓以外の全身症状として、肺胞出血がみられることがある。</w:t>
      </w:r>
    </w:p>
    <w:p>
      <w:pPr>
        <w:pStyle w:val="Normal"/>
        <w:ind w:left="372" w:firstLine="210"/>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ind w:firstLine="210"/>
        <w:rPr/>
      </w:pPr>
      <w:r>
        <w:rPr>
          <w:rFonts w:ascii="ＭＳ Ｐゴシック" w:hAnsi="ＭＳ Ｐゴシック" w:cs="ＭＳ Ｐゴシック" w:eastAsia="ＭＳ Ｐゴシック"/>
        </w:rPr>
        <w:t>４．治療法</w:t>
      </w:r>
      <w:r>
        <w:rPr>
          <w:rFonts w:ascii="ＭＳ Ｐゴシック" w:hAnsi="ＭＳ Ｐゴシック" w:cs="ＭＳ Ｐゴシック" w:eastAsia="ＭＳ Ｐゴシック"/>
        </w:rPr>
        <w:t xml:space="preserve"> </w:t>
      </w:r>
    </w:p>
    <w:p>
      <w:pPr>
        <w:pStyle w:val="Normal"/>
        <w:ind w:left="372" w:firstLine="21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ステロイド</w:t>
      </w:r>
      <w:r>
        <w:rPr>
          <w:rFonts w:eastAsia="ＭＳ Ｐゴシック" w:cs="ＭＳ Ｐゴシック" w:ascii="ＭＳ Ｐゴシック" w:hAnsi="ＭＳ Ｐゴシック"/>
          <w:szCs w:val="21"/>
        </w:rPr>
        <w:t>(</w:t>
      </w:r>
      <w:r>
        <w:rPr>
          <w:rFonts w:ascii="ＭＳ Ｐゴシック" w:hAnsi="ＭＳ Ｐゴシック" w:cs="ＭＳ Ｐゴシック" w:eastAsia="ＭＳ Ｐゴシック"/>
          <w:szCs w:val="21"/>
        </w:rPr>
        <w:t>経口、点滴パルス）、免疫抑制薬（シクロホスファミド、アザチオプリン、ミゾリビンなど）、抗体除去のための血漿交換ないし血液吸着療法など。完全な原因除去でなく、免疫抑制療法による、長期的な疾患コントロールが行われる</w:t>
      </w:r>
      <w:r>
        <w:rPr>
          <w:rFonts w:ascii="ＭＳ Ｐゴシック" w:hAnsi="ＭＳ Ｐゴシック" w:cs="ＭＳ Ｐゴシック" w:eastAsia="ＭＳ Ｐゴシック"/>
        </w:rPr>
        <w:t>経過中の免疫抑制薬等による維持治療が必須で、長期の療養が必要である。</w:t>
      </w:r>
      <w:r>
        <w:rPr>
          <w:rFonts w:ascii="ＭＳ Ｐゴシック" w:hAnsi="ＭＳ Ｐゴシック" w:cs="ＭＳ Ｐゴシック" w:eastAsia="ＭＳ Ｐゴシック"/>
          <w:szCs w:val="21"/>
        </w:rPr>
        <w:t>腎不全が進行した場合には透析療法が必要になる。治療を開始した場合には、重篤な感染症が合併する危険性も高く、それが原因で死亡することもある。</w:t>
      </w:r>
    </w:p>
    <w:p>
      <w:pPr>
        <w:pStyle w:val="Normal"/>
        <w:ind w:left="372" w:firstLine="210"/>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ind w:firstLine="21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５．予後</w:t>
      </w:r>
    </w:p>
    <w:p>
      <w:pPr>
        <w:pStyle w:val="Normal"/>
        <w:ind w:left="388" w:firstLine="21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２年間での死亡率</w:t>
      </w:r>
      <w:r>
        <w:rPr>
          <w:rFonts w:eastAsia="ＭＳ Ｐゴシック" w:cs="ＭＳ Ｐゴシック" w:ascii="ＭＳ Ｐゴシック" w:hAnsi="ＭＳ Ｐゴシック"/>
          <w:szCs w:val="21"/>
        </w:rPr>
        <w:t>9.9</w:t>
      </w:r>
      <w:r>
        <w:rPr>
          <w:rFonts w:ascii="ＭＳ Ｐゴシック" w:hAnsi="ＭＳ Ｐゴシック" w:cs="ＭＳ Ｐゴシック" w:eastAsia="ＭＳ Ｐゴシック"/>
          <w:szCs w:val="21"/>
        </w:rPr>
        <w:t>％、腎不全による維持透析への移行率（腎死率）</w:t>
      </w:r>
      <w:r>
        <w:rPr>
          <w:rFonts w:eastAsia="ＭＳ Ｐゴシック" w:cs="ＭＳ Ｐゴシック" w:ascii="ＭＳ Ｐゴシック" w:hAnsi="ＭＳ Ｐゴシック"/>
          <w:szCs w:val="21"/>
        </w:rPr>
        <w:t>73</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9</w:t>
      </w:r>
      <w:r>
        <w:rPr>
          <w:rFonts w:ascii="ＭＳ Ｐゴシック" w:hAnsi="ＭＳ Ｐゴシック" w:cs="ＭＳ Ｐゴシック" w:eastAsia="ＭＳ Ｐゴシック"/>
          <w:szCs w:val="21"/>
        </w:rPr>
        <w:t>％である。維持透析に至らなくとも、大半の患者で慢性腎不全としての管理加療を要する。</w:t>
      </w:r>
    </w:p>
    <w:p>
      <w:pPr>
        <w:pStyle w:val="Normal"/>
        <w:ind w:firstLine="210"/>
        <w:rPr>
          <w:rFonts w:ascii="ＭＳ 明朝;MS Mincho" w:hAnsi="ＭＳ 明朝;MS Mincho" w:eastAsia="ＭＳ Ｐゴシック" w:cs="ＭＳ 明朝;MS Mincho"/>
          <w:szCs w:val="21"/>
        </w:rPr>
      </w:pPr>
      <w:r>
        <w:rPr>
          <w:rFonts w:eastAsia="ＭＳ Ｐゴシック" w:cs="ＭＳ 明朝;MS Mincho" w:ascii="ＭＳ 明朝;MS Mincho" w:hAnsi="ＭＳ 明朝;MS Mincho"/>
          <w:szCs w:val="21"/>
        </w:rPr>
      </w:r>
      <w:r>
        <w:br w:type="page"/>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　要件の判定に必要な事項</w:t>
      </w:r>
    </w:p>
    <w:p>
      <w:pPr>
        <w:pStyle w:val="13"/>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患者数</w:t>
      </w:r>
    </w:p>
    <w:p>
      <w:pPr>
        <w:pStyle w:val="Normal"/>
        <w:spacing w:lineRule="exact" w:line="300"/>
        <w:ind w:firstLine="63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約</w:t>
      </w:r>
      <w:r>
        <w:rPr>
          <w:rFonts w:eastAsia="ＭＳ Ｐゴシック" w:cs="ＭＳ Ｐゴシック" w:ascii="ＭＳ Ｐゴシック" w:hAnsi="ＭＳ Ｐゴシック"/>
          <w:szCs w:val="21"/>
        </w:rPr>
        <w:t>200</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400</w:t>
      </w:r>
      <w:r>
        <w:rPr>
          <w:rFonts w:ascii="ＭＳ Ｐゴシック" w:hAnsi="ＭＳ Ｐゴシック" w:cs="ＭＳ Ｐゴシック" w:eastAsia="ＭＳ Ｐゴシック"/>
          <w:szCs w:val="21"/>
        </w:rPr>
        <w:t>人</w:t>
      </w:r>
    </w:p>
    <w:p>
      <w:pPr>
        <w:pStyle w:val="13"/>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発病の機構</w:t>
      </w:r>
    </w:p>
    <w:p>
      <w:pPr>
        <w:pStyle w:val="13"/>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不明（自己抗体の関与が指摘されている。）</w:t>
      </w:r>
    </w:p>
    <w:p>
      <w:pPr>
        <w:pStyle w:val="13"/>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効果的な治療方法</w:t>
      </w:r>
    </w:p>
    <w:p>
      <w:pPr>
        <w:pStyle w:val="13"/>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未確立（対症療法のみである。）</w:t>
      </w:r>
    </w:p>
    <w:p>
      <w:pPr>
        <w:pStyle w:val="13"/>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長期の療養</w:t>
      </w:r>
    </w:p>
    <w:p>
      <w:pPr>
        <w:pStyle w:val="13"/>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必要（長期の免疫療法や腎不全の進行による透析療法を行う必要がある。）</w:t>
      </w:r>
    </w:p>
    <w:p>
      <w:pPr>
        <w:pStyle w:val="13"/>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診断基準</w:t>
      </w:r>
    </w:p>
    <w:p>
      <w:pPr>
        <w:pStyle w:val="13"/>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あり（日本腎臓学会と研究班が共同で作成した基準あり。）</w:t>
      </w:r>
    </w:p>
    <w:p>
      <w:pPr>
        <w:pStyle w:val="13"/>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重症度分類</w:t>
      </w:r>
    </w:p>
    <w:p>
      <w:pPr>
        <w:pStyle w:val="13"/>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時期に応じて、初期治療時及び再発時用と維持治療時用を用い、いずれも重症を対象とする。</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bdr w:val="single" w:sz="4" w:space="0" w:color="000000"/>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情報提供元</w:t>
      </w:r>
    </w:p>
    <w:p>
      <w:pPr>
        <w:pStyle w:val="Normal"/>
        <w:ind w:left="210" w:hanging="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「進行性腎障害に関する調査研究班」</w:t>
      </w:r>
    </w:p>
    <w:p>
      <w:pPr>
        <w:pStyle w:val="Normal"/>
        <w:ind w:left="210" w:hanging="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研究代表者　新潟大学医歯学総合研究科　腎・膠原病内科学　教授　成田一衛</w:t>
      </w:r>
    </w:p>
    <w:p>
      <w:pPr>
        <w:pStyle w:val="Normal"/>
        <w:ind w:firstLine="220"/>
        <w:rPr>
          <w:rFonts w:ascii="ＭＳ ゴシック;MS Gothic" w:hAnsi="ＭＳ ゴシック;MS Gothic" w:eastAsia="ＭＳ ゴシック;MS Gothic" w:cs="ＭＳ ゴシック;MS Gothic"/>
          <w:sz w:val="22"/>
          <w:szCs w:val="21"/>
          <w:shd w:fill="FFFFFF" w:val="clear"/>
        </w:rPr>
      </w:pPr>
      <w:r>
        <w:rPr>
          <w:rFonts w:eastAsia="ＭＳ ゴシック;MS Gothic" w:cs="ＭＳ ゴシック;MS Gothic" w:ascii="ＭＳ ゴシック;MS Gothic" w:hAnsi="ＭＳ ゴシック;MS Gothic"/>
          <w:sz w:val="22"/>
          <w:szCs w:val="21"/>
          <w:shd w:fill="FFFFFF" w:val="clear"/>
        </w:rPr>
      </w:r>
    </w:p>
    <w:p>
      <w:pPr>
        <w:pStyle w:val="Normal"/>
        <w:ind w:firstLine="220"/>
        <w:rPr>
          <w:rFonts w:ascii="ＭＳ ゴシック;MS Gothic" w:hAnsi="ＭＳ ゴシック;MS Gothic" w:eastAsia="ＭＳ ゴシック;MS Gothic" w:cs="ＭＳ ゴシック;MS Gothic"/>
          <w:szCs w:val="21"/>
        </w:rPr>
      </w:pPr>
      <w:r>
        <w:rPr>
          <w:rFonts w:ascii="ＭＳ ゴシック;MS Gothic" w:hAnsi="ＭＳ ゴシック;MS Gothic" w:cs="ＭＳ ゴシック;MS Gothic" w:eastAsia="ＭＳ ゴシック;MS Gothic"/>
          <w:szCs w:val="21"/>
        </w:rPr>
        <w:t>日本腎臓学会</w:t>
      </w:r>
    </w:p>
    <w:p>
      <w:pPr>
        <w:pStyle w:val="Normal"/>
        <w:ind w:firstLine="220"/>
        <w:rPr>
          <w:rFonts w:ascii="ＭＳ ゴシック;MS Gothic" w:hAnsi="ＭＳ ゴシック;MS Gothic" w:eastAsia="ＭＳ ゴシック;MS Gothic" w:cs="ＭＳ ゴシック;MS Gothic"/>
          <w:szCs w:val="21"/>
        </w:rPr>
      </w:pPr>
      <w:r>
        <w:rPr>
          <w:rFonts w:eastAsia="ＭＳ ゴシック;MS Gothic" w:cs="ＭＳ ゴシック;MS Gothic" w:ascii="ＭＳ ゴシック;MS Gothic" w:hAnsi="ＭＳ ゴシック;MS Gothic"/>
          <w:szCs w:val="21"/>
        </w:rPr>
      </w:r>
    </w:p>
    <w:p>
      <w:pPr>
        <w:pStyle w:val="Normal"/>
        <w:ind w:firstLine="220"/>
        <w:rPr>
          <w:rFonts w:ascii="ＭＳ ゴシック;MS Gothic" w:hAnsi="ＭＳ ゴシック;MS Gothic" w:eastAsia="ＭＳ ゴシック;MS Gothic" w:cs="ＭＳ ゴシック;MS Gothic"/>
          <w:szCs w:val="21"/>
        </w:rPr>
      </w:pPr>
      <w:r>
        <w:rPr>
          <w:rFonts w:eastAsia="ＭＳ ゴシック;MS Gothic" w:cs="ＭＳ ゴシック;MS Gothic" w:ascii="ＭＳ ゴシック;MS Gothic" w:hAnsi="ＭＳ ゴシック;MS Gothic"/>
          <w:szCs w:val="21"/>
        </w:rPr>
      </w:r>
    </w:p>
    <w:p>
      <w:pPr>
        <w:pStyle w:val="Normal"/>
        <w:spacing w:lineRule="exact" w:line="300"/>
        <w:ind w:firstLine="210"/>
        <w:rPr>
          <w:rFonts w:ascii="ＭＳ 明朝;MS Mincho" w:hAnsi="ＭＳ 明朝;MS Mincho" w:eastAsia="ＭＳ ゴシック;MS Gothic" w:cs="ＭＳ 明朝;MS Mincho"/>
          <w:szCs w:val="21"/>
        </w:rPr>
      </w:pPr>
      <w:r>
        <w:rPr>
          <w:rFonts w:eastAsia="ＭＳ ゴシック;MS Gothic" w:cs="ＭＳ 明朝;MS Mincho" w:ascii="ＭＳ 明朝;MS Mincho" w:hAnsi="ＭＳ 明朝;MS Mincho"/>
          <w:szCs w:val="21"/>
        </w:rPr>
      </w:r>
      <w:r>
        <w:br w:type="page"/>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＜診断基準＞</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t>Definite</w:t>
      </w:r>
      <w:r>
        <w:rPr>
          <w:rFonts w:ascii="ＭＳ Ｐゴシック" w:hAnsi="ＭＳ Ｐゴシック" w:cs="ＭＳ Ｐゴシック" w:eastAsia="ＭＳ Ｐゴシック"/>
        </w:rPr>
        <w:t>を対象とする。</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１</w:t>
      </w:r>
      <w:r>
        <w:rPr>
          <w:rFonts w:ascii="ＭＳ Ｐゴシック" w:hAnsi="ＭＳ Ｐゴシック" w:cs="ＭＳ Ｐゴシック" w:eastAsia="ＭＳ Ｐゴシック"/>
        </w:rPr>
        <w:t>．</w:t>
      </w:r>
      <w:r>
        <w:rPr>
          <w:rFonts w:ascii="ＭＳ Ｐゴシック" w:hAnsi="ＭＳ Ｐゴシック" w:cs="ＭＳ Ｐゴシック" w:eastAsia="ＭＳ Ｐゴシック"/>
          <w:szCs w:val="21"/>
        </w:rPr>
        <w:t>抗糸球体基底膜</w:t>
      </w:r>
      <w:r>
        <w:rPr>
          <w:rFonts w:ascii="ＭＳ Ｐゴシック" w:hAnsi="ＭＳ Ｐゴシック" w:cs="ＭＳ Ｐゴシック" w:eastAsia="ＭＳ Ｐゴシック"/>
        </w:rPr>
        <w:t>腎炎の確定診断（</w:t>
      </w:r>
      <w:r>
        <w:rPr>
          <w:rFonts w:eastAsia="ＭＳ Ｐゴシック" w:cs="ＭＳ Ｐゴシック" w:ascii="ＭＳ Ｐゴシック" w:hAnsi="ＭＳ Ｐゴシック"/>
        </w:rPr>
        <w:t>Definite</w:t>
      </w:r>
      <w:r>
        <w:rPr>
          <w:rFonts w:ascii="ＭＳ Ｐゴシック" w:hAnsi="ＭＳ Ｐゴシック" w:cs="ＭＳ Ｐゴシック" w:eastAsia="ＭＳ Ｐゴシック"/>
        </w:rPr>
        <w:t>）</w:t>
      </w:r>
    </w:p>
    <w:p>
      <w:pPr>
        <w:pStyle w:val="13"/>
        <w:numPr>
          <w:ilvl w:val="0"/>
          <w:numId w:val="4"/>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血尿（多くは顕微鏡的血尿、稀に肉眼的血尿）、蛋白尿、円柱尿などの腎炎性尿所見を認める。</w:t>
      </w:r>
    </w:p>
    <w:p>
      <w:pPr>
        <w:pStyle w:val="13"/>
        <w:numPr>
          <w:ilvl w:val="0"/>
          <w:numId w:val="4"/>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血清抗糸球体基底膜抗体が陽性である。</w:t>
      </w:r>
    </w:p>
    <w:p>
      <w:pPr>
        <w:pStyle w:val="13"/>
        <w:numPr>
          <w:ilvl w:val="0"/>
          <w:numId w:val="4"/>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腎生検で糸球体係蹄壁に沿った線状の免疫グロブリンの沈着と壊死性半月体形成性糸球体腎炎を認める。</w:t>
      </w:r>
    </w:p>
    <w:p>
      <w:pPr>
        <w:pStyle w:val="13"/>
        <w:ind w:left="270" w:hanging="0"/>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ind w:left="270" w:hanging="0"/>
        <w:rPr/>
      </w:pPr>
      <w:r>
        <w:rPr>
          <w:rFonts w:ascii="ＭＳ Ｐゴシック" w:hAnsi="ＭＳ Ｐゴシック" w:cs="ＭＳ Ｐゴシック" w:eastAsia="ＭＳ Ｐゴシック"/>
        </w:rPr>
        <w:t>上記の１）及び２）又は１）及び３）を認める場合には「抗糸球体基底膜腎炎」と診断する。</w:t>
      </w:r>
    </w:p>
    <w:p>
      <w:pPr>
        <w:pStyle w:val="Normal"/>
        <w:ind w:left="270" w:hanging="0"/>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r>
        <w:br w:type="page"/>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＜重症度分類＞</w:t>
      </w:r>
    </w:p>
    <w:p>
      <w:pPr>
        <w:pStyle w:val="Norma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以下のいずれかを満たす場合を対象とする。</w:t>
      </w:r>
    </w:p>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rPr>
        <w:t>ア）</w:t>
      </w:r>
      <w:r>
        <w:rPr>
          <w:rFonts w:eastAsia="ＭＳ Ｐゴシック" w:cs="ＭＳ Ｐゴシック" w:ascii="ＭＳ Ｐゴシック" w:hAnsi="ＭＳ Ｐゴシック"/>
          <w:szCs w:val="21"/>
        </w:rPr>
        <w:t>CKD</w:t>
      </w:r>
      <w:r>
        <w:rPr>
          <w:rFonts w:ascii="ＭＳ Ｐゴシック" w:hAnsi="ＭＳ Ｐゴシック" w:cs="ＭＳ Ｐゴシック" w:eastAsia="ＭＳ Ｐゴシック"/>
          <w:szCs w:val="21"/>
        </w:rPr>
        <w:t>重症度分類ヒートマップで赤</w:t>
      </w:r>
      <w:r>
        <w:rPr>
          <w:rFonts w:ascii="ＭＳ Ｐゴシック" w:hAnsi="ＭＳ Ｐゴシック" w:cs="ＭＳ Ｐゴシック" w:eastAsia="ＭＳ Ｐゴシック"/>
          <w:szCs w:val="21"/>
        </w:rPr>
        <w:t>に該当するものとする。</w:t>
      </w:r>
    </w:p>
    <w:p>
      <w:pPr>
        <w:pStyle w:val="Normal"/>
        <w:widowControl/>
        <w:jc w:val="left"/>
        <w:rPr/>
      </w:pPr>
      <w:r>
        <w:rPr>
          <w:rFonts w:ascii="ＭＳ Ｐゴシック" w:hAnsi="ＭＳ Ｐゴシック" w:cs="ＭＳ Ｐゴシック" w:eastAsia="ＭＳ Ｐゴシック"/>
          <w:szCs w:val="21"/>
        </w:rPr>
        <w:t>イ）いずれの腎機能であっても蛋白尿</w:t>
      </w:r>
      <w:r>
        <w:rPr>
          <w:rFonts w:eastAsia="ＭＳ Ｐゴシック" w:cs="ＭＳ Ｐゴシック" w:ascii="ＭＳ Ｐゴシック" w:hAnsi="ＭＳ Ｐゴシック"/>
          <w:szCs w:val="21"/>
        </w:rPr>
        <w:t>0.5g/</w:t>
      </w:r>
      <w:r>
        <w:rPr>
          <w:rFonts w:ascii="ＭＳ Ｐゴシック" w:hAnsi="ＭＳ Ｐゴシック" w:cs="ＭＳ Ｐゴシック" w:eastAsia="ＭＳ Ｐゴシック"/>
          <w:szCs w:val="21"/>
        </w:rPr>
        <w:t>日以上のものは、重症として扱う。</w:t>
      </w:r>
    </w:p>
    <w:p>
      <w:pPr>
        <w:pStyle w:val="Normal"/>
        <w:widowControl/>
        <w:jc w:val="left"/>
        <w:rPr/>
      </w:pPr>
      <w:r>
        <w:rPr>
          <w:rFonts w:ascii="ＭＳ Ｐゴシック" w:hAnsi="ＭＳ Ｐゴシック" w:cs="ＭＳ Ｐゴシック" w:eastAsia="ＭＳ Ｐゴシック"/>
          <w:szCs w:val="21"/>
        </w:rPr>
        <w:t>ウ）当該疾患が原因である肺出血を呈する場合。</w:t>
      </w:r>
    </w:p>
    <w:p>
      <w:pPr>
        <w:pStyle w:val="Norma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sz w:val="24"/>
        </w:rPr>
      </w:pPr>
      <w:r>
        <w:rPr>
          <w:rFonts w:eastAsia="ＭＳ Ｐゴシック" w:cs="ＭＳ Ｐゴシック" w:ascii="ＭＳ Ｐゴシック" w:hAnsi="ＭＳ Ｐゴシック"/>
          <w:sz w:val="24"/>
        </w:rPr>
        <w:t>CKD</w:t>
      </w:r>
      <w:r>
        <w:rPr>
          <w:rFonts w:ascii="ＭＳ Ｐゴシック" w:hAnsi="ＭＳ Ｐゴシック" w:cs="ＭＳ Ｐゴシック" w:eastAsia="ＭＳ Ｐゴシック"/>
          <w:sz w:val="24"/>
        </w:rPr>
        <w:t>重症度分類ヒートマップで赤の部分を対象とする。</w:t>
      </w:r>
    </w:p>
    <w:tbl>
      <w:tblPr>
        <w:tblW w:w="10870" w:type="dxa"/>
        <w:jc w:val="left"/>
        <w:tblInd w:w="-562" w:type="dxa"/>
        <w:tblBorders>
          <w:top w:val="single" w:sz="4" w:space="0" w:color="000000"/>
          <w:left w:val="single" w:sz="4" w:space="0" w:color="000000"/>
          <w:bottom w:val="single" w:sz="4" w:space="0" w:color="000000"/>
          <w:insideH w:val="single" w:sz="4" w:space="0" w:color="000000"/>
        </w:tblBorders>
        <w:tblCellMar>
          <w:top w:w="0" w:type="dxa"/>
          <w:left w:w="94" w:type="dxa"/>
          <w:bottom w:w="0" w:type="dxa"/>
          <w:right w:w="99" w:type="dxa"/>
        </w:tblCellMar>
      </w:tblPr>
      <w:tblGrid>
        <w:gridCol w:w="1642"/>
        <w:gridCol w:w="1275"/>
        <w:gridCol w:w="1843"/>
        <w:gridCol w:w="1172"/>
        <w:gridCol w:w="1663"/>
        <w:gridCol w:w="1625"/>
        <w:gridCol w:w="1650"/>
      </w:tblGrid>
      <w:tr>
        <w:trPr>
          <w:trHeight w:val="300" w:hRule="atLeast"/>
        </w:trPr>
        <w:tc>
          <w:tcPr>
            <w:tcW w:w="2917" w:type="dxa"/>
            <w:gridSpan w:val="2"/>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　</w:t>
            </w:r>
          </w:p>
        </w:tc>
        <w:tc>
          <w:tcPr>
            <w:tcW w:w="3015" w:type="dxa"/>
            <w:gridSpan w:val="2"/>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蛋白尿区分</w:t>
            </w:r>
          </w:p>
        </w:tc>
        <w:tc>
          <w:tcPr>
            <w:tcW w:w="166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eastAsia="HGP創英角ｺﾞｼｯｸUB" w:cs="ＭＳ Ｐゴシック" w:ascii="HGP創英角ｺﾞｼｯｸUB" w:hAnsi="HGP創英角ｺﾞｼｯｸUB"/>
                <w:sz w:val="26"/>
                <w:szCs w:val="26"/>
              </w:rPr>
              <w:t>A1</w:t>
            </w:r>
          </w:p>
        </w:tc>
        <w:tc>
          <w:tcPr>
            <w:tcW w:w="162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eastAsia="HGP創英角ｺﾞｼｯｸUB" w:cs="ＭＳ Ｐゴシック" w:ascii="HGP創英角ｺﾞｼｯｸUB" w:hAnsi="HGP創英角ｺﾞｼｯｸUB"/>
                <w:sz w:val="26"/>
                <w:szCs w:val="26"/>
              </w:rPr>
              <w:t>A2</w:t>
            </w:r>
          </w:p>
        </w:tc>
        <w:tc>
          <w:tcPr>
            <w:tcW w:w="1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eastAsia="HGP創英角ｺﾞｼｯｸUB" w:cs="ＭＳ Ｐゴシック" w:ascii="HGP創英角ｺﾞｼｯｸUB" w:hAnsi="HGP創英角ｺﾞｼｯｸUB"/>
                <w:sz w:val="26"/>
                <w:szCs w:val="26"/>
              </w:rPr>
              <w:t>A3</w:t>
            </w:r>
          </w:p>
        </w:tc>
      </w:tr>
      <w:tr>
        <w:trPr>
          <w:trHeight w:val="360" w:hRule="atLeast"/>
        </w:trPr>
        <w:tc>
          <w:tcPr>
            <w:tcW w:w="2917" w:type="dxa"/>
            <w:gridSpan w:val="2"/>
            <w:vMerge w:val="restart"/>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　</w:t>
            </w:r>
          </w:p>
        </w:tc>
        <w:tc>
          <w:tcPr>
            <w:tcW w:w="3015" w:type="dxa"/>
            <w:gridSpan w:val="2"/>
            <w:vMerge w:val="restart"/>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尿蛋白定量</w:t>
            </w:r>
            <w:r>
              <w:rPr>
                <w:rFonts w:eastAsia="HGP創英角ｺﾞｼｯｸUB" w:cs="ＭＳ Ｐゴシック" w:ascii="HGP創英角ｺﾞｼｯｸUB" w:hAnsi="HGP創英角ｺﾞｼｯｸUB"/>
                <w:sz w:val="26"/>
                <w:szCs w:val="26"/>
              </w:rPr>
              <w:br/>
              <w:t>(g/</w:t>
            </w:r>
            <w:r>
              <w:rPr>
                <w:rFonts w:ascii="HGP創英角ｺﾞｼｯｸUB" w:hAnsi="HGP創英角ｺﾞｼｯｸUB" w:cs="ＭＳ Ｐゴシック" w:eastAsia="HGP創英角ｺﾞｼｯｸUB"/>
                <w:sz w:val="26"/>
                <w:szCs w:val="26"/>
              </w:rPr>
              <w:t>日</w:t>
            </w:r>
            <w:r>
              <w:rPr>
                <w:rFonts w:eastAsia="HGP創英角ｺﾞｼｯｸUB" w:cs="ＭＳ Ｐゴシック" w:ascii="HGP創英角ｺﾞｼｯｸUB" w:hAnsi="HGP創英角ｺﾞｼｯｸUB"/>
                <w:sz w:val="26"/>
                <w:szCs w:val="26"/>
              </w:rPr>
              <w:t>)</w:t>
              <w:br/>
            </w:r>
            <w:r>
              <w:rPr>
                <w:rFonts w:ascii="HGP創英角ｺﾞｼｯｸUB" w:hAnsi="HGP創英角ｺﾞｼｯｸUB" w:cs="ＭＳ Ｐゴシック" w:eastAsia="HGP創英角ｺﾞｼｯｸUB"/>
                <w:sz w:val="26"/>
                <w:szCs w:val="26"/>
              </w:rPr>
              <w:t>尿蛋白</w:t>
            </w:r>
            <w:r>
              <w:rPr>
                <w:rFonts w:eastAsia="HGP創英角ｺﾞｼｯｸUB" w:cs="ＭＳ Ｐゴシック" w:ascii="HGP創英角ｺﾞｼｯｸUB" w:hAnsi="HGP創英角ｺﾞｼｯｸUB"/>
                <w:sz w:val="26"/>
                <w:szCs w:val="26"/>
              </w:rPr>
              <w:t xml:space="preserve">/Cr </w:t>
            </w:r>
            <w:r>
              <w:rPr>
                <w:rFonts w:ascii="HGP創英角ｺﾞｼｯｸUB" w:hAnsi="HGP創英角ｺﾞｼｯｸUB" w:cs="ＭＳ Ｐゴシック" w:eastAsia="HGP創英角ｺﾞｼｯｸUB"/>
                <w:sz w:val="26"/>
                <w:szCs w:val="26"/>
              </w:rPr>
              <w:t>比</w:t>
            </w:r>
            <w:r>
              <w:rPr>
                <w:rFonts w:eastAsia="HGP創英角ｺﾞｼｯｸUB" w:cs="ＭＳ Ｐゴシック" w:ascii="HGP創英角ｺﾞｼｯｸUB" w:hAnsi="HGP創英角ｺﾞｼｯｸUB"/>
                <w:sz w:val="26"/>
                <w:szCs w:val="26"/>
              </w:rPr>
              <w:br/>
              <w:t>(g/gCr)</w:t>
            </w:r>
          </w:p>
        </w:tc>
        <w:tc>
          <w:tcPr>
            <w:tcW w:w="1663" w:type="dxa"/>
            <w:vMerge w:val="restart"/>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正常</w:t>
            </w:r>
          </w:p>
        </w:tc>
        <w:tc>
          <w:tcPr>
            <w:tcW w:w="1625" w:type="dxa"/>
            <w:vMerge w:val="restart"/>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軽度蛋白尿</w:t>
            </w:r>
          </w:p>
        </w:tc>
        <w:tc>
          <w:tcPr>
            <w:tcW w:w="165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高度蛋白尿</w:t>
            </w:r>
          </w:p>
        </w:tc>
      </w:tr>
      <w:tr>
        <w:trPr>
          <w:trHeight w:val="360" w:hRule="atLeast"/>
        </w:trPr>
        <w:tc>
          <w:tcPr>
            <w:tcW w:w="2917"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3015"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63"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25"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5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r>
      <w:tr>
        <w:trPr>
          <w:trHeight w:val="360" w:hRule="atLeast"/>
        </w:trPr>
        <w:tc>
          <w:tcPr>
            <w:tcW w:w="2917"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3015"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63"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25"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5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r>
      <w:tr>
        <w:trPr>
          <w:trHeight w:val="360" w:hRule="atLeast"/>
        </w:trPr>
        <w:tc>
          <w:tcPr>
            <w:tcW w:w="2917"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3015"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63"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25"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5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r>
      <w:tr>
        <w:trPr>
          <w:trHeight w:val="360" w:hRule="atLeast"/>
        </w:trPr>
        <w:tc>
          <w:tcPr>
            <w:tcW w:w="2917"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3015"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63"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25"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5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r>
      <w:tr>
        <w:trPr>
          <w:trHeight w:val="600" w:hRule="atLeast"/>
        </w:trPr>
        <w:tc>
          <w:tcPr>
            <w:tcW w:w="2917"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3015"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6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0.15</w:t>
            </w:r>
            <w:r>
              <w:rPr>
                <w:rFonts w:ascii="HGP創英角ｺﾞｼｯｸUB" w:hAnsi="HGP創英角ｺﾞｼｯｸUB" w:cs="ＭＳ Ｐゴシック" w:eastAsia="HGP創英角ｺﾞｼｯｸUB"/>
                <w:color w:val="000000"/>
                <w:sz w:val="26"/>
                <w:szCs w:val="26"/>
              </w:rPr>
              <w:t>未満</w:t>
            </w:r>
          </w:p>
        </w:tc>
        <w:tc>
          <w:tcPr>
            <w:tcW w:w="162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0.15</w:t>
            </w: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0.49</w:t>
            </w:r>
          </w:p>
        </w:tc>
        <w:tc>
          <w:tcPr>
            <w:tcW w:w="1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0.50</w:t>
            </w:r>
            <w:r>
              <w:rPr>
                <w:rFonts w:ascii="HGP創英角ｺﾞｼｯｸUB" w:hAnsi="HGP創英角ｺﾞｼｯｸUB" w:cs="ＭＳ Ｐゴシック" w:eastAsia="HGP創英角ｺﾞｼｯｸUB"/>
                <w:color w:val="000000"/>
                <w:sz w:val="26"/>
                <w:szCs w:val="26"/>
              </w:rPr>
              <w:t>以上</w:t>
            </w:r>
          </w:p>
        </w:tc>
      </w:tr>
      <w:tr>
        <w:trPr>
          <w:trHeight w:val="420" w:hRule="atLeast"/>
        </w:trPr>
        <w:tc>
          <w:tcPr>
            <w:tcW w:w="1642" w:type="dxa"/>
            <w:vMerge w:val="restart"/>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mc:AlternateContent>
                <mc:Choice Requires="wps">
                  <w:drawing>
                    <wp:anchor behindDoc="0" distT="0" distB="0" distL="114935" distR="114935" simplePos="0" locked="0" layoutInCell="1" allowOverlap="1" relativeHeight="3">
                      <wp:simplePos x="0" y="0"/>
                      <wp:positionH relativeFrom="margin">
                        <wp:posOffset>-53975</wp:posOffset>
                      </wp:positionH>
                      <wp:positionV relativeFrom="paragraph">
                        <wp:posOffset>1398270</wp:posOffset>
                      </wp:positionV>
                      <wp:extent cx="5878195" cy="448310"/>
                      <wp:effectExtent l="0" t="0" r="0" b="0"/>
                      <wp:wrapNone/>
                      <wp:docPr id="1" name="カギ線コネクタ 36"/>
                      <a:graphic xmlns:a="http://schemas.openxmlformats.org/drawingml/2006/main">
                        <a:graphicData uri="http://schemas.microsoft.com/office/word/2010/wordprocessingShape">
                          <wps:cxnSp>
                            <wps:nvCxnSpPr>
                              <wps:cNvPr id="0" name="Line 1"/>
                              <wps:cNvCxnSpPr/>
                              <wps:nvPr/>
                            </wps:nvCxnSpPr>
                            <wps:spPr>
                              <a:xfrm flipV="1">
                                <a:off x="0" y="0"/>
                                <a:ext cx="5878080" cy="448200"/>
                              </a:xfrm>
                              <a:prstGeom prst="straightConnector1">
                                <a:avLst/>
                              </a:prstGeom>
                              <a:ln w="38160">
                                <a:solidFill>
                                  <a:srgbClr val="ff0000"/>
                                </a:solidFill>
                                <a:custDash>
                                  <a:ds d="300000" sp="200000"/>
                                </a:custDash>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ID="カギ線コネクタ 36" stroked="t" style="position:absolute;margin-left:23.85pt;margin-top:110.1pt;width:462.8pt;height:35.2pt;flip:y;mso-position-horizontal-relative:margin" type="shapetype_32">
                      <v:stroke color="red" weight="38160" dashstyle="dash" joinstyle="miter" endcap="square"/>
                      <v:fill o:detectmouseclick="t" on="false"/>
                    </v:shape>
                  </w:pict>
                </mc:Fallback>
              </mc:AlternateContent>
            </w:r>
            <w:r>
              <w:rPr>
                <w:rFonts w:eastAsia="HGP創英角ｺﾞｼｯｸUB" w:cs="ＭＳ Ｐゴシック" w:ascii="HGP創英角ｺﾞｼｯｸUB" w:hAnsi="HGP創英角ｺﾞｼｯｸUB"/>
                <w:color w:val="000000"/>
                <w:sz w:val="26"/>
                <w:szCs w:val="26"/>
              </w:rPr>
              <w:t>G</w:t>
            </w:r>
            <w:r>
              <w:rPr>
                <w:rFonts w:eastAsia="HGP創英角ｺﾞｼｯｸUB" w:cs="ＭＳ Ｐゴシック" w:ascii="HGP創英角ｺﾞｼｯｸUB" w:hAnsi="HGP創英角ｺﾞｼｯｸUB"/>
                <w:color w:val="000000"/>
                <w:sz w:val="26"/>
                <w:szCs w:val="26"/>
              </w:rPr>
              <w:t>FR</w:t>
            </w:r>
            <w:r>
              <w:rPr>
                <w:rFonts w:ascii="HGP創英角ｺﾞｼｯｸUB" w:hAnsi="HGP創英角ｺﾞｼｯｸUB" w:cs="ＭＳ Ｐゴシック" w:eastAsia="HGP創英角ｺﾞｼｯｸUB"/>
                <w:color w:val="000000"/>
                <w:sz w:val="26"/>
                <w:szCs w:val="26"/>
              </w:rPr>
              <w:t>区分</w:t>
            </w:r>
            <w:r>
              <w:rPr>
                <w:rFonts w:eastAsia="HGP創英角ｺﾞｼｯｸUB" w:cs="ＭＳ Ｐゴシック" w:ascii="HGP創英角ｺﾞｼｯｸUB" w:hAnsi="HGP創英角ｺﾞｼｯｸUB"/>
                <w:color w:val="000000"/>
                <w:sz w:val="26"/>
                <w:szCs w:val="26"/>
              </w:rPr>
              <w:br/>
              <w:t>(mL/</w:t>
            </w:r>
            <w:r>
              <w:rPr>
                <w:rFonts w:ascii="HGP創英角ｺﾞｼｯｸUB" w:hAnsi="HGP創英角ｺﾞｼｯｸUB" w:cs="ＭＳ Ｐゴシック" w:eastAsia="HGP創英角ｺﾞｼｯｸUB"/>
                <w:color w:val="000000"/>
                <w:sz w:val="26"/>
                <w:szCs w:val="26"/>
              </w:rPr>
              <w:t>分</w:t>
            </w:r>
            <w:r>
              <w:rPr>
                <w:rFonts w:eastAsia="HGP創英角ｺﾞｼｯｸUB" w:cs="ＭＳ Ｐゴシック" w:ascii="HGP創英角ｺﾞｼｯｸUB" w:hAnsi="HGP創英角ｺﾞｼｯｸUB"/>
                <w:color w:val="000000"/>
                <w:sz w:val="26"/>
                <w:szCs w:val="26"/>
              </w:rPr>
              <w:t>/1.73</w:t>
            </w: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w:t>
            </w:r>
          </w:p>
        </w:tc>
        <w:tc>
          <w:tcPr>
            <w:tcW w:w="127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G1</w:t>
            </w:r>
          </w:p>
        </w:tc>
        <w:tc>
          <w:tcPr>
            <w:tcW w:w="184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left"/>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正常又は高値</w:t>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HGP創英角ｺﾞｼｯｸUB"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90</w:t>
            </w:r>
          </w:p>
        </w:tc>
        <w:tc>
          <w:tcPr>
            <w:tcW w:w="166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緑</w:t>
            </w:r>
          </w:p>
        </w:tc>
        <w:tc>
          <w:tcPr>
            <w:tcW w:w="162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黄</w:t>
            </w:r>
          </w:p>
        </w:tc>
        <w:tc>
          <w:tcPr>
            <w:tcW w:w="1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オレンジ</w:t>
            </w:r>
          </w:p>
        </w:tc>
      </w:tr>
      <w:tr>
        <w:trPr>
          <w:trHeight w:val="600" w:hRule="atLeast"/>
        </w:trPr>
        <w:tc>
          <w:tcPr>
            <w:tcW w:w="164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27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G2</w:t>
            </w:r>
          </w:p>
        </w:tc>
        <w:tc>
          <w:tcPr>
            <w:tcW w:w="184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left"/>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正常又は軽度低下</w:t>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60</w:t>
            </w: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89</w:t>
            </w:r>
          </w:p>
        </w:tc>
        <w:tc>
          <w:tcPr>
            <w:tcW w:w="166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緑</w:t>
            </w:r>
          </w:p>
        </w:tc>
        <w:tc>
          <w:tcPr>
            <w:tcW w:w="162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黄</w:t>
            </w:r>
          </w:p>
        </w:tc>
        <w:tc>
          <w:tcPr>
            <w:tcW w:w="16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オレンジ</w:t>
            </w:r>
          </w:p>
        </w:tc>
      </w:tr>
      <w:tr>
        <w:trPr>
          <w:trHeight w:val="600" w:hRule="atLeast"/>
        </w:trPr>
        <w:tc>
          <w:tcPr>
            <w:tcW w:w="164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27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G3a</w:t>
            </w:r>
          </w:p>
        </w:tc>
        <w:tc>
          <w:tcPr>
            <w:tcW w:w="184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left"/>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軽度～中等度低下</w:t>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45</w:t>
            </w: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59</w:t>
            </w:r>
          </w:p>
        </w:tc>
        <w:tc>
          <w:tcPr>
            <w:tcW w:w="166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黄</w:t>
            </w:r>
          </w:p>
        </w:tc>
        <w:tc>
          <w:tcPr>
            <w:tcW w:w="162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mc:AlternateContent>
                <mc:Choice Requires="wps">
                  <w:drawing>
                    <wp:anchor behindDoc="0" distT="0" distB="0" distL="114935" distR="114935" simplePos="0" locked="0" layoutInCell="1" allowOverlap="1" relativeHeight="2">
                      <wp:simplePos x="0" y="0"/>
                      <wp:positionH relativeFrom="margin">
                        <wp:posOffset>-44450</wp:posOffset>
                      </wp:positionH>
                      <wp:positionV relativeFrom="paragraph">
                        <wp:posOffset>35560</wp:posOffset>
                      </wp:positionV>
                      <wp:extent cx="2058670" cy="448945"/>
                      <wp:effectExtent l="0" t="0" r="0" b="0"/>
                      <wp:wrapNone/>
                      <wp:docPr id="2" name="カギ線コネクタ 14"/>
                      <a:graphic xmlns:a="http://schemas.openxmlformats.org/drawingml/2006/main">
                        <a:graphicData uri="http://schemas.microsoft.com/office/word/2010/wordprocessingShape">
                          <wps:cxnSp>
                            <wps:nvCxnSpPr>
                              <wps:cNvPr id="1" name="Line 1"/>
                              <wps:cNvCxnSpPr/>
                              <wps:nvPr/>
                            </wps:nvCxnSpPr>
                            <wps:spPr>
                              <a:xfrm flipV="1">
                                <a:off x="0" y="0"/>
                                <a:ext cx="2058480" cy="448560"/>
                              </a:xfrm>
                              <a:prstGeom prst="straightConnector1">
                                <a:avLst/>
                              </a:prstGeom>
                              <a:ln w="38160">
                                <a:solidFill>
                                  <a:srgbClr val="ff0000"/>
                                </a:solidFill>
                                <a:custDash>
                                  <a:ds d="300000" sp="200000"/>
                                </a:custDash>
                                <a:miter/>
                              </a:ln>
                            </wps:spPr>
                            <wps:bodyPr/>
                          </wps:cxnSp>
                        </a:graphicData>
                      </a:graphic>
                    </wp:anchor>
                  </w:drawing>
                </mc:Choice>
                <mc:Fallback>
                  <w:pict>
                    <v:shape id="shape_0" ID="カギ線コネクタ 14" stroked="t" style="position:absolute;margin-left:-355.1pt;margin-top:2.8pt;width:162.05pt;height:35.2pt;flip:y;mso-position-horizontal-relative:margin" type="shapetype_32">
                      <v:stroke color="red" weight="38160" dashstyle="dash" joinstyle="miter" endcap="square"/>
                      <v:fill o:detectmouseclick="t" on="false"/>
                    </v:shape>
                  </w:pict>
                </mc:Fallback>
              </mc:AlternateContent>
            </w:r>
            <w:r>
              <w:rPr>
                <w:rFonts w:ascii="ＭＳ Ｐゴシック" w:hAnsi="ＭＳ Ｐゴシック" w:cs="ＭＳ Ｐゴシック" w:eastAsia="ＭＳ Ｐゴシック"/>
                <w:sz w:val="36"/>
                <w:szCs w:val="36"/>
              </w:rPr>
              <w:t>オ</w:t>
            </w:r>
            <w:r>
              <w:rPr>
                <w:rFonts w:ascii="ＭＳ Ｐゴシック" w:hAnsi="ＭＳ Ｐゴシック" w:cs="ＭＳ Ｐゴシック" w:eastAsia="ＭＳ Ｐゴシック"/>
                <w:sz w:val="36"/>
                <w:szCs w:val="36"/>
              </w:rPr>
              <w:t>レンジ</w:t>
            </w:r>
          </w:p>
        </w:tc>
        <w:tc>
          <w:tcPr>
            <w:tcW w:w="16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赤</w:t>
            </w:r>
          </w:p>
        </w:tc>
      </w:tr>
      <w:tr>
        <w:trPr>
          <w:trHeight w:val="600" w:hRule="atLeast"/>
        </w:trPr>
        <w:tc>
          <w:tcPr>
            <w:tcW w:w="164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27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G3b</w:t>
            </w:r>
          </w:p>
        </w:tc>
        <w:tc>
          <w:tcPr>
            <w:tcW w:w="184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left"/>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中等度～高度低下</w:t>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30</w:t>
            </w: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44</w:t>
            </w:r>
          </w:p>
        </w:tc>
        <w:tc>
          <w:tcPr>
            <w:tcW w:w="166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オレンジ</w:t>
            </w:r>
          </w:p>
        </w:tc>
        <w:tc>
          <w:tcPr>
            <w:tcW w:w="162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赤</w:t>
            </w:r>
          </w:p>
        </w:tc>
        <w:tc>
          <w:tcPr>
            <w:tcW w:w="16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赤</w:t>
            </w:r>
          </w:p>
        </w:tc>
      </w:tr>
      <w:tr>
        <w:trPr>
          <w:trHeight w:val="510" w:hRule="atLeast"/>
        </w:trPr>
        <w:tc>
          <w:tcPr>
            <w:tcW w:w="164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275" w:type="dxa"/>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G4</w:t>
            </w:r>
          </w:p>
        </w:tc>
        <w:tc>
          <w:tcPr>
            <w:tcW w:w="1843" w:type="dxa"/>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left"/>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高度低下</w:t>
            </w:r>
          </w:p>
        </w:tc>
        <w:tc>
          <w:tcPr>
            <w:tcW w:w="1172" w:type="dxa"/>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15</w:t>
            </w: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29</w:t>
            </w:r>
          </w:p>
        </w:tc>
        <w:tc>
          <w:tcPr>
            <w:tcW w:w="1663" w:type="dxa"/>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赤</w:t>
            </w:r>
          </w:p>
        </w:tc>
        <w:tc>
          <w:tcPr>
            <w:tcW w:w="1625" w:type="dxa"/>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赤</w:t>
            </w:r>
          </w:p>
        </w:tc>
        <w:tc>
          <w:tcPr>
            <w:tcW w:w="16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赤</w:t>
            </w:r>
          </w:p>
        </w:tc>
      </w:tr>
      <w:tr>
        <w:trPr>
          <w:trHeight w:val="360" w:hRule="atLeast"/>
        </w:trPr>
        <w:tc>
          <w:tcPr>
            <w:tcW w:w="164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275" w:type="dxa"/>
            <w:vMerge w:val="restart"/>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G5</w:t>
            </w:r>
          </w:p>
        </w:tc>
        <w:tc>
          <w:tcPr>
            <w:tcW w:w="1843" w:type="dxa"/>
            <w:vMerge w:val="restart"/>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left"/>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末期腎不全（</w:t>
            </w:r>
            <w:r>
              <w:rPr>
                <w:rFonts w:eastAsia="HGP創英角ｺﾞｼｯｸUB" w:cs="ＭＳ Ｐゴシック" w:ascii="HGP創英角ｺﾞｼｯｸUB" w:hAnsi="HGP創英角ｺﾞｼｯｸUB"/>
                <w:color w:val="000000"/>
                <w:sz w:val="26"/>
                <w:szCs w:val="26"/>
              </w:rPr>
              <w:t>ESKD</w:t>
            </w:r>
            <w:r>
              <w:rPr>
                <w:rFonts w:ascii="HGP創英角ｺﾞｼｯｸUB" w:hAnsi="HGP創英角ｺﾞｼｯｸUB" w:cs="ＭＳ Ｐゴシック" w:eastAsia="HGP創英角ｺﾞｼｯｸUB"/>
                <w:color w:val="000000"/>
                <w:sz w:val="26"/>
                <w:szCs w:val="26"/>
              </w:rPr>
              <w:t>）</w:t>
            </w:r>
          </w:p>
        </w:tc>
        <w:tc>
          <w:tcPr>
            <w:tcW w:w="1172" w:type="dxa"/>
            <w:vMerge w:val="restart"/>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15</w:t>
            </w:r>
          </w:p>
        </w:tc>
        <w:tc>
          <w:tcPr>
            <w:tcW w:w="1663" w:type="dxa"/>
            <w:vMerge w:val="restart"/>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Arial" w:hAnsi="Arial" w:eastAsia="ＭＳ Ｐゴシック" w:cs="Arial"/>
                <w:sz w:val="36"/>
                <w:szCs w:val="36"/>
              </w:rPr>
            </w:pPr>
            <w:r>
              <w:rPr>
                <w:rFonts w:ascii="Arial" w:hAnsi="Arial" w:cs="Arial" w:eastAsia="ＭＳ Ｐゴシック"/>
                <w:sz w:val="36"/>
                <w:szCs w:val="36"/>
              </w:rPr>
              <w:t>赤</w:t>
            </w:r>
          </w:p>
        </w:tc>
        <w:tc>
          <w:tcPr>
            <w:tcW w:w="1625" w:type="dxa"/>
            <w:vMerge w:val="restart"/>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Arial" w:hAnsi="Arial" w:eastAsia="ＭＳ Ｐゴシック" w:cs="Arial"/>
                <w:sz w:val="36"/>
                <w:szCs w:val="36"/>
              </w:rPr>
            </w:pPr>
            <w:r>
              <w:rPr>
                <w:rFonts w:ascii="Arial" w:hAnsi="Arial" w:cs="Arial" w:eastAsia="ＭＳ Ｐゴシック"/>
                <w:sz w:val="36"/>
                <w:szCs w:val="36"/>
              </w:rPr>
              <w:t>赤</w:t>
            </w:r>
          </w:p>
        </w:tc>
        <w:tc>
          <w:tcPr>
            <w:tcW w:w="1650" w:type="dxa"/>
            <w:vMerge w:val="restart"/>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Arial" w:hAnsi="Arial" w:eastAsia="ＭＳ Ｐゴシック" w:cs="Arial"/>
                <w:sz w:val="36"/>
                <w:szCs w:val="36"/>
              </w:rPr>
            </w:pPr>
            <w:r>
              <w:rPr>
                <w:rFonts w:ascii="Arial" w:hAnsi="Arial" w:cs="Arial" w:eastAsia="ＭＳ Ｐゴシック"/>
                <w:sz w:val="36"/>
                <w:szCs w:val="36"/>
              </w:rPr>
              <w:t>赤</w:t>
            </w:r>
          </w:p>
        </w:tc>
      </w:tr>
      <w:tr>
        <w:trPr>
          <w:trHeight w:val="360" w:hRule="atLeast"/>
        </w:trPr>
        <w:tc>
          <w:tcPr>
            <w:tcW w:w="164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275"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843"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17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63"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Arial" w:hAnsi="Arial" w:eastAsia="ＭＳ Ｐゴシック" w:cs="Arial"/>
                <w:color w:val="000000"/>
                <w:sz w:val="36"/>
                <w:szCs w:val="36"/>
              </w:rPr>
            </w:pPr>
            <w:r>
              <w:rPr>
                <w:rFonts w:eastAsia="ＭＳ Ｐゴシック" w:cs="Arial" w:ascii="Arial" w:hAnsi="Arial"/>
                <w:color w:val="000000"/>
                <w:sz w:val="36"/>
                <w:szCs w:val="36"/>
              </w:rPr>
            </w:r>
          </w:p>
        </w:tc>
        <w:tc>
          <w:tcPr>
            <w:tcW w:w="1625"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Arial" w:hAnsi="Arial" w:eastAsia="ＭＳ Ｐゴシック" w:cs="Arial"/>
                <w:sz w:val="36"/>
                <w:szCs w:val="36"/>
              </w:rPr>
            </w:pPr>
            <w:r>
              <w:rPr>
                <w:rFonts w:eastAsia="ＭＳ Ｐゴシック" w:cs="Arial" w:ascii="Arial" w:hAnsi="Arial"/>
                <w:sz w:val="36"/>
                <w:szCs w:val="36"/>
              </w:rPr>
            </w:r>
          </w:p>
        </w:tc>
        <w:tc>
          <w:tcPr>
            <w:tcW w:w="1650"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snapToGrid w:val="false"/>
              <w:jc w:val="left"/>
              <w:rPr>
                <w:rFonts w:ascii="Arial" w:hAnsi="Arial" w:eastAsia="ＭＳ Ｐゴシック" w:cs="Arial"/>
                <w:sz w:val="36"/>
                <w:szCs w:val="36"/>
              </w:rPr>
            </w:pPr>
            <w:r>
              <w:rPr>
                <w:rFonts w:eastAsia="ＭＳ Ｐゴシック" w:cs="Arial" w:ascii="Arial" w:hAnsi="Arial"/>
                <w:sz w:val="36"/>
                <w:szCs w:val="36"/>
              </w:rPr>
            </w:r>
          </w:p>
        </w:tc>
      </w:tr>
    </w:tbl>
    <w:p>
      <w:pPr>
        <w:pStyle w:val="Normal"/>
        <w:rPr>
          <w:rFonts w:ascii="ＭＳ Ｐゴシック" w:hAnsi="ＭＳ Ｐゴシック" w:eastAsia="ＭＳ Ｐゴシック" w:cs="ＭＳ Ｐゴシック"/>
          <w:b/>
          <w:b/>
          <w:color w:val="FF0000"/>
        </w:rPr>
      </w:pPr>
      <w:r>
        <w:rPr>
          <w:rFonts w:eastAsia="ＭＳ Ｐゴシック" w:cs="ＭＳ Ｐゴシック" w:ascii="ＭＳ Ｐゴシック" w:hAnsi="ＭＳ Ｐゴシック"/>
          <w:b/>
          <w:color w:val="FF0000"/>
        </w:rPr>
      </w:r>
    </w:p>
    <w:p>
      <w:pPr>
        <w:pStyle w:val="Normal"/>
        <w:widowControl/>
        <w:jc w:val="left"/>
        <w:rPr>
          <w:rFonts w:ascii="ＭＳ 明朝;MS Mincho" w:hAnsi="ＭＳ 明朝;MS Mincho" w:cs="ＭＳ 明朝;MS Mincho"/>
          <w:szCs w:val="21"/>
        </w:rPr>
      </w:pPr>
      <w:r>
        <w:rPr>
          <w:rFonts w:ascii="ＭＳ 明朝;MS Mincho" w:hAnsi="ＭＳ 明朝;MS Mincho" w:cs="ＭＳ 明朝;MS Mincho"/>
          <w:szCs w:val="21"/>
        </w:rPr>
        <w:t>※</w:t>
      </w:r>
      <w:r>
        <w:rPr>
          <w:rFonts w:ascii="ＭＳ 明朝;MS Mincho" w:hAnsi="ＭＳ 明朝;MS Mincho" w:cs="ＭＳ 明朝;MS Mincho"/>
          <w:szCs w:val="21"/>
        </w:rPr>
        <w:t>診断基準及び重症度分類の適応における留意事項</w:t>
      </w:r>
    </w:p>
    <w:p>
      <w:pPr>
        <w:pStyle w:val="Normal"/>
        <w:widowControl/>
        <w:ind w:left="420" w:hanging="420"/>
        <w:jc w:val="left"/>
        <w:rPr>
          <w:rFonts w:ascii="ＭＳ 明朝;MS Mincho" w:hAnsi="ＭＳ 明朝;MS Mincho" w:cs="ＭＳ 明朝;MS Mincho"/>
          <w:szCs w:val="21"/>
        </w:rPr>
      </w:pPr>
      <w:r>
        <w:rPr>
          <w:szCs w:val="21"/>
        </w:rPr>
        <w:t>１．</w:t>
      </w:r>
      <w:r>
        <w:rPr>
          <w:rFonts w:ascii="ＭＳ 明朝;MS Mincho" w:hAnsi="ＭＳ 明朝;MS Mincho" w:cs="ＭＳ 明朝;MS Mincho"/>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pPr>
        <w:pStyle w:val="Normal"/>
        <w:widowControl/>
        <w:ind w:left="420" w:hanging="420"/>
        <w:jc w:val="left"/>
        <w:rPr/>
      </w:pPr>
      <w:r>
        <w:rPr>
          <w:rFonts w:ascii="ＭＳ 明朝;MS Mincho" w:hAnsi="ＭＳ 明朝;MS Mincho" w:cs="ＭＳ 明朝;MS Mincho"/>
          <w:szCs w:val="21"/>
        </w:rPr>
        <w:t>２．治療開始後における重症度分類については、適切な医学的管理の下で治療が行われている状態であって、直近６か月間で最も悪い状態を医師が判断することとする。</w:t>
      </w:r>
    </w:p>
    <w:p>
      <w:pPr>
        <w:pStyle w:val="Normal"/>
        <w:ind w:left="420" w:hanging="420"/>
        <w:rPr/>
      </w:pPr>
      <w:r>
        <w:rPr>
          <w:szCs w:val="21"/>
        </w:rPr>
        <w:t>３．なお、症状の程度が上記の重症度分類等で一定以上に該当しない者であるが、高額な医療を継続することが必要なものについては、医療費助成の対象とする。</w:t>
      </w:r>
    </w:p>
    <w:sectPr>
      <w:type w:val="nextPage"/>
      <w:pgSz w:w="11906" w:h="16838"/>
      <w:pgMar w:left="1080" w:right="108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0"/>
    <w:family w:val="roman"/>
    <w:pitch w:val="variable"/>
  </w:font>
  <w:font w:name="Liberation Sans">
    <w:altName w:val="Arial"/>
    <w:charset w:val="01"/>
    <w:family w:val="swiss"/>
    <w:pitch w:val="variable"/>
  </w:font>
  <w:font w:name="ＭＳ Ｐゴシック">
    <w:charset w:val="80"/>
    <w:family w:val="modern"/>
    <w:pitch w:val="variable"/>
  </w:font>
  <w:font w:name="ＭＳ 明朝">
    <w:altName w:val="MS Mincho"/>
    <w:charset w:val="80"/>
    <w:family w:val="roman"/>
    <w:pitch w:val="default"/>
  </w:font>
  <w:font w:name="ＭＳ ゴシック">
    <w:altName w:val="MS Gothic"/>
    <w:charset w:val="80"/>
    <w:family w:val="modern"/>
    <w:pitch w:val="default"/>
  </w:font>
  <w:font w:name="HGP創英角ｺﾞｼｯｸUB">
    <w:charset w:val="80"/>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FullWidth"/>
      <w:lvlText w:val="%1．"/>
      <w:lvlJc w:val="left"/>
      <w:pPr>
        <w:ind w:left="570" w:hanging="360"/>
      </w:pPr>
      <w:rPr>
        <w:lang w:val="en-US"/>
      </w:rPr>
    </w:lvl>
  </w:abstractNum>
  <w:abstractNum w:abstractNumId="2">
    <w:lvl w:ilvl="0">
      <w:start w:val="1"/>
      <w:numFmt w:val="decimalFullWidth"/>
      <w:lvlText w:val="%1）"/>
      <w:lvlJc w:val="left"/>
      <w:pPr>
        <w:ind w:left="63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FullWidth"/>
      <w:lvlText w:val="%1）"/>
      <w:lvlJc w:val="left"/>
      <w:pPr>
        <w:ind w:left="630" w:hanging="360"/>
      </w:pPr>
      <w:rPr/>
    </w:lvl>
    <w:lvl w:ilvl="1">
      <w:start w:val="1"/>
      <w:numFmt w:val="aiueoFullWidth"/>
      <w:lvlText w:val="(%2)"/>
      <w:lvlJc w:val="left"/>
      <w:pPr>
        <w:ind w:left="1110" w:hanging="420"/>
      </w:pPr>
      <w:rPr/>
    </w:lvl>
    <w:lvl w:ilvl="2">
      <w:start w:val="1"/>
      <w:numFmt w:val="decimal"/>
      <w:lvlText w:val="%3"/>
      <w:lvlJc w:val="left"/>
      <w:pPr>
        <w:ind w:left="1530" w:hanging="420"/>
      </w:pPr>
      <w:rPr/>
    </w:lvl>
    <w:lvl w:ilvl="3">
      <w:start w:val="1"/>
      <w:numFmt w:val="decimal"/>
      <w:lvlText w:val="%4."/>
      <w:lvlJc w:val="left"/>
      <w:pPr>
        <w:ind w:left="1950" w:hanging="420"/>
      </w:pPr>
      <w:rPr/>
    </w:lvl>
    <w:lvl w:ilvl="4">
      <w:start w:val="1"/>
      <w:numFmt w:val="aiueoFullWidth"/>
      <w:lvlText w:val="(%5)"/>
      <w:lvlJc w:val="left"/>
      <w:pPr>
        <w:ind w:left="2370" w:hanging="420"/>
      </w:pPr>
      <w:rPr/>
    </w:lvl>
    <w:lvl w:ilvl="5">
      <w:start w:val="1"/>
      <w:numFmt w:val="decimal"/>
      <w:lvlText w:val="%6"/>
      <w:lvlJc w:val="left"/>
      <w:pPr>
        <w:ind w:left="2790" w:hanging="420"/>
      </w:pPr>
      <w:rPr/>
    </w:lvl>
    <w:lvl w:ilvl="6">
      <w:start w:val="1"/>
      <w:numFmt w:val="decimal"/>
      <w:lvlText w:val="%7."/>
      <w:lvlJc w:val="left"/>
      <w:pPr>
        <w:ind w:left="3210" w:hanging="420"/>
      </w:pPr>
      <w:rPr/>
    </w:lvl>
    <w:lvl w:ilvl="7">
      <w:start w:val="1"/>
      <w:numFmt w:val="aiueoFullWidth"/>
      <w:lvlText w:val="(%8)"/>
      <w:lvlJc w:val="left"/>
      <w:pPr>
        <w:ind w:left="3630" w:hanging="420"/>
      </w:pPr>
      <w:rPr/>
    </w:lvl>
    <w:lvl w:ilvl="8">
      <w:start w:val="1"/>
      <w:numFmt w:val="decimal"/>
      <w:lvlText w:val="%9"/>
      <w:lvlJc w:val="left"/>
      <w:pPr>
        <w:ind w:left="4050" w:hanging="42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84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VL ゴシック" w:cs="VL ゴシック"/>
        <w:sz w:val="24"/>
        <w:szCs w:val="24"/>
        <w:lang w:val="en-US" w:eastAsia="ja-JP" w:bidi="hi-IN"/>
      </w:rPr>
    </w:rPrDefault>
    <w:pPrDefault>
      <w:pPr/>
    </w:pPrDefault>
  </w:docDefaults>
  <w:style w:type="paragraph" w:styleId="Normal">
    <w:name w:val="Normal"/>
    <w:qFormat/>
    <w:pPr>
      <w:widowControl w:val="false"/>
      <w:bidi w:val="0"/>
      <w:jc w:val="both"/>
    </w:pPr>
    <w:rPr>
      <w:rFonts w:ascii="Century" w:hAnsi="Century" w:eastAsia="ＭＳ 明朝;MS Mincho" w:cs="Times New Roman"/>
      <w:color w:val="auto"/>
      <w:sz w:val="21"/>
      <w:szCs w:val="22"/>
      <w:lang w:val="en-US" w:eastAsia="ja-JP" w:bidi="ar-SA"/>
    </w:rPr>
  </w:style>
  <w:style w:type="character" w:styleId="WW8Num1z0">
    <w:name w:val="WW8Num1z0"/>
    <w:qFormat/>
    <w:rPr>
      <w:lang w:val="en-US"/>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Style14">
    <w:name w:val="段落フォント"/>
    <w:qFormat/>
    <w:rPr/>
  </w:style>
  <w:style w:type="character" w:styleId="Style15">
    <w:name w:val="吹き出し (文字)"/>
    <w:qFormat/>
    <w:rPr>
      <w:rFonts w:ascii="Arial" w:hAnsi="Arial" w:eastAsia="ＭＳ ゴシック;MS Gothic" w:cs="Times New Roman"/>
      <w:sz w:val="18"/>
      <w:szCs w:val="18"/>
    </w:rPr>
  </w:style>
  <w:style w:type="character" w:styleId="Style16">
    <w:name w:val="ヘッダー (文字)"/>
    <w:basedOn w:val="Style14"/>
    <w:qFormat/>
    <w:rPr/>
  </w:style>
  <w:style w:type="character" w:styleId="Style17">
    <w:name w:val="フッター (文字)"/>
    <w:basedOn w:val="Style14"/>
    <w:qFormat/>
    <w:rPr/>
  </w:style>
  <w:style w:type="character" w:styleId="Style18">
    <w:name w:val="コメント参照"/>
    <w:qFormat/>
    <w:rPr>
      <w:sz w:val="18"/>
      <w:szCs w:val="18"/>
    </w:rPr>
  </w:style>
  <w:style w:type="character" w:styleId="Style19">
    <w:name w:val="コメント文字列 (文字)"/>
    <w:basedOn w:val="Style14"/>
    <w:qFormat/>
    <w:rPr/>
  </w:style>
  <w:style w:type="character" w:styleId="Style20">
    <w:name w:val="コメント内容 (文字)"/>
    <w:qFormat/>
    <w:rPr>
      <w:b/>
      <w:bCs/>
    </w:rPr>
  </w:style>
  <w:style w:type="paragraph" w:styleId="Style21">
    <w:name w:val="見出し"/>
    <w:basedOn w:val="Normal"/>
    <w:next w:val="Style22"/>
    <w:qFormat/>
    <w:pPr>
      <w:keepNext w:val="true"/>
      <w:spacing w:before="240" w:after="120"/>
    </w:pPr>
    <w:rPr>
      <w:rFonts w:ascii="Liberation Sans" w:hAnsi="Liberation Sans" w:eastAsia="VL ゴシック" w:cs="VL ゴシック"/>
      <w:sz w:val="28"/>
      <w:szCs w:val="28"/>
    </w:rPr>
  </w:style>
  <w:style w:type="paragraph" w:styleId="Style22">
    <w:name w:val="Body Text"/>
    <w:basedOn w:val="Normal"/>
    <w:pPr>
      <w:spacing w:lineRule="auto" w:line="288" w:before="0" w:after="140"/>
    </w:pPr>
    <w:rPr/>
  </w:style>
  <w:style w:type="paragraph" w:styleId="Style23">
    <w:name w:val="List"/>
    <w:basedOn w:val="Style22"/>
    <w:pPr/>
    <w:rPr/>
  </w:style>
  <w:style w:type="paragraph" w:styleId="Style24">
    <w:name w:val="Caption"/>
    <w:basedOn w:val="Normal"/>
    <w:qFormat/>
    <w:pPr>
      <w:suppressLineNumbers/>
      <w:spacing w:before="120" w:after="120"/>
    </w:pPr>
    <w:rPr>
      <w:i/>
      <w:iCs/>
      <w:sz w:val="24"/>
      <w:szCs w:val="24"/>
    </w:rPr>
  </w:style>
  <w:style w:type="paragraph" w:styleId="Style25">
    <w:name w:val="索引"/>
    <w:basedOn w:val="Normal"/>
    <w:qFormat/>
    <w:pPr>
      <w:suppressLineNumbers/>
    </w:pPr>
    <w:rPr/>
  </w:style>
  <w:style w:type="paragraph" w:styleId="Style26">
    <w:name w:val="吹き出し"/>
    <w:basedOn w:val="Normal"/>
    <w:qFormat/>
    <w:pPr/>
    <w:rPr>
      <w:rFonts w:ascii="Arial" w:hAnsi="Arial" w:eastAsia="ＭＳ ゴシック;MS Gothic" w:cs="Arial"/>
      <w:sz w:val="18"/>
      <w:szCs w:val="18"/>
      <w:lang w:val="ja-JP"/>
    </w:rPr>
  </w:style>
  <w:style w:type="paragraph" w:styleId="13">
    <w:name w:val="表 (青) 13"/>
    <w:basedOn w:val="Normal"/>
    <w:qFormat/>
    <w:pPr>
      <w:ind w:left="840" w:hanging="0"/>
    </w:pPr>
    <w:rPr/>
  </w:style>
  <w:style w:type="paragraph" w:styleId="Style27">
    <w:name w:val="Header"/>
    <w:basedOn w:val="Normal"/>
    <w:pPr>
      <w:snapToGrid w:val="false"/>
    </w:pPr>
    <w:rPr/>
  </w:style>
  <w:style w:type="paragraph" w:styleId="Style28">
    <w:name w:val="Footer"/>
    <w:basedOn w:val="Normal"/>
    <w:pPr>
      <w:snapToGrid w:val="false"/>
    </w:pPr>
    <w:rPr/>
  </w:style>
  <w:style w:type="paragraph" w:styleId="Style29">
    <w:name w:val="コメント文字列"/>
    <w:basedOn w:val="Normal"/>
    <w:qFormat/>
    <w:pPr>
      <w:jc w:val="left"/>
    </w:pPr>
    <w:rPr/>
  </w:style>
  <w:style w:type="paragraph" w:styleId="Style30">
    <w:name w:val="コメント内容"/>
    <w:basedOn w:val="Style29"/>
    <w:next w:val="Style29"/>
    <w:qFormat/>
    <w:pPr/>
    <w:rPr>
      <w:b/>
      <w:bCs/>
      <w:sz w:val="20"/>
      <w:szCs w:val="20"/>
      <w:lang w:val="ja-JP"/>
    </w:rPr>
  </w:style>
  <w:style w:type="paragraph" w:styleId="12">
    <w:name w:val="表 (青) 12"/>
    <w:qFormat/>
    <w:pPr>
      <w:widowControl/>
    </w:pPr>
    <w:rPr>
      <w:rFonts w:ascii="Century" w:hAnsi="Century" w:eastAsia="ＭＳ 明朝;MS Mincho" w:cs="Times New Roman"/>
      <w:color w:val="auto"/>
      <w:sz w:val="21"/>
      <w:szCs w:val="22"/>
      <w:lang w:val="en-US" w:eastAsia="ja-JP" w:bidi="ar-SA"/>
    </w:rPr>
  </w:style>
  <w:style w:type="paragraph" w:styleId="Style31">
    <w:name w:val="表の内容"/>
    <w:basedOn w:val="Normal"/>
    <w:qFormat/>
    <w:pPr>
      <w:suppressLineNumbers/>
    </w:pPr>
    <w:rPr/>
  </w:style>
  <w:style w:type="paragraph" w:styleId="Style32">
    <w:name w:val="表の見出し"/>
    <w:basedOn w:val="Style31"/>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2017-07-26T18:08:00Z</dcterms:created>
  <dc:creator>厚生労働省ネットワークシステム</dc:creator>
  <dc:description/>
  <dc:language>ja-JP</dc:language>
  <cp:lastModifiedBy>厚生労働省ネットワークシステム</cp:lastModifiedBy>
  <cp:lastPrinted>2018-02-15T18:09:00Z</cp:lastPrinted>
  <dcterms:modified xsi:type="dcterms:W3CDTF">2018-03-16T13:57:00Z</dcterms:modified>
  <cp:revision>8</cp:revision>
  <dc:subject/>
  <dc:title/>
</cp:coreProperties>
</file>