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Proposal Kemitraan: EfiKoding</w:t>
      </w:r>
    </w:p>
    <w:p>
      <w:pPr/>
      <w:r>
        <w:t xml:space="preserve">Platform Diagnostik Berpikir Komputasional dan Efikasi Diri Siswa · </w:t>
      </w:r>
      <w:r>
        <w:t xml:space="preserve">Oct 26, 2026</w:t>
      </w:r>
    </w:p>
    <w:p>
      <w:pPr>
        <w:pStyle w:val="Heading2"/>
      </w:pPr>
      <w:r>
        <w:t xml:space="preserve">Ringkasan untuk Pengambil Keputusan</w:t>
      </w:r>
    </w:p>
    <w:p>
      <w:pPr/>
      <w:r>
        <w:t xml:space="preserve">EfiKoding adalah platform diagnostik yang mengukur dua hal sekaligus pada setiap siswa: kemampuan berpikir komputasional yang sebenarnya, dan seberapa akurat siswa menilai kemampuannya sendiri. Kami mengusulkan </w:t>
      </w:r>
      <w:r>
        <w:rPr>
          <w:b/>
        </w:rPr>
        <w:t xml:space="preserve">pilot terbatas selama 8 minggu</w:t>
      </w:r>
      <w:r>
        <w:t xml:space="preserve"> agar manfaatnya dapat dibuktikan lebih dulu sebelum keputusan yang lebih luas diambil.</w:t>
      </w:r>
    </w:p>
    <w:p>
      <w:pPr>
        <w:pStyle w:val="ListParagraph"/>
        <w:numPr>
          <w:ilvl w:val="0"/>
          <w:numId w:val="2"/>
        </w:numPr>
      </w:pPr>
      <w:r>
        <w:rPr>
          <w:b/>
        </w:rPr>
        <w:t xml:space="preserve">Masalah:</w:t>
      </w:r>
      <w:r>
        <w:t xml:space="preserve"> nilai tes tidak menunjukkan apakah siswa yakin secara tepat. Dua siswa dengan nilai sama dapat membutuhkan perlakuan yang berlawanan.</w:t>
      </w:r>
    </w:p>
    <w:p>
      <w:pPr>
        <w:pStyle w:val="ListParagraph"/>
        <w:numPr>
          <w:ilvl w:val="0"/>
          <w:numId w:val="2"/>
        </w:numPr>
      </w:pPr>
      <w:r>
        <w:rPr>
          <w:b/>
        </w:rPr>
        <w:t xml:space="preserve">Solusi:</w:t>
      </w:r>
      <w:r>
        <w:t xml:space="preserve"> kemampuan dan keyakinan siswa dipetakan ke empat kelompok diagnostik, lalu diterjemahkan menjadi laporan bernarasi untuk guru.</w:t>
      </w:r>
    </w:p>
    <w:p>
      <w:pPr>
        <w:pStyle w:val="ListParagraph"/>
        <w:numPr>
          <w:ilvl w:val="0"/>
          <w:numId w:val="2"/>
        </w:numPr>
      </w:pPr>
      <w:r>
        <w:rPr>
          <w:b/>
        </w:rPr>
        <w:t xml:space="preserve">Keselarasan:</w:t>
      </w:r>
      <w:r>
        <w:t xml:space="preserve"> laporan mengacu pada Capaian Pembelajaran Koding dan Kecerdasan Artifisial (KKA)/Informatika serta tiga Dimensi Profil Lulusan.</w:t>
      </w:r>
    </w:p>
    <w:p>
      <w:pPr>
        <w:pStyle w:val="ListParagraph"/>
        <w:numPr>
          <w:ilvl w:val="0"/>
          <w:numId w:val="2"/>
        </w:numPr>
      </w:pPr>
      <w:r>
        <w:rPr>
          <w:b/>
        </w:rPr>
        <w:t xml:space="preserve">Langkah awal:</w:t>
      </w:r>
      <w:r>
        <w:t xml:space="preserve"> presentasi dan demonstrasi langsung, dilanjutkan pilot pada beberapa sekolah terpilih.</w:t>
      </w:r>
    </w:p>
    <w:p>
      <w:pPr>
        <w:pStyle w:val="Heading2"/>
      </w:pPr>
      <w:r>
        <w:t xml:space="preserve">Permasalahan di Kelas Koding</w:t>
      </w:r>
    </w:p>
    <w:p>
      <w:pPr/>
      <w:r>
        <w:t xml:space="preserve">Nilai ulangan hanya menjawab seberapa mampu siswa. Pertanyaan yang sama pentingnya, yaitu seberapa akurat siswa menilai dirinya, tidak terlihat pada nilai. Padahal keyakinan ini menentukan apakah siswa berani mencoba, bertahan saat menemui kesalahan, dan jujur terhadap celah pemahamannya.</w:t>
      </w:r>
    </w:p>
    <w:p>
      <w:pPr/>
      <w:r>
        <w:t xml:space="preserve">Dua pola yang sering luput dari perhatian:</w:t>
      </w:r>
    </w:p>
    <w:p>
      <w:pPr>
        <w:pStyle w:val="ListParagraph"/>
        <w:numPr>
          <w:ilvl w:val="0"/>
          <w:numId w:val="3"/>
        </w:numPr>
      </w:pPr>
      <w:r>
        <w:rPr>
          <w:b/>
        </w:rPr>
        <w:t xml:space="preserve">Underconfident:</w:t>
      </w:r>
      <w:r>
        <w:t xml:space="preserve"> logika tajam, tetapi ragu dan takut mencoba, sehingga potensinya tidak terasah.</w:t>
      </w:r>
    </w:p>
    <w:p>
      <w:pPr>
        <w:pStyle w:val="ListParagraph"/>
        <w:numPr>
          <w:ilvl w:val="0"/>
          <w:numId w:val="3"/>
        </w:numPr>
      </w:pPr>
      <w:r>
        <w:rPr>
          <w:b/>
        </w:rPr>
        <w:t xml:space="preserve">Overconfident:</w:t>
      </w:r>
      <w:r>
        <w:t xml:space="preserve"> percaya diri tinggi, tetapi konsep dasar keliru dan terbawa ke materi yang lebih sulit.</w:t>
      </w:r>
    </w:p>
    <w:p>
      <w:pPr/>
      <w:r>
        <w:t xml:space="preserve">Dua siswa bernilai 60 bisa sangat berbeda: satu yakin sepenuhnya (perlu belajar memeriksa jawabannya), satu lagi ragu dan cemas (perlu pengalaman berhasil yang kecil). Skor tunggal tidak membedakan keduanya.</w:t>
      </w:r>
    </w:p>
    <w:p>
      <w:pPr/>
      <w:r>
        <w:t xml:space="preserve">Di sisi guru, analisis individual menyita waktu. Sebagai ilustrasi, jika satu narasi diagnostik membutuhkan sekitar 10 menit, maka 150 siswa memerlukan sekitar 25 jam kerja. Angka ini berbeda di setiap sekolah, tetapi bebannya nyata.</w:t>
      </w:r>
    </w:p>
    <w:p>
      <w:pPr>
        <w:pStyle w:val="Heading2"/>
      </w:pPr>
      <w:r>
        <w:t xml:space="preserve">Solusi: EfiKoding</w:t>
      </w:r>
    </w:p>
    <w:p>
      <w:pPr/>
      <w:r>
        <w:t xml:space="preserve">EfiKoding adalah aplikasi berbasis web yang berjalan di peramban modern. Siswa mengerjakan asesmen singkat bernuansa non-ujian, lalu guru menerima laporan diagnostik per siswa dan gambaran sebaran kelas.</w:t>
      </w:r>
    </w:p>
    <w:p>
      <w:pPr/>
      <w:r>
        <w:t xml:space="preserve">Hasil setiap siswa dipetakan ke salah satu dari empat kelompok:</w:t>
      </w:r>
    </w:p>
    <w:tbl>
      <w:tblPr>
        <w:tblStyle w:val="TableGrid"/>
        <w:tblW w:w="0" w:type="auto"/>
        <w:tblLayout w:type="fixed"/>
        <w:tblLook w:val="04A0" w:firstRow="1" w:lastRow="0" w:firstColumn="0" w:lastColumn="0" w:noHBand="0" w:noVBand="1"/>
      </w:tblPr>
      <w:tblGrid>
        <w:gridCol w:w="2675"/>
        <w:gridCol w:w="6684"/>
      </w:tblGrid>
      <w:tr>
        <w:trPr>
          <w:tblHeader/>
        </w:trPr>
        <w:tc>
          <w:tcPr>
            <w:tcW w:w="2675" w:type="dxa"/>
            <w:shd w:val="clear" w:color="auto" w:fill="F2F2F2"/>
          </w:tcPr>
          <w:p>
            <w:pPr/>
            <w:r>
              <w:t xml:space="preserve">Kelompok</w:t>
            </w:r>
          </w:p>
        </w:tc>
        <w:tc>
          <w:tcPr>
            <w:tcW w:w="6684" w:type="dxa"/>
            <w:shd w:val="clear" w:color="auto" w:fill="F2F2F2"/>
          </w:tcPr>
          <w:p>
            <w:pPr/>
            <w:r>
              <w:t xml:space="preserve">Gambaran singkat</w:t>
            </w:r>
          </w:p>
        </w:tc>
      </w:tr>
      <w:tr>
        <w:tc>
          <w:tcPr>
            <w:tcW w:w="2675" w:type="dxa"/>
          </w:tcPr>
          <w:p>
            <w:pPr/>
            <w:r>
              <w:t xml:space="preserve">Mastery</w:t>
            </w:r>
          </w:p>
        </w:tc>
        <w:tc>
          <w:tcPr>
            <w:tcW w:w="6684" w:type="dxa"/>
          </w:tcPr>
          <w:p>
            <w:pPr/>
            <w:r>
              <w:t xml:space="preserve">Mampu dan yakin secara tepat</w:t>
            </w:r>
          </w:p>
        </w:tc>
      </w:tr>
      <w:tr>
        <w:tc>
          <w:tcPr>
            <w:tcW w:w="2675" w:type="dxa"/>
          </w:tcPr>
          <w:p>
            <w:pPr/>
            <w:r>
              <w:t xml:space="preserve">Underconfident</w:t>
            </w:r>
          </w:p>
        </w:tc>
        <w:tc>
          <w:tcPr>
            <w:tcW w:w="6684" w:type="dxa"/>
          </w:tcPr>
          <w:p>
            <w:pPr/>
            <w:r>
              <w:t xml:space="preserve">Mampu, tetapi ragu terhadap diri sendiri</w:t>
            </w:r>
          </w:p>
        </w:tc>
      </w:tr>
      <w:tr>
        <w:tc>
          <w:tcPr>
            <w:tcW w:w="2675" w:type="dxa"/>
          </w:tcPr>
          <w:p>
            <w:pPr/>
            <w:r>
              <w:t xml:space="preserve">Overconfident</w:t>
            </w:r>
          </w:p>
        </w:tc>
        <w:tc>
          <w:tcPr>
            <w:tcW w:w="6684" w:type="dxa"/>
          </w:tcPr>
          <w:p>
            <w:pPr/>
            <w:r>
              <w:t xml:space="preserve">Yakin, tetapi pemahaman belum kuat</w:t>
            </w:r>
          </w:p>
        </w:tc>
      </w:tr>
      <w:tr>
        <w:tc>
          <w:tcPr>
            <w:tcW w:w="2675" w:type="dxa"/>
          </w:tcPr>
          <w:p>
            <w:pPr/>
            <w:r>
              <w:t xml:space="preserve">Struggling</w:t>
            </w:r>
          </w:p>
        </w:tc>
        <w:tc>
          <w:tcPr>
            <w:tcW w:w="6684" w:type="dxa"/>
          </w:tcPr>
          <w:p>
            <w:pPr/>
            <w:r>
              <w:t xml:space="preserve">Belum kuat dan menyadari kesulitannya</w:t>
            </w:r>
          </w:p>
        </w:tc>
      </w:tr>
    </w:tbl>
    <w:p>
      <w:pPr/>
      <w:r>
        <w:t xml:space="preserve">Setiap kelompok disertai rekomendasi tindak lanjut bagi guru, sehingga hasil asesmen langsung dapat dipakai untuk pembelajaran berdiferensiasi.</w:t>
      </w:r>
    </w:p>
    <w:p>
      <w:pPr/>
      <w:r>
        <w:t xml:space="preserve">Yang diterima guru:</w:t>
      </w:r>
    </w:p>
    <w:p>
      <w:pPr>
        <w:pStyle w:val="ListParagraph"/>
        <w:numPr>
          <w:ilvl w:val="0"/>
          <w:numId w:val="4"/>
        </w:numPr>
      </w:pPr>
      <w:r>
        <w:t xml:space="preserve">Laporan diagnostik bernarasi per siswa yang dapat disunting sebelum dibagikan.</w:t>
      </w:r>
    </w:p>
    <w:p>
      <w:pPr>
        <w:pStyle w:val="ListParagraph"/>
        <w:numPr>
          <w:ilvl w:val="0"/>
          <w:numId w:val="4"/>
        </w:numPr>
      </w:pPr>
      <w:r>
        <w:t xml:space="preserve">Gambaran sebaran kelompok di tingkat kelas.</w:t>
      </w:r>
    </w:p>
    <w:p>
      <w:pPr>
        <w:pStyle w:val="ListParagraph"/>
        <w:numPr>
          <w:ilvl w:val="0"/>
          <w:numId w:val="4"/>
        </w:numPr>
      </w:pPr>
      <w:r>
        <w:t xml:space="preserve">Ekspor laporan ke Word atau PDF siap cetak.</w:t>
      </w:r>
    </w:p>
    <w:p>
      <w:pPr>
        <w:pStyle w:val="ListParagraph"/>
        <w:numPr>
          <w:ilvl w:val="0"/>
          <w:numId w:val="4"/>
        </w:numPr>
      </w:pPr>
      <w:r>
        <w:t xml:space="preserve">Laporan tetap terbit walaupun jaringan internet tidak stabil.</w:t>
      </w:r>
    </w:p>
    <w:p>
      <w:pPr/>
      <w:r>
        <w:t xml:space="preserve">Guru tetap menjadi pengambil keputusan. EfiKoding menyediakan bukti diagnostik yang terstruktur, bukan menggantikan penilaian guru.</w:t>
      </w:r>
    </w:p>
    <w:p>
      <w:pPr>
        <w:pStyle w:val="Heading2"/>
      </w:pPr>
      <w:r>
        <w:t xml:space="preserve">Keselarasan Kurikulum dan Kebijakan</w:t>
      </w:r>
    </w:p>
    <w:p>
      <w:pPr/>
      <w:r>
        <w:t xml:space="preserve">EfiKoding disusun mengikuti Capaian Pembelajaran KKA/Informatika, dengan dua paket asesmen yang disesuaikan jenjang: paket tanpa perangkat (unplugged) untuk Fase A–B dan pemula Fase C, serta paket algoritma dan pseudocode untuk Fase C–D (SD kelas 5–6 dan SMP). Pengembangan untuk SMA/SMK dapat dibahas pada tahap lanjut.</w:t>
      </w:r>
    </w:p>
    <w:p>
      <w:pPr/>
      <w:r>
        <w:t xml:space="preserve">Setiap laporan memuat evaluasi tiga Dimensi Profil Lulusan:</w:t>
      </w:r>
    </w:p>
    <w:p>
      <w:pPr>
        <w:pStyle w:val="ListParagraph"/>
        <w:numPr>
          <w:ilvl w:val="0"/>
          <w:numId w:val="5"/>
        </w:numPr>
      </w:pPr>
      <w:r>
        <w:rPr>
          <w:b/>
        </w:rPr>
        <w:t xml:space="preserve">Penalaran Kritis</w:t>
      </w:r>
    </w:p>
    <w:p>
      <w:pPr>
        <w:pStyle w:val="ListParagraph"/>
        <w:numPr>
          <w:ilvl w:val="0"/>
          <w:numId w:val="5"/>
        </w:numPr>
      </w:pPr>
      <w:r>
        <w:rPr>
          <w:b/>
        </w:rPr>
        <w:t xml:space="preserve">Kemandirian</w:t>
      </w:r>
    </w:p>
    <w:p>
      <w:pPr>
        <w:pStyle w:val="ListParagraph"/>
        <w:numPr>
          <w:ilvl w:val="0"/>
          <w:numId w:val="5"/>
        </w:numPr>
      </w:pPr>
      <w:r>
        <w:rPr>
          <w:b/>
        </w:rPr>
        <w:t xml:space="preserve">Kreativitas</w:t>
      </w:r>
    </w:p>
    <w:p>
      <w:pPr/>
      <w:r>
        <w:t xml:space="preserve">Landasan ilmiahnya merujuk pada teori efikasi diri (Bandura, 1997), pemantauan metakognitif (Schraw, 2009), dan berpikir komputasional (Wing, 2006). Rincian instrumen dan metode penskoran tersedia pada dokumen teknis yang dibagikan setelah kesepakatan kerja sama.</w:t>
      </w:r>
    </w:p>
    <w:p>
      <w:pPr>
        <w:pStyle w:val="Heading2"/>
      </w:pPr>
      <w:r>
        <w:t xml:space="preserve">Manfaat bagi Setiap Pihak</w:t>
      </w:r>
    </w:p>
    <w:tbl>
      <w:tblPr>
        <w:tblStyle w:val="TableGrid"/>
        <w:tblW w:w="0" w:type="auto"/>
        <w:tblLayout w:type="fixed"/>
        <w:tblLook w:val="04A0" w:firstRow="1" w:lastRow="0" w:firstColumn="0" w:lastColumn="0" w:noHBand="0" w:noVBand="1"/>
      </w:tblPr>
      <w:tblGrid>
        <w:gridCol w:w="2758"/>
        <w:gridCol w:w="6601"/>
      </w:tblGrid>
      <w:tr>
        <w:trPr>
          <w:tblHeader/>
        </w:trPr>
        <w:tc>
          <w:tcPr>
            <w:tcW w:w="2758" w:type="dxa"/>
            <w:shd w:val="clear" w:color="auto" w:fill="F2F2F2"/>
          </w:tcPr>
          <w:p>
            <w:pPr/>
            <w:r>
              <w:t xml:space="preserve">Pihak</w:t>
            </w:r>
          </w:p>
        </w:tc>
        <w:tc>
          <w:tcPr>
            <w:tcW w:w="6601" w:type="dxa"/>
            <w:shd w:val="clear" w:color="auto" w:fill="F2F2F2"/>
          </w:tcPr>
          <w:p>
            <w:pPr/>
            <w:r>
              <w:t xml:space="preserve">Manfaat utama</w:t>
            </w:r>
          </w:p>
        </w:tc>
      </w:tr>
      <w:tr>
        <w:tc>
          <w:tcPr>
            <w:tcW w:w="2758" w:type="dxa"/>
          </w:tcPr>
          <w:p>
            <w:pPr/>
            <w:r>
              <w:t xml:space="preserve">Dinas Pendidikan</w:t>
            </w:r>
          </w:p>
        </w:tc>
        <w:tc>
          <w:tcPr>
            <w:tcW w:w="6601" w:type="dxa"/>
          </w:tcPr>
          <w:p>
            <w:pPr/>
            <w:r>
              <w:t xml:space="preserve">Data diagnostik yang seragam antarsekolah untuk mendukung keputusan mutu pembelajaran KKA/Informatika, serta bukti keselarasan dengan CP dan Dimensi Profil Lulusan.</w:t>
            </w:r>
          </w:p>
        </w:tc>
      </w:tr>
      <w:tr>
        <w:tc>
          <w:tcPr>
            <w:tcW w:w="2758" w:type="dxa"/>
          </w:tcPr>
          <w:p>
            <w:pPr/>
            <w:r>
              <w:t xml:space="preserve">Sekolah</w:t>
            </w:r>
          </w:p>
        </w:tc>
        <w:tc>
          <w:tcPr>
            <w:tcW w:w="6601" w:type="dxa"/>
          </w:tcPr>
          <w:p>
            <w:pPr/>
            <w:r>
              <w:t xml:space="preserve">Gambaran sebaran kemampuan dan keyakinan siswa per kelas dan jenjang.</w:t>
            </w:r>
          </w:p>
        </w:tc>
      </w:tr>
      <w:tr>
        <w:tc>
          <w:tcPr>
            <w:tcW w:w="2758" w:type="dxa"/>
          </w:tcPr>
          <w:p>
            <w:pPr/>
            <w:r>
              <w:t xml:space="preserve">Guru</w:t>
            </w:r>
          </w:p>
        </w:tc>
        <w:tc>
          <w:tcPr>
            <w:tcW w:w="6601" w:type="dxa"/>
          </w:tcPr>
          <w:p>
            <w:pPr/>
            <w:r>
              <w:t xml:space="preserve">Waktu penyusunan laporan individual berkurang, dan rekomendasi tindak lanjut jelas untuk tiap kelompok siswa.</w:t>
            </w:r>
          </w:p>
        </w:tc>
      </w:tr>
      <w:tr>
        <w:tc>
          <w:tcPr>
            <w:tcW w:w="2758" w:type="dxa"/>
          </w:tcPr>
          <w:p>
            <w:pPr/>
            <w:r>
              <w:t xml:space="preserve">Siswa</w:t>
            </w:r>
          </w:p>
        </w:tc>
        <w:tc>
          <w:tcPr>
            <w:tcW w:w="6601" w:type="dxa"/>
          </w:tcPr>
          <w:p>
            <w:pPr/>
            <w:r>
              <w:t xml:space="preserve">Asesmen yang tidak menakutkan, umpan balik yang apresiatif, dan latihan mengenali seberapa yakin dirinya.</w:t>
            </w:r>
          </w:p>
        </w:tc>
      </w:tr>
      <w:tr>
        <w:tc>
          <w:tcPr>
            <w:tcW w:w="2758" w:type="dxa"/>
          </w:tcPr>
          <w:p>
            <w:pPr/>
            <w:r>
              <w:t xml:space="preserve">Orang tua</w:t>
            </w:r>
          </w:p>
        </w:tc>
        <w:tc>
          <w:tcPr>
            <w:tcW w:w="6601" w:type="dxa"/>
          </w:tcPr>
          <w:p>
            <w:pPr/>
            <w:r>
              <w:t xml:space="preserve">Laporan yang mudah dipahami tentang kekuatan anak dan dukungan yang dapat diberikan di rumah.</w:t>
            </w:r>
          </w:p>
        </w:tc>
      </w:tr>
    </w:tbl>
    <w:p>
      <w:pPr>
        <w:pStyle w:val="Heading2"/>
      </w:pPr>
      <w:r>
        <w:t xml:space="preserve">Rencana Pilot (Usulan 8 Minggu)</w:t>
      </w:r>
    </w:p>
    <w:p>
      <w:pPr/>
      <w:r>
        <w:t xml:space="preserve">Pilot dilakukan pada satu jenjang di beberapa sekolah yang ditunjuk dinas, dengan target dan lingkup yang disepakati bersama.</w:t>
      </w:r>
    </w:p>
    <w:p>
      <w:pPr>
        <w:pStyle w:val="ListParagraph"/>
        <w:numPr>
          <w:ilvl w:val="0"/>
          <w:numId w:val="6"/>
        </w:numPr>
      </w:pPr>
      <w:r>
        <w:rPr>
          <w:b/>
        </w:rPr>
        <w:t xml:space="preserve">Minggu 1, persiapan:</w:t>
      </w:r>
      <w:r>
        <w:t xml:space="preserve"> penentuan sekolah, jenjang, dan rombel pilot; kesepakatan indikator dan protokol data.</w:t>
      </w:r>
    </w:p>
    <w:p>
      <w:pPr>
        <w:pStyle w:val="ListParagraph"/>
        <w:numPr>
          <w:ilvl w:val="0"/>
          <w:numId w:val="6"/>
        </w:numPr>
      </w:pPr>
      <w:r>
        <w:rPr>
          <w:b/>
        </w:rPr>
        <w:t xml:space="preserve">Minggu 2, pelatihan guru:</w:t>
      </w:r>
      <w:r>
        <w:t xml:space="preserve"> pengoperasian dashboard dan pembacaan hasil.</w:t>
      </w:r>
    </w:p>
    <w:p>
      <w:pPr>
        <w:pStyle w:val="ListParagraph"/>
        <w:numPr>
          <w:ilvl w:val="0"/>
          <w:numId w:val="6"/>
        </w:numPr>
      </w:pPr>
      <w:r>
        <w:rPr>
          <w:b/>
        </w:rPr>
        <w:t xml:space="preserve">Minggu 3–4, pelaksanaan:</w:t>
      </w:r>
      <w:r>
        <w:t xml:space="preserve"> siswa mengerjakan asesmen, guru memantau.</w:t>
      </w:r>
    </w:p>
    <w:p>
      <w:pPr>
        <w:pStyle w:val="ListParagraph"/>
        <w:numPr>
          <w:ilvl w:val="0"/>
          <w:numId w:val="6"/>
        </w:numPr>
      </w:pPr>
      <w:r>
        <w:rPr>
          <w:b/>
        </w:rPr>
        <w:t xml:space="preserve">Minggu 5–6, analisis dan tindak lanjut:</w:t>
      </w:r>
      <w:r>
        <w:t xml:space="preserve"> pembacaan sebaran hasil, penyuntingan laporan, dan penerapan intervensi.</w:t>
      </w:r>
    </w:p>
    <w:p>
      <w:pPr>
        <w:pStyle w:val="ListParagraph"/>
        <w:numPr>
          <w:ilvl w:val="0"/>
          <w:numId w:val="6"/>
        </w:numPr>
      </w:pPr>
      <w:r>
        <w:rPr>
          <w:b/>
        </w:rPr>
        <w:t xml:space="preserve">Minggu 7–8, evaluasi:</w:t>
      </w:r>
      <w:r>
        <w:t xml:space="preserve"> penilaian terhadap indikator dan rekomendasi perluasan.</w:t>
      </w:r>
    </w:p>
    <w:p>
      <w:pPr/>
      <w:r>
        <w:t xml:space="preserve">Indikator keberhasilan (usulan, ditetapkan final bersama dinas):</w:t>
      </w:r>
    </w:p>
    <w:p>
      <w:pPr>
        <w:pStyle w:val="ListParagraph"/>
        <w:numPr>
          <w:ilvl w:val="0"/>
          <w:numId w:val="7"/>
        </w:numPr>
      </w:pPr>
      <w:r>
        <w:t xml:space="preserve">Seluruh siswa pilot menyelesaikan asesmen.</w:t>
      </w:r>
    </w:p>
    <w:p>
      <w:pPr>
        <w:pStyle w:val="ListParagraph"/>
        <w:numPr>
          <w:ilvl w:val="0"/>
          <w:numId w:val="7"/>
        </w:numPr>
      </w:pPr>
      <w:r>
        <w:t xml:space="preserve">Laporan terbit untuk semua siswa, termasuk saat layanan AI tidak tersedia.</w:t>
      </w:r>
    </w:p>
    <w:p>
      <w:pPr>
        <w:pStyle w:val="ListParagraph"/>
        <w:numPr>
          <w:ilvl w:val="0"/>
          <w:numId w:val="7"/>
        </w:numPr>
      </w:pPr>
      <w:r>
        <w:t xml:space="preserve">Waktu penyusunan laporan per siswa lebih singkat dibanding praktik sebelumnya.</w:t>
      </w:r>
    </w:p>
    <w:p>
      <w:pPr>
        <w:pStyle w:val="ListParagraph"/>
        <w:numPr>
          <w:ilvl w:val="0"/>
          <w:numId w:val="7"/>
        </w:numPr>
      </w:pPr>
      <w:r>
        <w:t xml:space="preserve">Tingkat kepuasan guru mencapai target yang disepakati.</w:t>
      </w:r>
    </w:p>
    <w:p>
      <w:pPr>
        <w:pStyle w:val="ListParagraph"/>
        <w:numPr>
          <w:ilvl w:val="0"/>
          <w:numId w:val="7"/>
        </w:numPr>
      </w:pPr>
      <w:r>
        <w:t xml:space="preserve">Setiap kelompok siswa yang muncul memperoleh minimal satu tindak lanjut terencana.</w:t>
      </w:r>
    </w:p>
    <w:p>
      <w:pPr>
        <w:pStyle w:val="Heading2"/>
      </w:pPr>
      <w:r>
        <w:t xml:space="preserve">Perlindungan Data dan Pengelolaan Risiko</w:t>
      </w:r>
    </w:p>
    <w:p>
      <w:pPr/>
      <w:r>
        <w:t xml:space="preserve">Data identitas dan hasil asesmen siswa bersifat sensitif, sehingga protokol pelindungan data disepakati bersama sebelum pilot dimulai.</w:t>
      </w:r>
    </w:p>
    <w:tbl>
      <w:tblPr>
        <w:tblStyle w:val="TableGrid"/>
        <w:tblW w:w="0" w:type="auto"/>
        <w:tblLayout w:type="fixed"/>
        <w:tblLook w:val="04A0" w:firstRow="1" w:lastRow="0" w:firstColumn="0" w:lastColumn="0" w:noHBand="0" w:noVBand="1"/>
      </w:tblPr>
      <w:tblGrid>
        <w:gridCol w:w="4090"/>
        <w:gridCol w:w="5269"/>
      </w:tblGrid>
      <w:tr>
        <w:trPr>
          <w:tblHeader/>
        </w:trPr>
        <w:tc>
          <w:tcPr>
            <w:tcW w:w="4090" w:type="dxa"/>
            <w:shd w:val="clear" w:color="auto" w:fill="F2F2F2"/>
          </w:tcPr>
          <w:p>
            <w:pPr/>
            <w:r>
              <w:t xml:space="preserve">Risiko</w:t>
            </w:r>
          </w:p>
        </w:tc>
        <w:tc>
          <w:tcPr>
            <w:tcW w:w="5269" w:type="dxa"/>
            <w:shd w:val="clear" w:color="auto" w:fill="F2F2F2"/>
          </w:tcPr>
          <w:p>
            <w:pPr/>
            <w:r>
              <w:t xml:space="preserve">Penanganan</w:t>
            </w:r>
          </w:p>
        </w:tc>
      </w:tr>
      <w:tr>
        <w:tc>
          <w:tcPr>
            <w:tcW w:w="4090" w:type="dxa"/>
          </w:tcPr>
          <w:p>
            <w:pPr/>
            <w:r>
              <w:t xml:space="preserve">Siswa cemas menghadapi "ujian"</w:t>
            </w:r>
          </w:p>
        </w:tc>
        <w:tc>
          <w:tcPr>
            <w:tcW w:w="5269" w:type="dxa"/>
          </w:tcPr>
          <w:p>
            <w:pPr/>
            <w:r>
              <w:t xml:space="preserve">Format asesmen tanpa konsekuensi nilai, bahasa ramah, hasil dibingkai sebagai refleksi.</w:t>
            </w:r>
          </w:p>
        </w:tc>
      </w:tr>
      <w:tr>
        <w:tc>
          <w:tcPr>
            <w:tcW w:w="4090" w:type="dxa"/>
          </w:tcPr>
          <w:p>
            <w:pPr/>
            <w:r>
              <w:t xml:space="preserve">Jaringan internet tidak stabil</w:t>
            </w:r>
          </w:p>
        </w:tc>
        <w:tc>
          <w:tcPr>
            <w:tcW w:w="5269" w:type="dxa"/>
          </w:tcPr>
          <w:p>
            <w:pPr/>
            <w:r>
              <w:t xml:space="preserve">Laporan tetap terbit tanpa layanan AI.</w:t>
            </w:r>
          </w:p>
        </w:tc>
      </w:tr>
      <w:tr>
        <w:tc>
          <w:tcPr>
            <w:tcW w:w="4090" w:type="dxa"/>
          </w:tcPr>
          <w:p>
            <w:pPr/>
            <w:r>
              <w:t xml:space="preserve">Narasi otomatis kurang tepat</w:t>
            </w:r>
          </w:p>
        </w:tc>
        <w:tc>
          <w:tcPr>
            <w:tcW w:w="5269" w:type="dxa"/>
          </w:tcPr>
          <w:p>
            <w:pPr/>
            <w:r>
              <w:t xml:space="preserve">Guru meninjau dan menyunting sebelum laporan dibagikan.</w:t>
            </w:r>
          </w:p>
        </w:tc>
      </w:tr>
      <w:tr>
        <w:tc>
          <w:tcPr>
            <w:tcW w:w="4090" w:type="dxa"/>
          </w:tcPr>
          <w:p>
            <w:pPr/>
            <w:r>
              <w:t xml:space="preserve">Kesiapan perangkat sekolah</w:t>
            </w:r>
          </w:p>
        </w:tc>
        <w:tc>
          <w:tcPr>
            <w:tcW w:w="5269" w:type="dxa"/>
          </w:tcPr>
          <w:p>
            <w:pPr/>
            <w:r>
              <w:t xml:space="preserve">Diverifikasi pada tahap persiapan.</w:t>
            </w:r>
          </w:p>
        </w:tc>
      </w:tr>
    </w:tbl>
    <w:p>
      <w:pPr>
        <w:pStyle w:val="Heading2"/>
      </w:pPr>
      <w:r>
        <w:t xml:space="preserve">Langkah Selanjutnya</w:t>
      </w:r>
    </w:p>
    <w:p>
      <w:pPr/>
      <w:r>
        <w:t xml:space="preserve">Kami mengusulkan sesi presentasi dan demonstrasi langsung kepada Bapak/Ibu pimpinan dinas dan tim kurikulum.</w:t>
      </w:r>
    </w:p>
    <w:p>
      <w:pPr>
        <w:pStyle w:val="ListParagraph"/>
        <w:numPr>
          <w:ilvl w:val="0"/>
          <w:numId w:val="8"/>
        </w:numPr>
      </w:pPr>
      <w:r>
        <w:t xml:space="preserve">Menetapkan jadwal presentasi dan demonstrasi.</w:t>
      </w:r>
    </w:p>
    <w:p>
      <w:pPr>
        <w:pStyle w:val="ListParagraph"/>
        <w:numPr>
          <w:ilvl w:val="0"/>
          <w:numId w:val="8"/>
        </w:numPr>
      </w:pPr>
      <w:r>
        <w:t xml:space="preserve">Menentukan sekolah dan jenjang untuk pilot.</w:t>
      </w:r>
    </w:p>
    <w:p>
      <w:pPr>
        <w:pStyle w:val="ListParagraph"/>
        <w:numPr>
          <w:ilvl w:val="0"/>
          <w:numId w:val="8"/>
        </w:numPr>
      </w:pPr>
      <w:r>
        <w:t xml:space="preserve">Menyepakati lingkup pilot, indikator keberhasilan, dan protokol pelindungan data.</w:t>
      </w:r>
    </w:p>
    <w:p>
      <w:pPr>
        <w:pStyle w:val="ListParagraph"/>
        <w:numPr>
          <w:ilvl w:val="0"/>
          <w:numId w:val="8"/>
        </w:numPr>
      </w:pPr>
      <w:r>
        <w:t xml:space="preserve">Memulai persiapan dan pelatihan guru.</w:t>
      </w:r>
    </w:p>
    <w:p>
      <w:pPr/>
      <w:r>
        <w:t xml:space="preserve">Besaran investasi dibahas pada sesi konsultasi sesuai cakupan pilot.</w:t>
      </w:r>
    </w:p>
    <w:p>
      <w:pPr/>
      <w:r>
        <w:rPr>
          <w:b/>
        </w:rPr>
        <w:t xml:space="preserve">Kontak:</w:t>
      </w:r>
      <w:r>
        <w:t xml:space="preserve"> [Nama Penanggung Jawab], [Jabatan], [Nama Konsultan / Perusahaan] · [alamat surel] · [nomor telepon/WhatsApp]</w:t>
      </w:r>
    </w:p>
    <w:p>
      <w:pPr/>
      <w:r>
        <w:rPr>
          <w:i/>
        </w:rPr>
        <w:t xml:space="preserve">Dokumen ini bersifat rahasia dan disiapkan khusus untuk Dinas Pendidikan [nama dinas]. Dilarang memperbanyak atau menyebarluaskan tanpa izin tertulis.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Kemitraan EfiKoding</dc:title>
  <dc:description>Claude Docs node/79793d38-2e22@9 docx-w7</dc:description>
  <cp:revision>9</cp:revision>
</cp:coreProperties>
</file>