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5BF56" w14:textId="33CF2056" w:rsidR="00442489" w:rsidRDefault="00C8528B" w:rsidP="0045368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MFN Tariffs by Sector Across South Asia: Patterns, Priorities, and Policy Directions</w:t>
      </w:r>
    </w:p>
    <w:p w14:paraId="4DB67957" w14:textId="14AC354E"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Objective and Approach</w:t>
      </w:r>
      <w:r w:rsidRPr="00C8528B">
        <w:rPr>
          <w:rFonts w:ascii="Times New Roman" w:eastAsia="Times New Roman" w:hAnsi="Times New Roman" w:cs="Times New Roman"/>
          <w:kern w:val="0"/>
          <w14:ligatures w14:val="none"/>
        </w:rPr>
        <w:br/>
        <w:t xml:space="preserve">This brief </w:t>
      </w:r>
      <w:proofErr w:type="gramStart"/>
      <w:r w:rsidRPr="00C8528B">
        <w:rPr>
          <w:rFonts w:ascii="Times New Roman" w:eastAsia="Times New Roman" w:hAnsi="Times New Roman" w:cs="Times New Roman"/>
          <w:kern w:val="0"/>
          <w14:ligatures w14:val="none"/>
        </w:rPr>
        <w:t>analyzes</w:t>
      </w:r>
      <w:proofErr w:type="gramEnd"/>
      <w:r w:rsidRPr="00C8528B">
        <w:rPr>
          <w:rFonts w:ascii="Times New Roman" w:eastAsia="Times New Roman" w:hAnsi="Times New Roman" w:cs="Times New Roman"/>
          <w:kern w:val="0"/>
          <w14:ligatures w14:val="none"/>
        </w:rPr>
        <w:t xml:space="preserve"> sector-level import tariff patterns across eight South Asian countries using the latest available MFN (Most Favored Nation) tariff data from the World Integrated Trade Solution (WITS). The objective is to identify policy signals in tariff structures, assess protectionist tendencies, and offer insights for trade harmonization and industrial upgrading.</w:t>
      </w:r>
    </w:p>
    <w:p w14:paraId="5046E2C3" w14:textId="21D2D596" w:rsidR="00C8528B" w:rsidRPr="00C8528B" w:rsidRDefault="00C8528B" w:rsidP="00442489">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Tariffs were mapped at the HS6 level and classified into 8 goods-producing sector groups using HS2 concordance. The analysis focuses on simple average ad valorem rates across sectors and countries.</w:t>
      </w:r>
    </w:p>
    <w:p w14:paraId="4A763E83" w14:textId="77777777" w:rsidR="00C8528B" w:rsidRPr="00C8528B" w:rsidRDefault="00C8528B" w:rsidP="00C85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Key Findings</w:t>
      </w:r>
    </w:p>
    <w:p w14:paraId="05429AB7" w14:textId="1558F894" w:rsidR="005C3F6A" w:rsidRPr="005C3F6A" w:rsidRDefault="00C8528B" w:rsidP="005C3F6A">
      <w:pPr>
        <w:pStyle w:val="ListParagraph"/>
        <w:numPr>
          <w:ilvl w:val="0"/>
          <w:numId w:val="14"/>
        </w:numPr>
        <w:spacing w:before="100" w:beforeAutospacing="1" w:after="100" w:afterAutospacing="1" w:line="240" w:lineRule="auto"/>
        <w:rPr>
          <w:rFonts w:ascii="Times New Roman" w:eastAsia="Times New Roman" w:hAnsi="Times New Roman" w:cs="Times New Roman"/>
          <w:b/>
          <w:bCs/>
          <w:kern w:val="0"/>
          <w14:ligatures w14:val="none"/>
        </w:rPr>
      </w:pPr>
      <w:r w:rsidRPr="005C3F6A">
        <w:rPr>
          <w:rFonts w:ascii="Times New Roman" w:eastAsia="Times New Roman" w:hAnsi="Times New Roman" w:cs="Times New Roman"/>
          <w:b/>
          <w:bCs/>
          <w:kern w:val="0"/>
          <w14:ligatures w14:val="none"/>
        </w:rPr>
        <w:t>Cross-Country Tariff Variation</w:t>
      </w:r>
      <w:r w:rsidR="005C3F6A">
        <w:rPr>
          <w:rFonts w:ascii="Times New Roman" w:eastAsia="Times New Roman" w:hAnsi="Times New Roman" w:cs="Times New Roman"/>
          <w:b/>
          <w:bCs/>
          <w:kern w:val="0"/>
          <w14:ligatures w14:val="non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983"/>
        <w:gridCol w:w="4683"/>
      </w:tblGrid>
      <w:tr w:rsidR="00C8528B" w:rsidRPr="00C8528B" w14:paraId="70E94DD2" w14:textId="77777777" w:rsidTr="00C8528B">
        <w:trPr>
          <w:tblHeader/>
          <w:tblCellSpacing w:w="15" w:type="dxa"/>
        </w:trPr>
        <w:tc>
          <w:tcPr>
            <w:tcW w:w="0" w:type="auto"/>
            <w:vAlign w:val="center"/>
            <w:hideMark/>
          </w:tcPr>
          <w:p w14:paraId="4CE28978" w14:textId="77777777" w:rsidR="00C8528B" w:rsidRPr="00C8528B" w:rsidRDefault="00C8528B" w:rsidP="00C8528B">
            <w:pPr>
              <w:spacing w:after="0" w:line="240" w:lineRule="auto"/>
              <w:jc w:val="center"/>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Country</w:t>
            </w:r>
          </w:p>
        </w:tc>
        <w:tc>
          <w:tcPr>
            <w:tcW w:w="0" w:type="auto"/>
            <w:vAlign w:val="center"/>
            <w:hideMark/>
          </w:tcPr>
          <w:p w14:paraId="29C09B42" w14:textId="77777777" w:rsidR="00C8528B" w:rsidRPr="00C8528B" w:rsidRDefault="00C8528B" w:rsidP="00C8528B">
            <w:pPr>
              <w:spacing w:after="0" w:line="240" w:lineRule="auto"/>
              <w:jc w:val="center"/>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Avg. MFN Tariff (%)</w:t>
            </w:r>
          </w:p>
        </w:tc>
        <w:tc>
          <w:tcPr>
            <w:tcW w:w="0" w:type="auto"/>
            <w:vAlign w:val="center"/>
            <w:hideMark/>
          </w:tcPr>
          <w:p w14:paraId="5D110492" w14:textId="77777777" w:rsidR="00C8528B" w:rsidRPr="00C8528B" w:rsidRDefault="00C8528B" w:rsidP="00C8528B">
            <w:pPr>
              <w:spacing w:after="0" w:line="240" w:lineRule="auto"/>
              <w:jc w:val="center"/>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Notes</w:t>
            </w:r>
          </w:p>
        </w:tc>
      </w:tr>
      <w:tr w:rsidR="00C8528B" w:rsidRPr="00C8528B" w14:paraId="24F1F8D4" w14:textId="77777777" w:rsidTr="00C8528B">
        <w:trPr>
          <w:tblCellSpacing w:w="15" w:type="dxa"/>
        </w:trPr>
        <w:tc>
          <w:tcPr>
            <w:tcW w:w="0" w:type="auto"/>
            <w:vAlign w:val="center"/>
            <w:hideMark/>
          </w:tcPr>
          <w:p w14:paraId="415B6A00"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India</w:t>
            </w:r>
          </w:p>
        </w:tc>
        <w:tc>
          <w:tcPr>
            <w:tcW w:w="0" w:type="auto"/>
            <w:vAlign w:val="center"/>
            <w:hideMark/>
          </w:tcPr>
          <w:p w14:paraId="6AFE4D73"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24.6</w:t>
            </w:r>
          </w:p>
        </w:tc>
        <w:tc>
          <w:tcPr>
            <w:tcW w:w="0" w:type="auto"/>
            <w:vAlign w:val="center"/>
            <w:hideMark/>
          </w:tcPr>
          <w:p w14:paraId="38EE319C"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Highest overall; peaks in wood, textiles, fuel/chemicals</w:t>
            </w:r>
          </w:p>
        </w:tc>
      </w:tr>
      <w:tr w:rsidR="00C8528B" w:rsidRPr="00C8528B" w14:paraId="11B02133" w14:textId="77777777" w:rsidTr="00C8528B">
        <w:trPr>
          <w:tblCellSpacing w:w="15" w:type="dxa"/>
        </w:trPr>
        <w:tc>
          <w:tcPr>
            <w:tcW w:w="0" w:type="auto"/>
            <w:vAlign w:val="center"/>
            <w:hideMark/>
          </w:tcPr>
          <w:p w14:paraId="71E3979B"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Afghanistan</w:t>
            </w:r>
          </w:p>
        </w:tc>
        <w:tc>
          <w:tcPr>
            <w:tcW w:w="0" w:type="auto"/>
            <w:vAlign w:val="center"/>
            <w:hideMark/>
          </w:tcPr>
          <w:p w14:paraId="433C1729"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6.3</w:t>
            </w:r>
          </w:p>
        </w:tc>
        <w:tc>
          <w:tcPr>
            <w:tcW w:w="0" w:type="auto"/>
            <w:vAlign w:val="center"/>
            <w:hideMark/>
          </w:tcPr>
          <w:p w14:paraId="7351517D"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Lowest; low across all sectors</w:t>
            </w:r>
          </w:p>
        </w:tc>
      </w:tr>
      <w:tr w:rsidR="00C8528B" w:rsidRPr="00C8528B" w14:paraId="7B695857" w14:textId="77777777" w:rsidTr="00C8528B">
        <w:trPr>
          <w:tblCellSpacing w:w="15" w:type="dxa"/>
        </w:trPr>
        <w:tc>
          <w:tcPr>
            <w:tcW w:w="0" w:type="auto"/>
            <w:vAlign w:val="center"/>
            <w:hideMark/>
          </w:tcPr>
          <w:p w14:paraId="2CF64D83"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Maldives</w:t>
            </w:r>
          </w:p>
        </w:tc>
        <w:tc>
          <w:tcPr>
            <w:tcW w:w="0" w:type="auto"/>
            <w:vAlign w:val="center"/>
            <w:hideMark/>
          </w:tcPr>
          <w:p w14:paraId="000865F9"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8.5</w:t>
            </w:r>
          </w:p>
        </w:tc>
        <w:tc>
          <w:tcPr>
            <w:tcW w:w="0" w:type="auto"/>
            <w:vAlign w:val="center"/>
            <w:hideMark/>
          </w:tcPr>
          <w:p w14:paraId="5D3CAA97"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Low, especially in agriculture and machinery</w:t>
            </w:r>
          </w:p>
        </w:tc>
      </w:tr>
      <w:tr w:rsidR="00C8528B" w:rsidRPr="00C8528B" w14:paraId="2C4857F9" w14:textId="77777777" w:rsidTr="00C8528B">
        <w:trPr>
          <w:tblCellSpacing w:w="15" w:type="dxa"/>
        </w:trPr>
        <w:tc>
          <w:tcPr>
            <w:tcW w:w="0" w:type="auto"/>
            <w:vAlign w:val="center"/>
            <w:hideMark/>
          </w:tcPr>
          <w:p w14:paraId="136F0841"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Bangladesh, Nepal, Pakistan</w:t>
            </w:r>
          </w:p>
        </w:tc>
        <w:tc>
          <w:tcPr>
            <w:tcW w:w="0" w:type="auto"/>
            <w:vAlign w:val="center"/>
            <w:hideMark/>
          </w:tcPr>
          <w:p w14:paraId="259C68D3"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11–18</w:t>
            </w:r>
          </w:p>
        </w:tc>
        <w:tc>
          <w:tcPr>
            <w:tcW w:w="0" w:type="auto"/>
            <w:vAlign w:val="center"/>
            <w:hideMark/>
          </w:tcPr>
          <w:p w14:paraId="7C6E3DDE"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Intermediate protection</w:t>
            </w:r>
          </w:p>
        </w:tc>
      </w:tr>
      <w:tr w:rsidR="005C3F6A" w:rsidRPr="00C8528B" w14:paraId="61476E46" w14:textId="77777777" w:rsidTr="00C8528B">
        <w:trPr>
          <w:tblCellSpacing w:w="15" w:type="dxa"/>
        </w:trPr>
        <w:tc>
          <w:tcPr>
            <w:tcW w:w="0" w:type="auto"/>
            <w:vAlign w:val="center"/>
          </w:tcPr>
          <w:p w14:paraId="15DE8718" w14:textId="77777777" w:rsidR="005C3F6A" w:rsidRPr="00C8528B" w:rsidRDefault="005C3F6A" w:rsidP="00C8528B">
            <w:pPr>
              <w:spacing w:after="0" w:line="240" w:lineRule="auto"/>
              <w:rPr>
                <w:rFonts w:ascii="Times New Roman" w:eastAsia="Times New Roman" w:hAnsi="Times New Roman" w:cs="Times New Roman"/>
                <w:b/>
                <w:bCs/>
                <w:kern w:val="0"/>
                <w14:ligatures w14:val="none"/>
              </w:rPr>
            </w:pPr>
          </w:p>
        </w:tc>
        <w:tc>
          <w:tcPr>
            <w:tcW w:w="0" w:type="auto"/>
            <w:vAlign w:val="center"/>
          </w:tcPr>
          <w:p w14:paraId="14F15D44" w14:textId="77777777" w:rsidR="005C3F6A" w:rsidRPr="00C8528B" w:rsidRDefault="005C3F6A" w:rsidP="00C8528B">
            <w:pPr>
              <w:spacing w:after="0" w:line="240" w:lineRule="auto"/>
              <w:rPr>
                <w:rFonts w:ascii="Times New Roman" w:eastAsia="Times New Roman" w:hAnsi="Times New Roman" w:cs="Times New Roman"/>
                <w:kern w:val="0"/>
                <w14:ligatures w14:val="none"/>
              </w:rPr>
            </w:pPr>
          </w:p>
        </w:tc>
        <w:tc>
          <w:tcPr>
            <w:tcW w:w="0" w:type="auto"/>
            <w:vAlign w:val="center"/>
          </w:tcPr>
          <w:p w14:paraId="0A93C05D" w14:textId="77777777" w:rsidR="005C3F6A" w:rsidRPr="00C8528B" w:rsidRDefault="005C3F6A" w:rsidP="00C8528B">
            <w:pPr>
              <w:spacing w:after="0" w:line="240" w:lineRule="auto"/>
              <w:rPr>
                <w:rFonts w:ascii="Times New Roman" w:eastAsia="Times New Roman" w:hAnsi="Times New Roman" w:cs="Times New Roman"/>
                <w:kern w:val="0"/>
                <w14:ligatures w14:val="none"/>
              </w:rPr>
            </w:pPr>
          </w:p>
        </w:tc>
      </w:tr>
    </w:tbl>
    <w:p w14:paraId="0C5E6001" w14:textId="6B079E7F" w:rsidR="005C3F6A" w:rsidRDefault="005C3F6A" w:rsidP="005C3F6A">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India stands out with a consistent high-tariff profile, especially in capital- and labor-intensive sectors. Afghanistan and Maldives apply relatively liberal regimes, reflective of their limited domestic production bases or trade facilitation strategies.</w:t>
      </w:r>
      <w:r w:rsidR="00440B07">
        <w:rPr>
          <w:rFonts w:ascii="Times New Roman" w:eastAsia="Times New Roman" w:hAnsi="Times New Roman" w:cs="Times New Roman"/>
          <w:kern w:val="0"/>
          <w14:ligatures w14:val="none"/>
        </w:rPr>
        <w:br/>
      </w:r>
    </w:p>
    <w:p w14:paraId="7ECE4450" w14:textId="34B2540C" w:rsidR="00440B07" w:rsidRPr="00440B07" w:rsidRDefault="00440B07" w:rsidP="00440B07">
      <w:pPr>
        <w:spacing w:before="100" w:beforeAutospacing="1" w:after="100" w:afterAutospacing="1" w:line="240" w:lineRule="auto"/>
        <w:rPr>
          <w:rFonts w:ascii="Times New Roman" w:eastAsia="Times New Roman" w:hAnsi="Times New Roman" w:cs="Times New Roman"/>
          <w:kern w:val="0"/>
          <w14:ligatures w14:val="none"/>
        </w:rPr>
      </w:pPr>
      <w:r w:rsidRPr="00440B07">
        <w:rPr>
          <w:rFonts w:ascii="Times New Roman" w:eastAsia="Times New Roman" w:hAnsi="Times New Roman" w:cs="Times New Roman"/>
          <w:i/>
          <w:iCs/>
          <w:kern w:val="0"/>
          <w14:ligatures w14:val="none"/>
        </w:rPr>
        <w:t>Note: Pakistan's WITS data does not include tariff lines for vegetable oil chapters (HS 1507–1516), reducing textile sector line coverage relative to other countries. Averages are computed from available data.</w:t>
      </w:r>
    </w:p>
    <w:p w14:paraId="3FA24764" w14:textId="77777777" w:rsidR="00440B07" w:rsidRPr="00C8528B" w:rsidRDefault="00440B07" w:rsidP="005C3F6A">
      <w:pPr>
        <w:spacing w:before="100" w:beforeAutospacing="1" w:after="100" w:afterAutospacing="1" w:line="240" w:lineRule="auto"/>
        <w:rPr>
          <w:rFonts w:ascii="Times New Roman" w:eastAsia="Times New Roman" w:hAnsi="Times New Roman" w:cs="Times New Roman"/>
          <w:kern w:val="0"/>
          <w14:ligatures w14:val="none"/>
        </w:rPr>
      </w:pPr>
    </w:p>
    <w:p w14:paraId="1EB00A79" w14:textId="628E86DE" w:rsidR="005C3F6A" w:rsidRDefault="005C3F6A" w:rsidP="00C85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14:ligatures w14:val="none"/>
        </w:rPr>
        <w:lastRenderedPageBreak/>
        <w:drawing>
          <wp:inline distT="0" distB="0" distL="0" distR="0" wp14:anchorId="10D8D45C" wp14:editId="69577B80">
            <wp:extent cx="5939155" cy="4291330"/>
            <wp:effectExtent l="0" t="0" r="4445" b="0"/>
            <wp:docPr id="7596489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4895" name="Picture 2" descr="A screenshot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155" cy="4291330"/>
                    </a:xfrm>
                    <a:prstGeom prst="rect">
                      <a:avLst/>
                    </a:prstGeom>
                    <a:noFill/>
                    <a:ln>
                      <a:noFill/>
                    </a:ln>
                  </pic:spPr>
                </pic:pic>
              </a:graphicData>
            </a:graphic>
          </wp:inline>
        </w:drawing>
      </w:r>
    </w:p>
    <w:p w14:paraId="404BBCA9" w14:textId="1ED216B1" w:rsidR="005C3F6A" w:rsidRDefault="005C3F6A"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i/>
          <w:iCs/>
          <w:kern w:val="0"/>
          <w14:ligatures w14:val="none"/>
        </w:rPr>
        <w:t>Source: WITS, latest available year.</w:t>
      </w:r>
    </w:p>
    <w:p w14:paraId="0324D6D7"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2. Sectoral Hotspots and Outliers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607"/>
        <w:gridCol w:w="2568"/>
      </w:tblGrid>
      <w:tr w:rsidR="00C8528B" w:rsidRPr="00C8528B" w14:paraId="112F110C" w14:textId="77777777" w:rsidTr="00C8528B">
        <w:trPr>
          <w:tblHeader/>
          <w:tblCellSpacing w:w="15" w:type="dxa"/>
        </w:trPr>
        <w:tc>
          <w:tcPr>
            <w:tcW w:w="0" w:type="auto"/>
            <w:vAlign w:val="center"/>
            <w:hideMark/>
          </w:tcPr>
          <w:p w14:paraId="37529FB1" w14:textId="77777777" w:rsidR="00C8528B" w:rsidRPr="00C8528B" w:rsidRDefault="00C8528B" w:rsidP="00C8528B">
            <w:pPr>
              <w:spacing w:after="0" w:line="240" w:lineRule="auto"/>
              <w:jc w:val="center"/>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Sector</w:t>
            </w:r>
          </w:p>
        </w:tc>
        <w:tc>
          <w:tcPr>
            <w:tcW w:w="0" w:type="auto"/>
            <w:vAlign w:val="center"/>
            <w:hideMark/>
          </w:tcPr>
          <w:p w14:paraId="77C51BDF" w14:textId="77777777" w:rsidR="00C8528B" w:rsidRPr="00C8528B" w:rsidRDefault="00C8528B" w:rsidP="00C8528B">
            <w:pPr>
              <w:spacing w:after="0" w:line="240" w:lineRule="auto"/>
              <w:jc w:val="center"/>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Highest Tariff (Country)</w:t>
            </w:r>
          </w:p>
        </w:tc>
        <w:tc>
          <w:tcPr>
            <w:tcW w:w="0" w:type="auto"/>
            <w:vAlign w:val="center"/>
            <w:hideMark/>
          </w:tcPr>
          <w:p w14:paraId="5FCB314C" w14:textId="77777777" w:rsidR="00C8528B" w:rsidRPr="00C8528B" w:rsidRDefault="00C8528B" w:rsidP="00C8528B">
            <w:pPr>
              <w:spacing w:after="0" w:line="240" w:lineRule="auto"/>
              <w:jc w:val="center"/>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Lowest Tariff (Country)</w:t>
            </w:r>
          </w:p>
        </w:tc>
      </w:tr>
      <w:tr w:rsidR="00C8528B" w:rsidRPr="00C8528B" w14:paraId="2C1A240F" w14:textId="77777777" w:rsidTr="00C8528B">
        <w:trPr>
          <w:tblCellSpacing w:w="15" w:type="dxa"/>
        </w:trPr>
        <w:tc>
          <w:tcPr>
            <w:tcW w:w="0" w:type="auto"/>
            <w:vAlign w:val="center"/>
            <w:hideMark/>
          </w:tcPr>
          <w:p w14:paraId="55ADA411"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Agriculture</w:t>
            </w:r>
          </w:p>
        </w:tc>
        <w:tc>
          <w:tcPr>
            <w:tcW w:w="0" w:type="auto"/>
            <w:vAlign w:val="center"/>
            <w:hideMark/>
          </w:tcPr>
          <w:p w14:paraId="017C0E8D"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30.8% (India)</w:t>
            </w:r>
          </w:p>
        </w:tc>
        <w:tc>
          <w:tcPr>
            <w:tcW w:w="0" w:type="auto"/>
            <w:vAlign w:val="center"/>
            <w:hideMark/>
          </w:tcPr>
          <w:p w14:paraId="0F46D9B1"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4.5% (Afghanistan)</w:t>
            </w:r>
          </w:p>
        </w:tc>
      </w:tr>
      <w:tr w:rsidR="00C8528B" w:rsidRPr="00C8528B" w14:paraId="169D8B33" w14:textId="77777777" w:rsidTr="00C8528B">
        <w:trPr>
          <w:tblCellSpacing w:w="15" w:type="dxa"/>
        </w:trPr>
        <w:tc>
          <w:tcPr>
            <w:tcW w:w="0" w:type="auto"/>
            <w:vAlign w:val="center"/>
            <w:hideMark/>
          </w:tcPr>
          <w:p w14:paraId="01E620BE"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Textiles</w:t>
            </w:r>
          </w:p>
        </w:tc>
        <w:tc>
          <w:tcPr>
            <w:tcW w:w="0" w:type="auto"/>
            <w:vAlign w:val="center"/>
            <w:hideMark/>
          </w:tcPr>
          <w:p w14:paraId="7482C737"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33.4% (India)</w:t>
            </w:r>
          </w:p>
        </w:tc>
        <w:tc>
          <w:tcPr>
            <w:tcW w:w="0" w:type="auto"/>
            <w:vAlign w:val="center"/>
            <w:hideMark/>
          </w:tcPr>
          <w:p w14:paraId="5821754A"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5.1% (Maldives)</w:t>
            </w:r>
          </w:p>
        </w:tc>
      </w:tr>
      <w:tr w:rsidR="00C8528B" w:rsidRPr="00C8528B" w14:paraId="28DD9F31" w14:textId="77777777" w:rsidTr="00C8528B">
        <w:trPr>
          <w:tblCellSpacing w:w="15" w:type="dxa"/>
        </w:trPr>
        <w:tc>
          <w:tcPr>
            <w:tcW w:w="0" w:type="auto"/>
            <w:vAlign w:val="center"/>
            <w:hideMark/>
          </w:tcPr>
          <w:p w14:paraId="34F1EBE9"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Fuel/Chem/Metals</w:t>
            </w:r>
          </w:p>
        </w:tc>
        <w:tc>
          <w:tcPr>
            <w:tcW w:w="0" w:type="auto"/>
            <w:vAlign w:val="center"/>
            <w:hideMark/>
          </w:tcPr>
          <w:p w14:paraId="3FF40EF4"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33.0% (India)</w:t>
            </w:r>
          </w:p>
        </w:tc>
        <w:tc>
          <w:tcPr>
            <w:tcW w:w="0" w:type="auto"/>
            <w:vAlign w:val="center"/>
            <w:hideMark/>
          </w:tcPr>
          <w:p w14:paraId="10EE8128"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11.1% (Afghanistan)</w:t>
            </w:r>
          </w:p>
        </w:tc>
      </w:tr>
      <w:tr w:rsidR="00C8528B" w:rsidRPr="00C8528B" w14:paraId="4AB59509" w14:textId="77777777" w:rsidTr="00C8528B">
        <w:trPr>
          <w:tblCellSpacing w:w="15" w:type="dxa"/>
        </w:trPr>
        <w:tc>
          <w:tcPr>
            <w:tcW w:w="0" w:type="auto"/>
            <w:vAlign w:val="center"/>
            <w:hideMark/>
          </w:tcPr>
          <w:p w14:paraId="5930F576"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Machinery/Transport</w:t>
            </w:r>
          </w:p>
        </w:tc>
        <w:tc>
          <w:tcPr>
            <w:tcW w:w="0" w:type="auto"/>
            <w:vAlign w:val="center"/>
            <w:hideMark/>
          </w:tcPr>
          <w:p w14:paraId="4645A7D4"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28.4% (Sri Lanka)</w:t>
            </w:r>
          </w:p>
        </w:tc>
        <w:tc>
          <w:tcPr>
            <w:tcW w:w="0" w:type="auto"/>
            <w:vAlign w:val="center"/>
            <w:hideMark/>
          </w:tcPr>
          <w:p w14:paraId="7944426F" w14:textId="77777777" w:rsidR="00C8528B" w:rsidRPr="00C8528B" w:rsidRDefault="00C8528B" w:rsidP="00C8528B">
            <w:pPr>
              <w:spacing w:after="0"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 xml:space="preserve">0.3% (Sri </w:t>
            </w:r>
            <w:proofErr w:type="gramStart"/>
            <w:r w:rsidRPr="00C8528B">
              <w:rPr>
                <w:rFonts w:ascii="Times New Roman" w:eastAsia="Times New Roman" w:hAnsi="Times New Roman" w:cs="Times New Roman"/>
                <w:kern w:val="0"/>
                <w14:ligatures w14:val="none"/>
              </w:rPr>
              <w:t>Lanka)*</w:t>
            </w:r>
            <w:proofErr w:type="gramEnd"/>
          </w:p>
        </w:tc>
      </w:tr>
    </w:tbl>
    <w:p w14:paraId="332345B9"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*Sri Lanka’s machinery tariffs range widely, suggesting exemptions for select capital goods.</w:t>
      </w:r>
    </w:p>
    <w:p w14:paraId="6B36A0AC" w14:textId="3058AE70" w:rsidR="00C8528B" w:rsidRDefault="00C8528B" w:rsidP="00C8528B">
      <w:pPr>
        <w:spacing w:after="0" w:line="240" w:lineRule="auto"/>
        <w:rPr>
          <w:rFonts w:ascii="Times New Roman" w:eastAsia="Times New Roman" w:hAnsi="Times New Roman" w:cs="Times New Roman"/>
          <w:kern w:val="0"/>
          <w14:ligatures w14:val="none"/>
        </w:rPr>
      </w:pPr>
    </w:p>
    <w:p w14:paraId="196B994B"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noProof/>
          <w:kern w:val="0"/>
          <w14:ligatures w14:val="none"/>
        </w:rPr>
        <mc:AlternateContent>
          <mc:Choice Requires="wps">
            <w:drawing>
              <wp:inline distT="0" distB="0" distL="0" distR="0" wp14:anchorId="385A0422" wp14:editId="705D62A1">
                <wp:extent cx="307975" cy="307975"/>
                <wp:effectExtent l="0" t="0" r="0" b="0"/>
                <wp:docPr id="2015439339" name="AutoShape 19" descr="MFN Tariffs by Sector Across South As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19F8C" id="AutoShape 19" o:spid="_x0000_s1026" alt="MFN Tariffs by Sector Across South Asi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7ACF9BF" w14:textId="228D9485" w:rsidR="0024703F" w:rsidRDefault="0024703F" w:rsidP="00C8528B">
      <w:pPr>
        <w:spacing w:before="100" w:beforeAutospacing="1" w:after="100" w:afterAutospacing="1" w:line="240" w:lineRule="auto"/>
        <w:rPr>
          <w:rFonts w:ascii="Times New Roman" w:eastAsia="Times New Roman" w:hAnsi="Times New Roman" w:cs="Times New Roman"/>
          <w:i/>
          <w:iCs/>
          <w:kern w:val="0"/>
          <w14:ligatures w14:val="none"/>
        </w:rPr>
      </w:pPr>
      <w:r>
        <w:rPr>
          <w:noProof/>
        </w:rPr>
        <w:lastRenderedPageBreak/>
        <w:drawing>
          <wp:inline distT="0" distB="0" distL="0" distR="0" wp14:anchorId="366B8A2F" wp14:editId="2C877E98">
            <wp:extent cx="4921250" cy="8229600"/>
            <wp:effectExtent l="0" t="0" r="0" b="0"/>
            <wp:docPr id="1133535124" name="Picture 1" descr="A group of colorful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35124" name="Picture 1" descr="A group of colorful shap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1250" cy="8229600"/>
                    </a:xfrm>
                    <a:prstGeom prst="rect">
                      <a:avLst/>
                    </a:prstGeom>
                    <a:noFill/>
                    <a:ln>
                      <a:noFill/>
                    </a:ln>
                  </pic:spPr>
                </pic:pic>
              </a:graphicData>
            </a:graphic>
          </wp:inline>
        </w:drawing>
      </w:r>
    </w:p>
    <w:p w14:paraId="64F45F64" w14:textId="77777777" w:rsidR="0024703F" w:rsidRDefault="0024703F" w:rsidP="00C8528B">
      <w:pPr>
        <w:spacing w:before="100" w:beforeAutospacing="1" w:after="100" w:afterAutospacing="1" w:line="240" w:lineRule="auto"/>
        <w:rPr>
          <w:rFonts w:ascii="Times New Roman" w:eastAsia="Times New Roman" w:hAnsi="Times New Roman" w:cs="Times New Roman"/>
          <w:i/>
          <w:iCs/>
          <w:kern w:val="0"/>
          <w14:ligatures w14:val="none"/>
        </w:rPr>
      </w:pPr>
    </w:p>
    <w:p w14:paraId="4FE49694" w14:textId="51F5FCE9"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i/>
          <w:iCs/>
          <w:kern w:val="0"/>
          <w14:ligatures w14:val="none"/>
        </w:rPr>
        <w:t>Source: WITS, latest available year.</w:t>
      </w:r>
    </w:p>
    <w:p w14:paraId="516E16A5" w14:textId="77777777" w:rsidR="00F41DEC" w:rsidRPr="00F41DEC" w:rsidRDefault="00F41DEC" w:rsidP="00F41DEC">
      <w:pPr>
        <w:spacing w:after="0" w:line="240" w:lineRule="auto"/>
        <w:rPr>
          <w:rFonts w:ascii="Times New Roman" w:eastAsia="Times New Roman" w:hAnsi="Times New Roman" w:cs="Times New Roman"/>
          <w:kern w:val="0"/>
          <w14:ligatures w14:val="none"/>
        </w:rPr>
      </w:pPr>
      <w:r w:rsidRPr="00F41DEC">
        <w:rPr>
          <w:rFonts w:ascii="Times New Roman" w:eastAsia="Times New Roman" w:hAnsi="Times New Roman" w:cs="Times New Roman"/>
          <w:kern w:val="0"/>
          <w14:ligatures w14:val="none"/>
        </w:rPr>
        <w:t xml:space="preserve">Each radar chart shows average MFN tariffs by sector, allowing cross-country comparison along each axis. A country’s distance from the center indicates the relative protection level in that </w:t>
      </w:r>
      <w:proofErr w:type="gramStart"/>
      <w:r w:rsidRPr="00F41DEC">
        <w:rPr>
          <w:rFonts w:ascii="Times New Roman" w:eastAsia="Times New Roman" w:hAnsi="Times New Roman" w:cs="Times New Roman"/>
          <w:kern w:val="0"/>
          <w14:ligatures w14:val="none"/>
        </w:rPr>
        <w:t>sector—</w:t>
      </w:r>
      <w:proofErr w:type="gramEnd"/>
      <w:r w:rsidRPr="00F41DEC">
        <w:rPr>
          <w:rFonts w:ascii="Times New Roman" w:eastAsia="Times New Roman" w:hAnsi="Times New Roman" w:cs="Times New Roman"/>
          <w:kern w:val="0"/>
          <w14:ligatures w14:val="none"/>
        </w:rPr>
        <w:t>the farther out, the higher the tariff.</w:t>
      </w:r>
    </w:p>
    <w:p w14:paraId="0F719EC9" w14:textId="7F0A2373" w:rsidR="00C8528B" w:rsidRPr="00C8528B" w:rsidRDefault="00C8528B" w:rsidP="00C8528B">
      <w:pPr>
        <w:spacing w:after="0" w:line="240" w:lineRule="auto"/>
        <w:rPr>
          <w:rFonts w:ascii="Times New Roman" w:eastAsia="Times New Roman" w:hAnsi="Times New Roman" w:cs="Times New Roman"/>
          <w:kern w:val="0"/>
          <w14:ligatures w14:val="none"/>
        </w:rPr>
      </w:pPr>
    </w:p>
    <w:p w14:paraId="14E53188" w14:textId="77777777" w:rsidR="00C8528B" w:rsidRPr="00C8528B" w:rsidRDefault="00C8528B" w:rsidP="00C85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Interpretation and Policy Insights</w:t>
      </w:r>
    </w:p>
    <w:p w14:paraId="37A9DDD6"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Protectionism vs. Liberalization</w:t>
      </w:r>
    </w:p>
    <w:p w14:paraId="0AB033C3" w14:textId="77777777" w:rsidR="00C8528B" w:rsidRPr="00C8528B" w:rsidRDefault="00C8528B" w:rsidP="00C8528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India’s tariff regime</w:t>
      </w:r>
      <w:r w:rsidRPr="00C8528B">
        <w:rPr>
          <w:rFonts w:ascii="Times New Roman" w:eastAsia="Times New Roman" w:hAnsi="Times New Roman" w:cs="Times New Roman"/>
          <w:kern w:val="0"/>
          <w14:ligatures w14:val="none"/>
        </w:rPr>
        <w:t xml:space="preserve"> reflects strategic import substitution, with particularly high rates on sectors like textiles (33.4%) and fuel/metals (33.0%).</w:t>
      </w:r>
    </w:p>
    <w:p w14:paraId="38244A11" w14:textId="4DE4BB5F" w:rsidR="00C8528B" w:rsidRPr="00C8528B" w:rsidRDefault="00C8528B" w:rsidP="005C3F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8528B">
        <w:rPr>
          <w:rFonts w:ascii="Times New Roman" w:eastAsia="Times New Roman" w:hAnsi="Times New Roman" w:cs="Times New Roman"/>
          <w:b/>
          <w:bCs/>
          <w:kern w:val="0"/>
          <w14:ligatures w14:val="none"/>
        </w:rPr>
        <w:t xml:space="preserve">Afghanistan </w:t>
      </w:r>
      <w:r w:rsidRPr="00C8528B">
        <w:rPr>
          <w:rFonts w:ascii="Times New Roman" w:eastAsia="Times New Roman" w:hAnsi="Times New Roman" w:cs="Times New Roman"/>
          <w:kern w:val="0"/>
          <w14:ligatures w14:val="none"/>
        </w:rPr>
        <w:t>,</w:t>
      </w:r>
      <w:proofErr w:type="gramEnd"/>
      <w:r w:rsidRPr="00C8528B">
        <w:rPr>
          <w:rFonts w:ascii="Times New Roman" w:eastAsia="Times New Roman" w:hAnsi="Times New Roman" w:cs="Times New Roman"/>
          <w:kern w:val="0"/>
          <w14:ligatures w14:val="none"/>
        </w:rPr>
        <w:t xml:space="preserve"> contrasting with India and Pakistan’s protectionist stance.</w:t>
      </w:r>
    </w:p>
    <w:p w14:paraId="633A3847"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Textile Paradox</w:t>
      </w:r>
      <w:r w:rsidRPr="00C8528B">
        <w:rPr>
          <w:rFonts w:ascii="Times New Roman" w:eastAsia="Times New Roman" w:hAnsi="Times New Roman" w:cs="Times New Roman"/>
          <w:kern w:val="0"/>
          <w14:ligatures w14:val="none"/>
        </w:rPr>
        <w:br/>
        <w:t>India and Pakistan impose high textile tariffs despite being major global exporters, possibly to shield domestic producers from regional competition. Bangladesh’s more moderate stance may reflect a strategic balance between input costs and export competitiveness.</w:t>
      </w:r>
    </w:p>
    <w:p w14:paraId="1EFB2EFA" w14:textId="082D3857" w:rsidR="00C8528B" w:rsidRPr="00C8528B" w:rsidRDefault="00C8528B" w:rsidP="00442489">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Capital Goods and Industrial Upgrading</w:t>
      </w:r>
      <w:r w:rsidRPr="00C8528B">
        <w:rPr>
          <w:rFonts w:ascii="Times New Roman" w:eastAsia="Times New Roman" w:hAnsi="Times New Roman" w:cs="Times New Roman"/>
          <w:kern w:val="0"/>
          <w14:ligatures w14:val="none"/>
        </w:rPr>
        <w:br/>
        <w:t xml:space="preserve">Low machinery tariffs in </w:t>
      </w:r>
      <w:r w:rsidRPr="00C8528B">
        <w:rPr>
          <w:rFonts w:ascii="Times New Roman" w:eastAsia="Times New Roman" w:hAnsi="Times New Roman" w:cs="Times New Roman"/>
          <w:b/>
          <w:bCs/>
          <w:kern w:val="0"/>
          <w14:ligatures w14:val="none"/>
        </w:rPr>
        <w:t>Pakistan (2.0%)</w:t>
      </w:r>
      <w:r w:rsidRPr="00C8528B">
        <w:rPr>
          <w:rFonts w:ascii="Times New Roman" w:eastAsia="Times New Roman" w:hAnsi="Times New Roman" w:cs="Times New Roman"/>
          <w:kern w:val="0"/>
          <w14:ligatures w14:val="none"/>
        </w:rPr>
        <w:t xml:space="preserve"> and partial exemptions in </w:t>
      </w:r>
      <w:r w:rsidRPr="00C8528B">
        <w:rPr>
          <w:rFonts w:ascii="Times New Roman" w:eastAsia="Times New Roman" w:hAnsi="Times New Roman" w:cs="Times New Roman"/>
          <w:b/>
          <w:bCs/>
          <w:kern w:val="0"/>
          <w14:ligatures w14:val="none"/>
        </w:rPr>
        <w:t>Sri Lanka (0.3–28.4%)</w:t>
      </w:r>
      <w:r w:rsidRPr="00C8528B">
        <w:rPr>
          <w:rFonts w:ascii="Times New Roman" w:eastAsia="Times New Roman" w:hAnsi="Times New Roman" w:cs="Times New Roman"/>
          <w:kern w:val="0"/>
          <w14:ligatures w14:val="none"/>
        </w:rPr>
        <w:t xml:space="preserve"> may aim to support technological diffusion and modernization. In contrast, higher rates in India and Bhutan suggest room for revisiting capital goods policy to enable productivity gains.</w:t>
      </w:r>
    </w:p>
    <w:p w14:paraId="2545F919" w14:textId="77777777" w:rsidR="00C8528B" w:rsidRPr="00C8528B" w:rsidRDefault="00C8528B" w:rsidP="00C85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Recommendations</w:t>
      </w:r>
    </w:p>
    <w:p w14:paraId="08720A7A"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1. SAFTA Tariff Harmonization</w:t>
      </w:r>
    </w:p>
    <w:p w14:paraId="1A08AE5C" w14:textId="77777777" w:rsidR="00C8528B" w:rsidRPr="00C8528B" w:rsidRDefault="00C8528B" w:rsidP="00C852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Focus on intermediate goods (e.g., textiles, fuel/chemicals) where tariff misalignment raises input costs for regional value chains.</w:t>
      </w:r>
    </w:p>
    <w:p w14:paraId="5A15B033" w14:textId="77777777" w:rsidR="00C8528B" w:rsidRPr="00C8528B" w:rsidRDefault="00C8528B" w:rsidP="00C852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Use SAARC platforms to establish tiered schedules for sensitive vs. strategic products.</w:t>
      </w:r>
    </w:p>
    <w:p w14:paraId="0D1577E3"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2. Incentivize Capital Imports</w:t>
      </w:r>
    </w:p>
    <w:p w14:paraId="0BA4ED66" w14:textId="77777777" w:rsidR="00C8528B" w:rsidRPr="00C8528B" w:rsidRDefault="00C8528B" w:rsidP="00C8528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Countries with high machinery tariffs (e.g., India, Bhutan, Sri Lanka) should evaluate tiered or duty-free schemes for productivity-enhancing imports.</w:t>
      </w:r>
    </w:p>
    <w:p w14:paraId="513422CB"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3. Align Tariffs with Export Strategy</w:t>
      </w:r>
    </w:p>
    <w:p w14:paraId="58279D30" w14:textId="77777777" w:rsidR="00C8528B" w:rsidRPr="00C8528B" w:rsidRDefault="00C8528B" w:rsidP="00C8528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Rationalize high textile tariffs in India and Pakistan to reduce input cost pressures on exporters, especially in garments and apparel.</w:t>
      </w:r>
    </w:p>
    <w:p w14:paraId="02C6134E"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b/>
          <w:bCs/>
          <w:kern w:val="0"/>
          <w14:ligatures w14:val="none"/>
        </w:rPr>
        <w:t>4. Reassess Agricultural Protection</w:t>
      </w:r>
    </w:p>
    <w:p w14:paraId="2AB8830C" w14:textId="29F6189C" w:rsidR="00C8528B" w:rsidRPr="00C8528B" w:rsidRDefault="00C8528B" w:rsidP="0044248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High tariffs (e.g., India: 30.8%) could have inflationary effects on food prices. Consider balancing producer support with consumer welfare.</w:t>
      </w:r>
    </w:p>
    <w:p w14:paraId="03881D59" w14:textId="6BE7C98E" w:rsidR="00C8528B" w:rsidRPr="00C8528B" w:rsidRDefault="00C8528B" w:rsidP="00C85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8528B">
        <w:rPr>
          <w:rFonts w:ascii="Times New Roman" w:eastAsia="Times New Roman" w:hAnsi="Times New Roman" w:cs="Times New Roman"/>
          <w:b/>
          <w:bCs/>
          <w:kern w:val="0"/>
          <w14:ligatures w14:val="none"/>
        </w:rPr>
        <w:t>Conclu</w:t>
      </w:r>
      <w:r w:rsidR="00442489">
        <w:rPr>
          <w:rFonts w:ascii="Times New Roman" w:eastAsia="Times New Roman" w:hAnsi="Times New Roman" w:cs="Times New Roman"/>
          <w:b/>
          <w:bCs/>
          <w:kern w:val="0"/>
          <w14:ligatures w14:val="none"/>
        </w:rPr>
        <w:t>sion</w:t>
      </w:r>
    </w:p>
    <w:p w14:paraId="17DA9A31" w14:textId="77777777" w:rsidR="00C8528B" w:rsidRPr="00C8528B" w:rsidRDefault="00C8528B" w:rsidP="00C8528B">
      <w:pPr>
        <w:spacing w:before="100" w:beforeAutospacing="1" w:after="100" w:afterAutospacing="1" w:line="240" w:lineRule="auto"/>
        <w:rPr>
          <w:rFonts w:ascii="Times New Roman" w:eastAsia="Times New Roman" w:hAnsi="Times New Roman" w:cs="Times New Roman"/>
          <w:kern w:val="0"/>
          <w14:ligatures w14:val="none"/>
        </w:rPr>
      </w:pPr>
      <w:r w:rsidRPr="00C8528B">
        <w:rPr>
          <w:rFonts w:ascii="Times New Roman" w:eastAsia="Times New Roman" w:hAnsi="Times New Roman" w:cs="Times New Roman"/>
          <w:kern w:val="0"/>
          <w14:ligatures w14:val="none"/>
        </w:rPr>
        <w:t>The analysis reveals significant divergence in trade policy across South Asia. While some countries pursue protectionist strategies to shield domestic industries, others leverage liberal regimes to reduce input costs and encourage trade. Regional coordination, especially under SAFTA, can offer a path toward reduced trade costs, improved competitiveness, and more coherent industrial strategies.</w:t>
      </w:r>
    </w:p>
    <w:p w14:paraId="4FE63E0B" w14:textId="77777777" w:rsidR="001B4E30" w:rsidRPr="00C8528B" w:rsidRDefault="001B4E30" w:rsidP="00C8528B"/>
    <w:sectPr w:rsidR="001B4E30" w:rsidRPr="00C8528B">
      <w:headerReference w:type="default" r:id="rId9"/>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AAF2D" w14:textId="77777777" w:rsidR="002D0741" w:rsidRDefault="002D0741" w:rsidP="001B4E30">
      <w:pPr>
        <w:spacing w:after="0" w:line="240" w:lineRule="auto"/>
      </w:pPr>
      <w:r>
        <w:separator/>
      </w:r>
    </w:p>
  </w:endnote>
  <w:endnote w:type="continuationSeparator" w:id="0">
    <w:p w14:paraId="646B62C5" w14:textId="77777777" w:rsidR="002D0741" w:rsidRDefault="002D0741" w:rsidP="001B4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3888" w14:textId="268228EB" w:rsidR="0035617A" w:rsidRDefault="003561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55B3" w14:textId="4A8DF83D" w:rsidR="0035617A" w:rsidRDefault="003561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4E43" w14:textId="7F06331B" w:rsidR="0035617A" w:rsidRDefault="00356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86E7" w14:textId="77777777" w:rsidR="002D0741" w:rsidRDefault="002D0741" w:rsidP="001B4E30">
      <w:pPr>
        <w:spacing w:after="0" w:line="240" w:lineRule="auto"/>
      </w:pPr>
      <w:r>
        <w:separator/>
      </w:r>
    </w:p>
  </w:footnote>
  <w:footnote w:type="continuationSeparator" w:id="0">
    <w:p w14:paraId="488D8E0D" w14:textId="77777777" w:rsidR="002D0741" w:rsidRDefault="002D0741" w:rsidP="001B4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D345" w14:textId="65B1741C" w:rsidR="001B4E30" w:rsidRDefault="001B4E30">
    <w:pPr>
      <w:pStyle w:val="Header"/>
    </w:pPr>
    <w:r>
      <w:t xml:space="preserve">ADAVIS SARCE RA ASSIGNMENT- TASK </w:t>
    </w:r>
    <w:r w:rsidR="009F6840">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725A"/>
    <w:multiLevelType w:val="multilevel"/>
    <w:tmpl w:val="578E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F517F"/>
    <w:multiLevelType w:val="multilevel"/>
    <w:tmpl w:val="5A7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12FC4"/>
    <w:multiLevelType w:val="multilevel"/>
    <w:tmpl w:val="6E0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76873"/>
    <w:multiLevelType w:val="multilevel"/>
    <w:tmpl w:val="BF2E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4855A9"/>
    <w:multiLevelType w:val="multilevel"/>
    <w:tmpl w:val="036E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85EEA"/>
    <w:multiLevelType w:val="multilevel"/>
    <w:tmpl w:val="FDAE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450BA"/>
    <w:multiLevelType w:val="multilevel"/>
    <w:tmpl w:val="5F9C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452E3"/>
    <w:multiLevelType w:val="multilevel"/>
    <w:tmpl w:val="4D5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05474"/>
    <w:multiLevelType w:val="multilevel"/>
    <w:tmpl w:val="43769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F17E48"/>
    <w:multiLevelType w:val="multilevel"/>
    <w:tmpl w:val="BA8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A5435"/>
    <w:multiLevelType w:val="multilevel"/>
    <w:tmpl w:val="5F22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A2BF0"/>
    <w:multiLevelType w:val="multilevel"/>
    <w:tmpl w:val="96EE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C16DAF"/>
    <w:multiLevelType w:val="multilevel"/>
    <w:tmpl w:val="69AC4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5907C7"/>
    <w:multiLevelType w:val="hybridMultilevel"/>
    <w:tmpl w:val="8C24D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1085394">
    <w:abstractNumId w:val="12"/>
  </w:num>
  <w:num w:numId="2" w16cid:durableId="2034068862">
    <w:abstractNumId w:val="1"/>
  </w:num>
  <w:num w:numId="3" w16cid:durableId="744111776">
    <w:abstractNumId w:val="8"/>
  </w:num>
  <w:num w:numId="4" w16cid:durableId="1116557287">
    <w:abstractNumId w:val="7"/>
  </w:num>
  <w:num w:numId="5" w16cid:durableId="974335789">
    <w:abstractNumId w:val="3"/>
  </w:num>
  <w:num w:numId="6" w16cid:durableId="1216353009">
    <w:abstractNumId w:val="9"/>
  </w:num>
  <w:num w:numId="7" w16cid:durableId="325596155">
    <w:abstractNumId w:val="6"/>
  </w:num>
  <w:num w:numId="8" w16cid:durableId="1505130283">
    <w:abstractNumId w:val="11"/>
  </w:num>
  <w:num w:numId="9" w16cid:durableId="1383212066">
    <w:abstractNumId w:val="4"/>
  </w:num>
  <w:num w:numId="10" w16cid:durableId="490561324">
    <w:abstractNumId w:val="5"/>
  </w:num>
  <w:num w:numId="11" w16cid:durableId="152645872">
    <w:abstractNumId w:val="10"/>
  </w:num>
  <w:num w:numId="12" w16cid:durableId="875236039">
    <w:abstractNumId w:val="0"/>
  </w:num>
  <w:num w:numId="13" w16cid:durableId="2109110290">
    <w:abstractNumId w:val="2"/>
  </w:num>
  <w:num w:numId="14" w16cid:durableId="15759696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30"/>
    <w:rsid w:val="001A4542"/>
    <w:rsid w:val="001B4E30"/>
    <w:rsid w:val="0024703F"/>
    <w:rsid w:val="002D0741"/>
    <w:rsid w:val="002F0929"/>
    <w:rsid w:val="0035617A"/>
    <w:rsid w:val="00440B07"/>
    <w:rsid w:val="00442489"/>
    <w:rsid w:val="00453683"/>
    <w:rsid w:val="00575271"/>
    <w:rsid w:val="005C3F6A"/>
    <w:rsid w:val="006B3AB4"/>
    <w:rsid w:val="007346FC"/>
    <w:rsid w:val="0083706B"/>
    <w:rsid w:val="008A63B2"/>
    <w:rsid w:val="009F6840"/>
    <w:rsid w:val="00AA1791"/>
    <w:rsid w:val="00B01675"/>
    <w:rsid w:val="00BB1C77"/>
    <w:rsid w:val="00C8528B"/>
    <w:rsid w:val="00CE34D9"/>
    <w:rsid w:val="00D4069B"/>
    <w:rsid w:val="00DB0450"/>
    <w:rsid w:val="00DB1A7E"/>
    <w:rsid w:val="00F41DEC"/>
    <w:rsid w:val="00F83323"/>
    <w:rsid w:val="00FE7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AF05"/>
  <w15:chartTrackingRefBased/>
  <w15:docId w15:val="{64541DA8-A966-4073-BB5A-41D0CAE1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E30"/>
    <w:rPr>
      <w:rFonts w:eastAsiaTheme="majorEastAsia" w:cstheme="majorBidi"/>
      <w:color w:val="272727" w:themeColor="text1" w:themeTint="D8"/>
    </w:rPr>
  </w:style>
  <w:style w:type="paragraph" w:styleId="Title">
    <w:name w:val="Title"/>
    <w:basedOn w:val="Normal"/>
    <w:next w:val="Normal"/>
    <w:link w:val="TitleChar"/>
    <w:uiPriority w:val="10"/>
    <w:qFormat/>
    <w:rsid w:val="001B4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E30"/>
    <w:pPr>
      <w:spacing w:before="160"/>
      <w:jc w:val="center"/>
    </w:pPr>
    <w:rPr>
      <w:i/>
      <w:iCs/>
      <w:color w:val="404040" w:themeColor="text1" w:themeTint="BF"/>
    </w:rPr>
  </w:style>
  <w:style w:type="character" w:customStyle="1" w:styleId="QuoteChar">
    <w:name w:val="Quote Char"/>
    <w:basedOn w:val="DefaultParagraphFont"/>
    <w:link w:val="Quote"/>
    <w:uiPriority w:val="29"/>
    <w:rsid w:val="001B4E30"/>
    <w:rPr>
      <w:i/>
      <w:iCs/>
      <w:color w:val="404040" w:themeColor="text1" w:themeTint="BF"/>
    </w:rPr>
  </w:style>
  <w:style w:type="paragraph" w:styleId="ListParagraph">
    <w:name w:val="List Paragraph"/>
    <w:basedOn w:val="Normal"/>
    <w:uiPriority w:val="34"/>
    <w:qFormat/>
    <w:rsid w:val="001B4E30"/>
    <w:pPr>
      <w:ind w:left="720"/>
      <w:contextualSpacing/>
    </w:pPr>
  </w:style>
  <w:style w:type="character" w:styleId="IntenseEmphasis">
    <w:name w:val="Intense Emphasis"/>
    <w:basedOn w:val="DefaultParagraphFont"/>
    <w:uiPriority w:val="21"/>
    <w:qFormat/>
    <w:rsid w:val="001B4E30"/>
    <w:rPr>
      <w:i/>
      <w:iCs/>
      <w:color w:val="0F4761" w:themeColor="accent1" w:themeShade="BF"/>
    </w:rPr>
  </w:style>
  <w:style w:type="paragraph" w:styleId="IntenseQuote">
    <w:name w:val="Intense Quote"/>
    <w:basedOn w:val="Normal"/>
    <w:next w:val="Normal"/>
    <w:link w:val="IntenseQuoteChar"/>
    <w:uiPriority w:val="30"/>
    <w:qFormat/>
    <w:rsid w:val="001B4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E30"/>
    <w:rPr>
      <w:i/>
      <w:iCs/>
      <w:color w:val="0F4761" w:themeColor="accent1" w:themeShade="BF"/>
    </w:rPr>
  </w:style>
  <w:style w:type="character" w:styleId="IntenseReference">
    <w:name w:val="Intense Reference"/>
    <w:basedOn w:val="DefaultParagraphFont"/>
    <w:uiPriority w:val="32"/>
    <w:qFormat/>
    <w:rsid w:val="001B4E30"/>
    <w:rPr>
      <w:b/>
      <w:bCs/>
      <w:smallCaps/>
      <w:color w:val="0F4761" w:themeColor="accent1" w:themeShade="BF"/>
      <w:spacing w:val="5"/>
    </w:rPr>
  </w:style>
  <w:style w:type="paragraph" w:styleId="Header">
    <w:name w:val="header"/>
    <w:basedOn w:val="Normal"/>
    <w:link w:val="HeaderChar"/>
    <w:uiPriority w:val="99"/>
    <w:unhideWhenUsed/>
    <w:rsid w:val="001B4E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E30"/>
  </w:style>
  <w:style w:type="paragraph" w:styleId="Footer">
    <w:name w:val="footer"/>
    <w:basedOn w:val="Normal"/>
    <w:link w:val="FooterChar"/>
    <w:uiPriority w:val="99"/>
    <w:unhideWhenUsed/>
    <w:rsid w:val="001B4E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764">
      <w:bodyDiv w:val="1"/>
      <w:marLeft w:val="0"/>
      <w:marRight w:val="0"/>
      <w:marTop w:val="0"/>
      <w:marBottom w:val="0"/>
      <w:divBdr>
        <w:top w:val="none" w:sz="0" w:space="0" w:color="auto"/>
        <w:left w:val="none" w:sz="0" w:space="0" w:color="auto"/>
        <w:bottom w:val="none" w:sz="0" w:space="0" w:color="auto"/>
        <w:right w:val="none" w:sz="0" w:space="0" w:color="auto"/>
      </w:divBdr>
    </w:div>
    <w:div w:id="109054781">
      <w:bodyDiv w:val="1"/>
      <w:marLeft w:val="0"/>
      <w:marRight w:val="0"/>
      <w:marTop w:val="0"/>
      <w:marBottom w:val="0"/>
      <w:divBdr>
        <w:top w:val="none" w:sz="0" w:space="0" w:color="auto"/>
        <w:left w:val="none" w:sz="0" w:space="0" w:color="auto"/>
        <w:bottom w:val="none" w:sz="0" w:space="0" w:color="auto"/>
        <w:right w:val="none" w:sz="0" w:space="0" w:color="auto"/>
      </w:divBdr>
      <w:divsChild>
        <w:div w:id="508953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39882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1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82369">
      <w:bodyDiv w:val="1"/>
      <w:marLeft w:val="0"/>
      <w:marRight w:val="0"/>
      <w:marTop w:val="0"/>
      <w:marBottom w:val="0"/>
      <w:divBdr>
        <w:top w:val="none" w:sz="0" w:space="0" w:color="auto"/>
        <w:left w:val="none" w:sz="0" w:space="0" w:color="auto"/>
        <w:bottom w:val="none" w:sz="0" w:space="0" w:color="auto"/>
        <w:right w:val="none" w:sz="0" w:space="0" w:color="auto"/>
      </w:divBdr>
    </w:div>
    <w:div w:id="202598658">
      <w:bodyDiv w:val="1"/>
      <w:marLeft w:val="0"/>
      <w:marRight w:val="0"/>
      <w:marTop w:val="0"/>
      <w:marBottom w:val="0"/>
      <w:divBdr>
        <w:top w:val="none" w:sz="0" w:space="0" w:color="auto"/>
        <w:left w:val="none" w:sz="0" w:space="0" w:color="auto"/>
        <w:bottom w:val="none" w:sz="0" w:space="0" w:color="auto"/>
        <w:right w:val="none" w:sz="0" w:space="0" w:color="auto"/>
      </w:divBdr>
      <w:divsChild>
        <w:div w:id="120031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89463">
          <w:blockQuote w:val="1"/>
          <w:marLeft w:val="720"/>
          <w:marRight w:val="720"/>
          <w:marTop w:val="100"/>
          <w:marBottom w:val="100"/>
          <w:divBdr>
            <w:top w:val="none" w:sz="0" w:space="0" w:color="auto"/>
            <w:left w:val="none" w:sz="0" w:space="0" w:color="auto"/>
            <w:bottom w:val="none" w:sz="0" w:space="0" w:color="auto"/>
            <w:right w:val="none" w:sz="0" w:space="0" w:color="auto"/>
          </w:divBdr>
        </w:div>
        <w:div w:id="895507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975">
      <w:bodyDiv w:val="1"/>
      <w:marLeft w:val="0"/>
      <w:marRight w:val="0"/>
      <w:marTop w:val="0"/>
      <w:marBottom w:val="0"/>
      <w:divBdr>
        <w:top w:val="none" w:sz="0" w:space="0" w:color="auto"/>
        <w:left w:val="none" w:sz="0" w:space="0" w:color="auto"/>
        <w:bottom w:val="none" w:sz="0" w:space="0" w:color="auto"/>
        <w:right w:val="none" w:sz="0" w:space="0" w:color="auto"/>
      </w:divBdr>
      <w:divsChild>
        <w:div w:id="767388056">
          <w:marLeft w:val="0"/>
          <w:marRight w:val="0"/>
          <w:marTop w:val="0"/>
          <w:marBottom w:val="0"/>
          <w:divBdr>
            <w:top w:val="none" w:sz="0" w:space="0" w:color="auto"/>
            <w:left w:val="none" w:sz="0" w:space="0" w:color="auto"/>
            <w:bottom w:val="none" w:sz="0" w:space="0" w:color="auto"/>
            <w:right w:val="none" w:sz="0" w:space="0" w:color="auto"/>
          </w:divBdr>
          <w:divsChild>
            <w:div w:id="2082483041">
              <w:marLeft w:val="0"/>
              <w:marRight w:val="0"/>
              <w:marTop w:val="0"/>
              <w:marBottom w:val="0"/>
              <w:divBdr>
                <w:top w:val="none" w:sz="0" w:space="0" w:color="auto"/>
                <w:left w:val="none" w:sz="0" w:space="0" w:color="auto"/>
                <w:bottom w:val="none" w:sz="0" w:space="0" w:color="auto"/>
                <w:right w:val="none" w:sz="0" w:space="0" w:color="auto"/>
              </w:divBdr>
            </w:div>
          </w:divsChild>
        </w:div>
        <w:div w:id="163211031">
          <w:marLeft w:val="0"/>
          <w:marRight w:val="0"/>
          <w:marTop w:val="0"/>
          <w:marBottom w:val="0"/>
          <w:divBdr>
            <w:top w:val="none" w:sz="0" w:space="0" w:color="auto"/>
            <w:left w:val="none" w:sz="0" w:space="0" w:color="auto"/>
            <w:bottom w:val="none" w:sz="0" w:space="0" w:color="auto"/>
            <w:right w:val="none" w:sz="0" w:space="0" w:color="auto"/>
          </w:divBdr>
          <w:divsChild>
            <w:div w:id="958142636">
              <w:marLeft w:val="0"/>
              <w:marRight w:val="0"/>
              <w:marTop w:val="0"/>
              <w:marBottom w:val="0"/>
              <w:divBdr>
                <w:top w:val="none" w:sz="0" w:space="0" w:color="auto"/>
                <w:left w:val="none" w:sz="0" w:space="0" w:color="auto"/>
                <w:bottom w:val="none" w:sz="0" w:space="0" w:color="auto"/>
                <w:right w:val="none" w:sz="0" w:space="0" w:color="auto"/>
              </w:divBdr>
            </w:div>
          </w:divsChild>
        </w:div>
        <w:div w:id="693463490">
          <w:marLeft w:val="0"/>
          <w:marRight w:val="0"/>
          <w:marTop w:val="0"/>
          <w:marBottom w:val="0"/>
          <w:divBdr>
            <w:top w:val="none" w:sz="0" w:space="0" w:color="auto"/>
            <w:left w:val="none" w:sz="0" w:space="0" w:color="auto"/>
            <w:bottom w:val="none" w:sz="0" w:space="0" w:color="auto"/>
            <w:right w:val="none" w:sz="0" w:space="0" w:color="auto"/>
          </w:divBdr>
          <w:divsChild>
            <w:div w:id="16058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47493">
      <w:bodyDiv w:val="1"/>
      <w:marLeft w:val="0"/>
      <w:marRight w:val="0"/>
      <w:marTop w:val="0"/>
      <w:marBottom w:val="0"/>
      <w:divBdr>
        <w:top w:val="none" w:sz="0" w:space="0" w:color="auto"/>
        <w:left w:val="none" w:sz="0" w:space="0" w:color="auto"/>
        <w:bottom w:val="none" w:sz="0" w:space="0" w:color="auto"/>
        <w:right w:val="none" w:sz="0" w:space="0" w:color="auto"/>
      </w:divBdr>
      <w:divsChild>
        <w:div w:id="136535324">
          <w:marLeft w:val="0"/>
          <w:marRight w:val="0"/>
          <w:marTop w:val="0"/>
          <w:marBottom w:val="0"/>
          <w:divBdr>
            <w:top w:val="none" w:sz="0" w:space="0" w:color="auto"/>
            <w:left w:val="none" w:sz="0" w:space="0" w:color="auto"/>
            <w:bottom w:val="none" w:sz="0" w:space="0" w:color="auto"/>
            <w:right w:val="none" w:sz="0" w:space="0" w:color="auto"/>
          </w:divBdr>
          <w:divsChild>
            <w:div w:id="1174952303">
              <w:marLeft w:val="0"/>
              <w:marRight w:val="0"/>
              <w:marTop w:val="0"/>
              <w:marBottom w:val="0"/>
              <w:divBdr>
                <w:top w:val="none" w:sz="0" w:space="0" w:color="auto"/>
                <w:left w:val="none" w:sz="0" w:space="0" w:color="auto"/>
                <w:bottom w:val="none" w:sz="0" w:space="0" w:color="auto"/>
                <w:right w:val="none" w:sz="0" w:space="0" w:color="auto"/>
              </w:divBdr>
            </w:div>
          </w:divsChild>
        </w:div>
        <w:div w:id="216402045">
          <w:marLeft w:val="0"/>
          <w:marRight w:val="0"/>
          <w:marTop w:val="0"/>
          <w:marBottom w:val="0"/>
          <w:divBdr>
            <w:top w:val="none" w:sz="0" w:space="0" w:color="auto"/>
            <w:left w:val="none" w:sz="0" w:space="0" w:color="auto"/>
            <w:bottom w:val="none" w:sz="0" w:space="0" w:color="auto"/>
            <w:right w:val="none" w:sz="0" w:space="0" w:color="auto"/>
          </w:divBdr>
          <w:divsChild>
            <w:div w:id="364016371">
              <w:marLeft w:val="0"/>
              <w:marRight w:val="0"/>
              <w:marTop w:val="0"/>
              <w:marBottom w:val="0"/>
              <w:divBdr>
                <w:top w:val="none" w:sz="0" w:space="0" w:color="auto"/>
                <w:left w:val="none" w:sz="0" w:space="0" w:color="auto"/>
                <w:bottom w:val="none" w:sz="0" w:space="0" w:color="auto"/>
                <w:right w:val="none" w:sz="0" w:space="0" w:color="auto"/>
              </w:divBdr>
            </w:div>
          </w:divsChild>
        </w:div>
        <w:div w:id="720131458">
          <w:marLeft w:val="0"/>
          <w:marRight w:val="0"/>
          <w:marTop w:val="0"/>
          <w:marBottom w:val="0"/>
          <w:divBdr>
            <w:top w:val="none" w:sz="0" w:space="0" w:color="auto"/>
            <w:left w:val="none" w:sz="0" w:space="0" w:color="auto"/>
            <w:bottom w:val="none" w:sz="0" w:space="0" w:color="auto"/>
            <w:right w:val="none" w:sz="0" w:space="0" w:color="auto"/>
          </w:divBdr>
          <w:divsChild>
            <w:div w:id="3516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1879">
      <w:bodyDiv w:val="1"/>
      <w:marLeft w:val="0"/>
      <w:marRight w:val="0"/>
      <w:marTop w:val="0"/>
      <w:marBottom w:val="0"/>
      <w:divBdr>
        <w:top w:val="none" w:sz="0" w:space="0" w:color="auto"/>
        <w:left w:val="none" w:sz="0" w:space="0" w:color="auto"/>
        <w:bottom w:val="none" w:sz="0" w:space="0" w:color="auto"/>
        <w:right w:val="none" w:sz="0" w:space="0" w:color="auto"/>
      </w:divBdr>
      <w:divsChild>
        <w:div w:id="930964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878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55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834880">
      <w:bodyDiv w:val="1"/>
      <w:marLeft w:val="0"/>
      <w:marRight w:val="0"/>
      <w:marTop w:val="0"/>
      <w:marBottom w:val="0"/>
      <w:divBdr>
        <w:top w:val="none" w:sz="0" w:space="0" w:color="auto"/>
        <w:left w:val="none" w:sz="0" w:space="0" w:color="auto"/>
        <w:bottom w:val="none" w:sz="0" w:space="0" w:color="auto"/>
        <w:right w:val="none" w:sz="0" w:space="0" w:color="auto"/>
      </w:divBdr>
      <w:divsChild>
        <w:div w:id="1155991610">
          <w:marLeft w:val="0"/>
          <w:marRight w:val="0"/>
          <w:marTop w:val="0"/>
          <w:marBottom w:val="0"/>
          <w:divBdr>
            <w:top w:val="none" w:sz="0" w:space="0" w:color="auto"/>
            <w:left w:val="none" w:sz="0" w:space="0" w:color="auto"/>
            <w:bottom w:val="none" w:sz="0" w:space="0" w:color="auto"/>
            <w:right w:val="none" w:sz="0" w:space="0" w:color="auto"/>
          </w:divBdr>
          <w:divsChild>
            <w:div w:id="434374835">
              <w:marLeft w:val="0"/>
              <w:marRight w:val="0"/>
              <w:marTop w:val="0"/>
              <w:marBottom w:val="0"/>
              <w:divBdr>
                <w:top w:val="none" w:sz="0" w:space="0" w:color="auto"/>
                <w:left w:val="none" w:sz="0" w:space="0" w:color="auto"/>
                <w:bottom w:val="none" w:sz="0" w:space="0" w:color="auto"/>
                <w:right w:val="none" w:sz="0" w:space="0" w:color="auto"/>
              </w:divBdr>
              <w:divsChild>
                <w:div w:id="1221752621">
                  <w:marLeft w:val="0"/>
                  <w:marRight w:val="0"/>
                  <w:marTop w:val="0"/>
                  <w:marBottom w:val="0"/>
                  <w:divBdr>
                    <w:top w:val="none" w:sz="0" w:space="0" w:color="auto"/>
                    <w:left w:val="none" w:sz="0" w:space="0" w:color="auto"/>
                    <w:bottom w:val="none" w:sz="0" w:space="0" w:color="auto"/>
                    <w:right w:val="none" w:sz="0" w:space="0" w:color="auto"/>
                  </w:divBdr>
                  <w:divsChild>
                    <w:div w:id="1928539338">
                      <w:marLeft w:val="0"/>
                      <w:marRight w:val="0"/>
                      <w:marTop w:val="0"/>
                      <w:marBottom w:val="0"/>
                      <w:divBdr>
                        <w:top w:val="none" w:sz="0" w:space="0" w:color="auto"/>
                        <w:left w:val="none" w:sz="0" w:space="0" w:color="auto"/>
                        <w:bottom w:val="none" w:sz="0" w:space="0" w:color="auto"/>
                        <w:right w:val="none" w:sz="0" w:space="0" w:color="auto"/>
                      </w:divBdr>
                      <w:divsChild>
                        <w:div w:id="1017388878">
                          <w:marLeft w:val="0"/>
                          <w:marRight w:val="0"/>
                          <w:marTop w:val="0"/>
                          <w:marBottom w:val="0"/>
                          <w:divBdr>
                            <w:top w:val="none" w:sz="0" w:space="0" w:color="auto"/>
                            <w:left w:val="none" w:sz="0" w:space="0" w:color="auto"/>
                            <w:bottom w:val="none" w:sz="0" w:space="0" w:color="auto"/>
                            <w:right w:val="none" w:sz="0" w:space="0" w:color="auto"/>
                          </w:divBdr>
                          <w:divsChild>
                            <w:div w:id="2088577389">
                              <w:marLeft w:val="0"/>
                              <w:marRight w:val="0"/>
                              <w:marTop w:val="0"/>
                              <w:marBottom w:val="0"/>
                              <w:divBdr>
                                <w:top w:val="none" w:sz="0" w:space="0" w:color="auto"/>
                                <w:left w:val="none" w:sz="0" w:space="0" w:color="auto"/>
                                <w:bottom w:val="none" w:sz="0" w:space="0" w:color="auto"/>
                                <w:right w:val="none" w:sz="0" w:space="0" w:color="auto"/>
                              </w:divBdr>
                              <w:divsChild>
                                <w:div w:id="2041931947">
                                  <w:marLeft w:val="0"/>
                                  <w:marRight w:val="0"/>
                                  <w:marTop w:val="0"/>
                                  <w:marBottom w:val="0"/>
                                  <w:divBdr>
                                    <w:top w:val="none" w:sz="0" w:space="0" w:color="auto"/>
                                    <w:left w:val="none" w:sz="0" w:space="0" w:color="auto"/>
                                    <w:bottom w:val="none" w:sz="0" w:space="0" w:color="auto"/>
                                    <w:right w:val="none" w:sz="0" w:space="0" w:color="auto"/>
                                  </w:divBdr>
                                  <w:divsChild>
                                    <w:div w:id="15925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670935">
      <w:bodyDiv w:val="1"/>
      <w:marLeft w:val="0"/>
      <w:marRight w:val="0"/>
      <w:marTop w:val="0"/>
      <w:marBottom w:val="0"/>
      <w:divBdr>
        <w:top w:val="none" w:sz="0" w:space="0" w:color="auto"/>
        <w:left w:val="none" w:sz="0" w:space="0" w:color="auto"/>
        <w:bottom w:val="none" w:sz="0" w:space="0" w:color="auto"/>
        <w:right w:val="none" w:sz="0" w:space="0" w:color="auto"/>
      </w:divBdr>
      <w:divsChild>
        <w:div w:id="1359551806">
          <w:marLeft w:val="0"/>
          <w:marRight w:val="0"/>
          <w:marTop w:val="0"/>
          <w:marBottom w:val="0"/>
          <w:divBdr>
            <w:top w:val="none" w:sz="0" w:space="0" w:color="auto"/>
            <w:left w:val="none" w:sz="0" w:space="0" w:color="auto"/>
            <w:bottom w:val="none" w:sz="0" w:space="0" w:color="auto"/>
            <w:right w:val="none" w:sz="0" w:space="0" w:color="auto"/>
          </w:divBdr>
          <w:divsChild>
            <w:div w:id="1748451965">
              <w:marLeft w:val="0"/>
              <w:marRight w:val="0"/>
              <w:marTop w:val="0"/>
              <w:marBottom w:val="0"/>
              <w:divBdr>
                <w:top w:val="none" w:sz="0" w:space="0" w:color="auto"/>
                <w:left w:val="none" w:sz="0" w:space="0" w:color="auto"/>
                <w:bottom w:val="none" w:sz="0" w:space="0" w:color="auto"/>
                <w:right w:val="none" w:sz="0" w:space="0" w:color="auto"/>
              </w:divBdr>
            </w:div>
          </w:divsChild>
        </w:div>
        <w:div w:id="2087654327">
          <w:marLeft w:val="0"/>
          <w:marRight w:val="0"/>
          <w:marTop w:val="0"/>
          <w:marBottom w:val="0"/>
          <w:divBdr>
            <w:top w:val="none" w:sz="0" w:space="0" w:color="auto"/>
            <w:left w:val="none" w:sz="0" w:space="0" w:color="auto"/>
            <w:bottom w:val="none" w:sz="0" w:space="0" w:color="auto"/>
            <w:right w:val="none" w:sz="0" w:space="0" w:color="auto"/>
          </w:divBdr>
          <w:divsChild>
            <w:div w:id="94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7697">
      <w:bodyDiv w:val="1"/>
      <w:marLeft w:val="0"/>
      <w:marRight w:val="0"/>
      <w:marTop w:val="0"/>
      <w:marBottom w:val="0"/>
      <w:divBdr>
        <w:top w:val="none" w:sz="0" w:space="0" w:color="auto"/>
        <w:left w:val="none" w:sz="0" w:space="0" w:color="auto"/>
        <w:bottom w:val="none" w:sz="0" w:space="0" w:color="auto"/>
        <w:right w:val="none" w:sz="0" w:space="0" w:color="auto"/>
      </w:divBdr>
      <w:divsChild>
        <w:div w:id="1924609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918703">
          <w:blockQuote w:val="1"/>
          <w:marLeft w:val="720"/>
          <w:marRight w:val="720"/>
          <w:marTop w:val="100"/>
          <w:marBottom w:val="100"/>
          <w:divBdr>
            <w:top w:val="none" w:sz="0" w:space="0" w:color="auto"/>
            <w:left w:val="none" w:sz="0" w:space="0" w:color="auto"/>
            <w:bottom w:val="none" w:sz="0" w:space="0" w:color="auto"/>
            <w:right w:val="none" w:sz="0" w:space="0" w:color="auto"/>
          </w:divBdr>
        </w:div>
        <w:div w:id="493299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282212">
      <w:bodyDiv w:val="1"/>
      <w:marLeft w:val="0"/>
      <w:marRight w:val="0"/>
      <w:marTop w:val="0"/>
      <w:marBottom w:val="0"/>
      <w:divBdr>
        <w:top w:val="none" w:sz="0" w:space="0" w:color="auto"/>
        <w:left w:val="none" w:sz="0" w:space="0" w:color="auto"/>
        <w:bottom w:val="none" w:sz="0" w:space="0" w:color="auto"/>
        <w:right w:val="none" w:sz="0" w:space="0" w:color="auto"/>
      </w:divBdr>
      <w:divsChild>
        <w:div w:id="1668245526">
          <w:marLeft w:val="0"/>
          <w:marRight w:val="0"/>
          <w:marTop w:val="0"/>
          <w:marBottom w:val="0"/>
          <w:divBdr>
            <w:top w:val="none" w:sz="0" w:space="0" w:color="auto"/>
            <w:left w:val="none" w:sz="0" w:space="0" w:color="auto"/>
            <w:bottom w:val="none" w:sz="0" w:space="0" w:color="auto"/>
            <w:right w:val="none" w:sz="0" w:space="0" w:color="auto"/>
          </w:divBdr>
          <w:divsChild>
            <w:div w:id="1651324611">
              <w:marLeft w:val="0"/>
              <w:marRight w:val="0"/>
              <w:marTop w:val="0"/>
              <w:marBottom w:val="0"/>
              <w:divBdr>
                <w:top w:val="none" w:sz="0" w:space="0" w:color="auto"/>
                <w:left w:val="none" w:sz="0" w:space="0" w:color="auto"/>
                <w:bottom w:val="none" w:sz="0" w:space="0" w:color="auto"/>
                <w:right w:val="none" w:sz="0" w:space="0" w:color="auto"/>
              </w:divBdr>
            </w:div>
          </w:divsChild>
        </w:div>
        <w:div w:id="715280992">
          <w:marLeft w:val="0"/>
          <w:marRight w:val="0"/>
          <w:marTop w:val="0"/>
          <w:marBottom w:val="0"/>
          <w:divBdr>
            <w:top w:val="none" w:sz="0" w:space="0" w:color="auto"/>
            <w:left w:val="none" w:sz="0" w:space="0" w:color="auto"/>
            <w:bottom w:val="none" w:sz="0" w:space="0" w:color="auto"/>
            <w:right w:val="none" w:sz="0" w:space="0" w:color="auto"/>
          </w:divBdr>
          <w:divsChild>
            <w:div w:id="997272076">
              <w:marLeft w:val="0"/>
              <w:marRight w:val="0"/>
              <w:marTop w:val="0"/>
              <w:marBottom w:val="0"/>
              <w:divBdr>
                <w:top w:val="none" w:sz="0" w:space="0" w:color="auto"/>
                <w:left w:val="none" w:sz="0" w:space="0" w:color="auto"/>
                <w:bottom w:val="none" w:sz="0" w:space="0" w:color="auto"/>
                <w:right w:val="none" w:sz="0" w:space="0" w:color="auto"/>
              </w:divBdr>
            </w:div>
          </w:divsChild>
        </w:div>
        <w:div w:id="796871721">
          <w:marLeft w:val="0"/>
          <w:marRight w:val="0"/>
          <w:marTop w:val="0"/>
          <w:marBottom w:val="0"/>
          <w:divBdr>
            <w:top w:val="none" w:sz="0" w:space="0" w:color="auto"/>
            <w:left w:val="none" w:sz="0" w:space="0" w:color="auto"/>
            <w:bottom w:val="none" w:sz="0" w:space="0" w:color="auto"/>
            <w:right w:val="none" w:sz="0" w:space="0" w:color="auto"/>
          </w:divBdr>
          <w:divsChild>
            <w:div w:id="6450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6088">
      <w:bodyDiv w:val="1"/>
      <w:marLeft w:val="0"/>
      <w:marRight w:val="0"/>
      <w:marTop w:val="0"/>
      <w:marBottom w:val="0"/>
      <w:divBdr>
        <w:top w:val="none" w:sz="0" w:space="0" w:color="auto"/>
        <w:left w:val="none" w:sz="0" w:space="0" w:color="auto"/>
        <w:bottom w:val="none" w:sz="0" w:space="0" w:color="auto"/>
        <w:right w:val="none" w:sz="0" w:space="0" w:color="auto"/>
      </w:divBdr>
      <w:divsChild>
        <w:div w:id="51349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2508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61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982879">
      <w:bodyDiv w:val="1"/>
      <w:marLeft w:val="0"/>
      <w:marRight w:val="0"/>
      <w:marTop w:val="0"/>
      <w:marBottom w:val="0"/>
      <w:divBdr>
        <w:top w:val="none" w:sz="0" w:space="0" w:color="auto"/>
        <w:left w:val="none" w:sz="0" w:space="0" w:color="auto"/>
        <w:bottom w:val="none" w:sz="0" w:space="0" w:color="auto"/>
        <w:right w:val="none" w:sz="0" w:space="0" w:color="auto"/>
      </w:divBdr>
    </w:div>
    <w:div w:id="1710571721">
      <w:bodyDiv w:val="1"/>
      <w:marLeft w:val="0"/>
      <w:marRight w:val="0"/>
      <w:marTop w:val="0"/>
      <w:marBottom w:val="0"/>
      <w:divBdr>
        <w:top w:val="none" w:sz="0" w:space="0" w:color="auto"/>
        <w:left w:val="none" w:sz="0" w:space="0" w:color="auto"/>
        <w:bottom w:val="none" w:sz="0" w:space="0" w:color="auto"/>
        <w:right w:val="none" w:sz="0" w:space="0" w:color="auto"/>
      </w:divBdr>
      <w:divsChild>
        <w:div w:id="1758746172">
          <w:marLeft w:val="0"/>
          <w:marRight w:val="0"/>
          <w:marTop w:val="0"/>
          <w:marBottom w:val="0"/>
          <w:divBdr>
            <w:top w:val="none" w:sz="0" w:space="0" w:color="auto"/>
            <w:left w:val="none" w:sz="0" w:space="0" w:color="auto"/>
            <w:bottom w:val="none" w:sz="0" w:space="0" w:color="auto"/>
            <w:right w:val="none" w:sz="0" w:space="0" w:color="auto"/>
          </w:divBdr>
          <w:divsChild>
            <w:div w:id="263389680">
              <w:marLeft w:val="0"/>
              <w:marRight w:val="0"/>
              <w:marTop w:val="0"/>
              <w:marBottom w:val="0"/>
              <w:divBdr>
                <w:top w:val="none" w:sz="0" w:space="0" w:color="auto"/>
                <w:left w:val="none" w:sz="0" w:space="0" w:color="auto"/>
                <w:bottom w:val="none" w:sz="0" w:space="0" w:color="auto"/>
                <w:right w:val="none" w:sz="0" w:space="0" w:color="auto"/>
              </w:divBdr>
              <w:divsChild>
                <w:div w:id="456022603">
                  <w:marLeft w:val="0"/>
                  <w:marRight w:val="0"/>
                  <w:marTop w:val="0"/>
                  <w:marBottom w:val="0"/>
                  <w:divBdr>
                    <w:top w:val="none" w:sz="0" w:space="0" w:color="auto"/>
                    <w:left w:val="none" w:sz="0" w:space="0" w:color="auto"/>
                    <w:bottom w:val="none" w:sz="0" w:space="0" w:color="auto"/>
                    <w:right w:val="none" w:sz="0" w:space="0" w:color="auto"/>
                  </w:divBdr>
                  <w:divsChild>
                    <w:div w:id="2020036210">
                      <w:marLeft w:val="0"/>
                      <w:marRight w:val="0"/>
                      <w:marTop w:val="0"/>
                      <w:marBottom w:val="0"/>
                      <w:divBdr>
                        <w:top w:val="none" w:sz="0" w:space="0" w:color="auto"/>
                        <w:left w:val="none" w:sz="0" w:space="0" w:color="auto"/>
                        <w:bottom w:val="none" w:sz="0" w:space="0" w:color="auto"/>
                        <w:right w:val="none" w:sz="0" w:space="0" w:color="auto"/>
                      </w:divBdr>
                      <w:divsChild>
                        <w:div w:id="202644555">
                          <w:marLeft w:val="0"/>
                          <w:marRight w:val="0"/>
                          <w:marTop w:val="0"/>
                          <w:marBottom w:val="0"/>
                          <w:divBdr>
                            <w:top w:val="none" w:sz="0" w:space="0" w:color="auto"/>
                            <w:left w:val="none" w:sz="0" w:space="0" w:color="auto"/>
                            <w:bottom w:val="none" w:sz="0" w:space="0" w:color="auto"/>
                            <w:right w:val="none" w:sz="0" w:space="0" w:color="auto"/>
                          </w:divBdr>
                          <w:divsChild>
                            <w:div w:id="1731614539">
                              <w:marLeft w:val="0"/>
                              <w:marRight w:val="0"/>
                              <w:marTop w:val="0"/>
                              <w:marBottom w:val="0"/>
                              <w:divBdr>
                                <w:top w:val="none" w:sz="0" w:space="0" w:color="auto"/>
                                <w:left w:val="none" w:sz="0" w:space="0" w:color="auto"/>
                                <w:bottom w:val="none" w:sz="0" w:space="0" w:color="auto"/>
                                <w:right w:val="none" w:sz="0" w:space="0" w:color="auto"/>
                              </w:divBdr>
                              <w:divsChild>
                                <w:div w:id="397169439">
                                  <w:marLeft w:val="0"/>
                                  <w:marRight w:val="0"/>
                                  <w:marTop w:val="0"/>
                                  <w:marBottom w:val="0"/>
                                  <w:divBdr>
                                    <w:top w:val="none" w:sz="0" w:space="0" w:color="auto"/>
                                    <w:left w:val="none" w:sz="0" w:space="0" w:color="auto"/>
                                    <w:bottom w:val="none" w:sz="0" w:space="0" w:color="auto"/>
                                    <w:right w:val="none" w:sz="0" w:space="0" w:color="auto"/>
                                  </w:divBdr>
                                  <w:divsChild>
                                    <w:div w:id="10691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1bf45b6-5649-4236-82a3-f45024cd282e}" enabled="1" method="Standard" siteId="{31a2fec0-266b-4c67-b56e-2796d8f59c36}" contentBits="2" removed="0"/>
</clbl:labelList>
</file>

<file path=docProps/app.xml><?xml version="1.0" encoding="utf-8"?>
<Properties xmlns="http://schemas.openxmlformats.org/officeDocument/2006/extended-properties" xmlns:vt="http://schemas.openxmlformats.org/officeDocument/2006/docPropsVTypes">
  <Template>Normal.dotm</Template>
  <TotalTime>86</TotalTime>
  <Pages>5</Pages>
  <Words>570</Words>
  <Characters>3689</Characters>
  <Application>Microsoft Office Word</Application>
  <DocSecurity>0</DocSecurity>
  <Lines>102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Aieshwarya Davis</dc:creator>
  <cp:keywords/>
  <dc:description/>
  <cp:lastModifiedBy>Aieshwarya Davis</cp:lastModifiedBy>
  <cp:revision>15</cp:revision>
  <dcterms:created xsi:type="dcterms:W3CDTF">2025-06-13T18:14:00Z</dcterms:created>
  <dcterms:modified xsi:type="dcterms:W3CDTF">2026-04-02T19:20:00Z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2026-04-02T15:24:09Z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adf26b65-cff0-43ef-ba41-9045eb4ee9ab</vt:lpwstr>
  </property>
  <property fmtid="{D5CDD505-2E9C-101B-9397-08002B2CF9AE}" pid="8" name="MSIP_Label_89608d83-f952-409d-b7c5-456515bbbf5a_ContentBits">
    <vt:lpwstr>0</vt:lpwstr>
  </property>
</Properties>
</file>