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34074"/>
          <w:sz w:val="20"/>
        </w:rPr>
        <w:t>USE CASE 05</w:t>
      </w:r>
    </w:p>
    <w:p>
      <w:pPr>
        <w:pStyle w:val="Title"/>
        <w:jc w:val="center"/>
      </w:pPr>
      <w:r>
        <w:t>Autonomous Product Intelligence Factory</w:t>
      </w:r>
    </w:p>
    <w:p>
      <w:pPr>
        <w:jc w:val="center"/>
      </w:pPr>
      <w:r>
        <w:rPr>
          <w:b/>
          <w:color w:val="1E293B"/>
          <w:sz w:val="24"/>
        </w:rPr>
        <w:t>Master Prompt + Reference Architecture for a 5-Member Competition Build</w:t>
      </w: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Objective  </w:t>
            </w:r>
            <w:r>
              <w:rPr>
                <w:sz w:val="18"/>
              </w:rPr>
              <w:t>Create a compact, execution-ready blueprint that tells the team WHAT to build, WHY it exists, WHICH component owns it, and WHEN to build it — with a final generated architecture document capped at 3 pages.</w:t>
            </w:r>
          </w:p>
        </w:tc>
      </w:tr>
    </w:tbl>
    <w:p>
      <w:pPr>
        <w:spacing w:after="20"/>
      </w:pPr>
    </w:p>
    <w:p>
      <w:pPr>
        <w:pStyle w:val="Heading1"/>
      </w:pPr>
      <w:r>
        <w:t>1. Target MVP Architecture</w:t>
      </w:r>
    </w:p>
    <w:p>
      <w:pPr>
        <w:spacing w:after="80"/>
        <w:ind w:left="173"/>
      </w:pPr>
      <w:r>
        <w:rPr>
          <w:rFonts w:ascii="Courier New" w:hAnsi="Courier New"/>
          <w:sz w:val="16"/>
        </w:rPr>
        <w:t>Supplier / PDF change</w:t>
        <w:br/>
        <w:t xml:space="preserve">        |</w:t>
        <w:br/>
        <w:t xml:space="preserve">        v</w:t>
        <w:br/>
        <w:t>FastAPI Ingestion ---&gt; Kafka ---&gt; LangGraph Workflow + Checkpoints</w:t>
        <w:br/>
        <w:t xml:space="preserve">                                      |</w:t>
        <w:br/>
        <w:t xml:space="preserve">                       +--------------+--------------+</w:t>
        <w:br/>
        <w:t xml:space="preserve">                       |              |              |</w:t>
        <w:br/>
        <w:t xml:space="preserve">                    Triage        Conflict      Blast Radius</w:t>
        <w:br/>
        <w:t xml:space="preserve">                     Agent         Agent           Agent</w:t>
        <w:br/>
        <w:t xml:space="preserve">                       |              |              |</w:t>
        <w:br/>
        <w:t xml:space="preserve">                       +--------------+--------------+</w:t>
        <w:br/>
        <w:t xml:space="preserve">                                      |</w:t>
        <w:br/>
        <w:t xml:space="preserve">                               Hybrid RAG + LiteLLM</w:t>
        <w:br/>
        <w:t xml:space="preserve">                                      |</w:t>
        <w:br/>
        <w:t xml:space="preserve">                         Product Content &amp; Localization</w:t>
        <w:br/>
        <w:t xml:space="preserve">                                      |</w:t>
        <w:br/>
        <w:t xml:space="preserve">                           Compliance / Gatekeeper</w:t>
        <w:br/>
        <w:t xml:space="preserve">                                      |</w:t>
        <w:br/>
        <w:t xml:space="preserve">                                 HITL Approval</w:t>
        <w:br/>
        <w:t xml:space="preserve">                                      |</w:t>
        <w:br/>
        <w:t xml:space="preserve">                               Publication Hub</w:t>
        <w:br/>
        <w:t xml:space="preserve">                                      |</w:t>
        <w:br/>
        <w:t xml:space="preserve">                           Success / Failure Event</w:t>
        <w:br/>
        <w:t xml:space="preserve">                                      |</w:t>
        <w:br/>
        <w:t xml:space="preserve">                              SAGA Compensation</w:t>
        <w:br/>
        <w:br/>
        <w:t>Agents &lt;---- A2A ----&gt; Agents</w:t>
        <w:br/>
        <w:t>Agents ---- MCP ----&gt; 5 Mock Enterprise Services</w:t>
        <w:br/>
        <w:t>Kafka = asynchronous event backbone; MCP = controlled tool access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17"/>
            <w:vAlign w:val="center"/>
            <w:shd w:fill="0B2545"/>
          </w:tcPr>
          <w:p>
            <w:pPr>
              <w:spacing w:after="0" w:before="0"/>
            </w:pPr>
            <w:r/>
            <w:r>
              <w:rPr>
                <w:rFonts w:ascii="Aptos" w:hAnsi="Aptos"/>
                <w:b/>
                <w:color w:val="FFFFFF"/>
                <w:sz w:val="14"/>
              </w:rPr>
              <w:t>#</w:t>
            </w:r>
          </w:p>
        </w:tc>
        <w:tc>
          <w:tcPr>
            <w:tcW w:type="dxa" w:w="1800"/>
            <w:vAlign w:val="center"/>
            <w:shd w:fill="0B2545"/>
          </w:tcPr>
          <w:p>
            <w:pPr>
              <w:spacing w:after="0" w:before="0"/>
            </w:pPr>
            <w:r/>
            <w:r>
              <w:rPr>
                <w:rFonts w:ascii="Aptos" w:hAnsi="Aptos"/>
                <w:b/>
                <w:color w:val="FFFFFF"/>
                <w:sz w:val="14"/>
              </w:rPr>
              <w:t>Mock backend</w:t>
            </w:r>
          </w:p>
        </w:tc>
        <w:tc>
          <w:tcPr>
            <w:tcW w:type="dxa" w:w="3960"/>
            <w:vAlign w:val="center"/>
            <w:shd w:fill="0B2545"/>
          </w:tcPr>
          <w:p>
            <w:pPr>
              <w:spacing w:after="0" w:before="0"/>
            </w:pPr>
            <w:r/>
            <w:r>
              <w:rPr>
                <w:rFonts w:ascii="Aptos" w:hAnsi="Aptos"/>
                <w:b/>
                <w:color w:val="FFFFFF"/>
                <w:sz w:val="14"/>
              </w:rPr>
              <w:t>Purpose</w:t>
            </w:r>
          </w:p>
        </w:tc>
        <w:tc>
          <w:tcPr>
            <w:tcW w:type="dxa" w:w="1037"/>
            <w:vAlign w:val="center"/>
            <w:shd w:fill="0B2545"/>
          </w:tcPr>
          <w:p>
            <w:pPr>
              <w:spacing w:after="0" w:before="0"/>
            </w:pPr>
            <w:r/>
            <w:r>
              <w:rPr>
                <w:rFonts w:ascii="Aptos" w:hAnsi="Aptos"/>
                <w:b/>
                <w:color w:val="FFFFFF"/>
                <w:sz w:val="14"/>
              </w:rPr>
              <w:t>Agent access</w:t>
            </w:r>
          </w:p>
        </w:tc>
        <w:tc>
          <w:tcPr>
            <w:tcW w:type="dxa" w:w="2232"/>
            <w:vAlign w:val="center"/>
            <w:shd w:fill="0B2545"/>
          </w:tcPr>
          <w:p>
            <w:pPr>
              <w:spacing w:after="0" w:before="0"/>
            </w:pPr>
            <w:r/>
            <w:r>
              <w:rPr>
                <w:rFonts w:ascii="Aptos" w:hAnsi="Aptos"/>
                <w:b/>
                <w:color w:val="FFFFFF"/>
                <w:sz w:val="14"/>
              </w:rPr>
              <w:t>Key event</w:t>
            </w:r>
          </w:p>
        </w:tc>
      </w:tr>
      <w:tr>
        <w:tc>
          <w:tcPr>
            <w:tcW w:type="dxa" w:w="317"/>
            <w:vAlign w:val="center"/>
            <w:shd w:fill="F7F9FB"/>
          </w:tcPr>
          <w:p>
            <w:pPr>
              <w:spacing w:after="0" w:before="0"/>
            </w:pPr>
            <w:r/>
            <w:r>
              <w:rPr>
                <w:rFonts w:ascii="Aptos" w:hAnsi="Aptos"/>
                <w:b w:val="0"/>
                <w:sz w:val="14"/>
              </w:rPr>
              <w:t>1</w:t>
            </w:r>
          </w:p>
        </w:tc>
        <w:tc>
          <w:tcPr>
            <w:tcW w:type="dxa" w:w="1800"/>
            <w:vAlign w:val="center"/>
            <w:shd w:fill="F7F9FB"/>
          </w:tcPr>
          <w:p>
            <w:pPr>
              <w:spacing w:after="0" w:before="0"/>
            </w:pPr>
            <w:r/>
            <w:r>
              <w:rPr>
                <w:rFonts w:ascii="Aptos" w:hAnsi="Aptos"/>
                <w:b w:val="0"/>
                <w:sz w:val="14"/>
              </w:rPr>
              <w:t>ERP / Material Master Mock</w:t>
            </w:r>
          </w:p>
        </w:tc>
        <w:tc>
          <w:tcPr>
            <w:tcW w:type="dxa" w:w="3960"/>
            <w:vAlign w:val="center"/>
            <w:shd w:fill="F7F9FB"/>
          </w:tcPr>
          <w:p>
            <w:pPr>
              <w:spacing w:after="0" w:before="0"/>
            </w:pPr>
            <w:r/>
            <w:r>
              <w:rPr>
                <w:rFonts w:ascii="Aptos" w:hAnsi="Aptos"/>
                <w:b w:val="0"/>
                <w:sz w:val="14"/>
              </w:rPr>
              <w:t>SKU, variant, supplier, lifecycle, price/inventory snapshot; emits change events.</w:t>
            </w:r>
          </w:p>
        </w:tc>
        <w:tc>
          <w:tcPr>
            <w:tcW w:type="dxa" w:w="1037"/>
            <w:vAlign w:val="center"/>
            <w:shd w:fill="F7F9FB"/>
          </w:tcPr>
          <w:p>
            <w:pPr>
              <w:spacing w:after="0" w:before="0"/>
            </w:pPr>
            <w:r/>
            <w:r>
              <w:rPr>
                <w:rFonts w:ascii="Aptos" w:hAnsi="Aptos"/>
                <w:b w:val="0"/>
                <w:sz w:val="14"/>
              </w:rPr>
              <w:t>REST + MCP</w:t>
            </w:r>
          </w:p>
        </w:tc>
        <w:tc>
          <w:tcPr>
            <w:tcW w:type="dxa" w:w="2232"/>
            <w:vAlign w:val="center"/>
            <w:shd w:fill="F7F9FB"/>
          </w:tcPr>
          <w:p>
            <w:pPr>
              <w:spacing w:after="0" w:before="0"/>
            </w:pPr>
            <w:r/>
            <w:r>
              <w:rPr>
                <w:rFonts w:ascii="Aptos" w:hAnsi="Aptos"/>
                <w:b w:val="0"/>
                <w:sz w:val="14"/>
              </w:rPr>
              <w:t>erp.material.changed</w:t>
            </w:r>
          </w:p>
        </w:tc>
      </w:tr>
      <w:tr>
        <w:tc>
          <w:tcPr>
            <w:tcW w:type="dxa" w:w="317"/>
            <w:vAlign w:val="center"/>
          </w:tcPr>
          <w:p>
            <w:pPr>
              <w:spacing w:after="0" w:before="0"/>
            </w:pPr>
            <w:r/>
            <w:r>
              <w:rPr>
                <w:rFonts w:ascii="Aptos" w:hAnsi="Aptos"/>
                <w:b w:val="0"/>
                <w:sz w:val="14"/>
              </w:rPr>
              <w:t>2</w:t>
            </w:r>
          </w:p>
        </w:tc>
        <w:tc>
          <w:tcPr>
            <w:tcW w:type="dxa" w:w="1800"/>
            <w:vAlign w:val="center"/>
          </w:tcPr>
          <w:p>
            <w:pPr>
              <w:spacing w:after="0" w:before="0"/>
            </w:pPr>
            <w:r/>
            <w:r>
              <w:rPr>
                <w:rFonts w:ascii="Aptos" w:hAnsi="Aptos"/>
                <w:b w:val="0"/>
                <w:sz w:val="14"/>
              </w:rPr>
              <w:t>PIM Mock</w:t>
            </w:r>
          </w:p>
        </w:tc>
        <w:tc>
          <w:tcPr>
            <w:tcW w:type="dxa" w:w="3960"/>
            <w:vAlign w:val="center"/>
          </w:tcPr>
          <w:p>
            <w:pPr>
              <w:spacing w:after="0" w:before="0"/>
            </w:pPr>
            <w:r/>
            <w:r>
              <w:rPr>
                <w:rFonts w:ascii="Aptos" w:hAnsi="Aptos"/>
                <w:b w:val="0"/>
                <w:sz w:val="14"/>
              </w:rPr>
              <w:t>Attributes, versions, approval state, channel-ready content.</w:t>
            </w:r>
          </w:p>
        </w:tc>
        <w:tc>
          <w:tcPr>
            <w:tcW w:type="dxa" w:w="1037"/>
            <w:vAlign w:val="center"/>
          </w:tcPr>
          <w:p>
            <w:pPr>
              <w:spacing w:after="0" w:before="0"/>
            </w:pPr>
            <w:r/>
            <w:r>
              <w:rPr>
                <w:rFonts w:ascii="Aptos" w:hAnsi="Aptos"/>
                <w:b w:val="0"/>
                <w:sz w:val="14"/>
              </w:rPr>
              <w:t>REST + MCP</w:t>
            </w:r>
          </w:p>
        </w:tc>
        <w:tc>
          <w:tcPr>
            <w:tcW w:type="dxa" w:w="2232"/>
            <w:vAlign w:val="center"/>
          </w:tcPr>
          <w:p>
            <w:pPr>
              <w:spacing w:after="0" w:before="0"/>
            </w:pPr>
            <w:r/>
            <w:r>
              <w:rPr>
                <w:rFonts w:ascii="Aptos" w:hAnsi="Aptos"/>
                <w:b w:val="0"/>
                <w:sz w:val="14"/>
              </w:rPr>
              <w:t>pim.product.updated</w:t>
            </w:r>
          </w:p>
        </w:tc>
      </w:tr>
      <w:tr>
        <w:tc>
          <w:tcPr>
            <w:tcW w:type="dxa" w:w="317"/>
            <w:vAlign w:val="center"/>
            <w:shd w:fill="F7F9FB"/>
          </w:tcPr>
          <w:p>
            <w:pPr>
              <w:spacing w:after="0" w:before="0"/>
            </w:pPr>
            <w:r/>
            <w:r>
              <w:rPr>
                <w:rFonts w:ascii="Aptos" w:hAnsi="Aptos"/>
                <w:b w:val="0"/>
                <w:sz w:val="14"/>
              </w:rPr>
              <w:t>3</w:t>
            </w:r>
          </w:p>
        </w:tc>
        <w:tc>
          <w:tcPr>
            <w:tcW w:type="dxa" w:w="1800"/>
            <w:vAlign w:val="center"/>
            <w:shd w:fill="F7F9FB"/>
          </w:tcPr>
          <w:p>
            <w:pPr>
              <w:spacing w:after="0" w:before="0"/>
            </w:pPr>
            <w:r/>
            <w:r>
              <w:rPr>
                <w:rFonts w:ascii="Aptos" w:hAnsi="Aptos"/>
                <w:b w:val="0"/>
                <w:sz w:val="14"/>
              </w:rPr>
              <w:t>DAM Mock</w:t>
            </w:r>
          </w:p>
        </w:tc>
        <w:tc>
          <w:tcPr>
            <w:tcW w:type="dxa" w:w="3960"/>
            <w:vAlign w:val="center"/>
            <w:shd w:fill="F7F9FB"/>
          </w:tcPr>
          <w:p>
            <w:pPr>
              <w:spacing w:after="0" w:before="0"/>
            </w:pPr>
            <w:r/>
            <w:r>
              <w:rPr>
                <w:rFonts w:ascii="Aptos" w:hAnsi="Aptos"/>
                <w:b w:val="0"/>
                <w:sz w:val="14"/>
              </w:rPr>
              <w:t>PDFs, images, certificates, technical sheets, versions.</w:t>
            </w:r>
          </w:p>
        </w:tc>
        <w:tc>
          <w:tcPr>
            <w:tcW w:type="dxa" w:w="1037"/>
            <w:vAlign w:val="center"/>
            <w:shd w:fill="F7F9FB"/>
          </w:tcPr>
          <w:p>
            <w:pPr>
              <w:spacing w:after="0" w:before="0"/>
            </w:pPr>
            <w:r/>
            <w:r>
              <w:rPr>
                <w:rFonts w:ascii="Aptos" w:hAnsi="Aptos"/>
                <w:b w:val="0"/>
                <w:sz w:val="14"/>
              </w:rPr>
              <w:t>REST + MCP</w:t>
            </w:r>
          </w:p>
        </w:tc>
        <w:tc>
          <w:tcPr>
            <w:tcW w:type="dxa" w:w="2232"/>
            <w:vAlign w:val="center"/>
            <w:shd w:fill="F7F9FB"/>
          </w:tcPr>
          <w:p>
            <w:pPr>
              <w:spacing w:after="0" w:before="0"/>
            </w:pPr>
            <w:r/>
            <w:r>
              <w:rPr>
                <w:rFonts w:ascii="Aptos" w:hAnsi="Aptos"/>
                <w:b w:val="0"/>
                <w:sz w:val="14"/>
              </w:rPr>
              <w:t>dam.asset.changed</w:t>
            </w:r>
          </w:p>
        </w:tc>
      </w:tr>
      <w:tr>
        <w:tc>
          <w:tcPr>
            <w:tcW w:type="dxa" w:w="317"/>
            <w:vAlign w:val="center"/>
          </w:tcPr>
          <w:p>
            <w:pPr>
              <w:spacing w:after="0" w:before="0"/>
            </w:pPr>
            <w:r/>
            <w:r>
              <w:rPr>
                <w:rFonts w:ascii="Aptos" w:hAnsi="Aptos"/>
                <w:b w:val="0"/>
                <w:sz w:val="14"/>
              </w:rPr>
              <w:t>4</w:t>
            </w:r>
          </w:p>
        </w:tc>
        <w:tc>
          <w:tcPr>
            <w:tcW w:type="dxa" w:w="1800"/>
            <w:vAlign w:val="center"/>
          </w:tcPr>
          <w:p>
            <w:pPr>
              <w:spacing w:after="0" w:before="0"/>
            </w:pPr>
            <w:r/>
            <w:r>
              <w:rPr>
                <w:rFonts w:ascii="Aptos" w:hAnsi="Aptos"/>
                <w:b w:val="0"/>
                <w:sz w:val="14"/>
              </w:rPr>
              <w:t>Catalog + Lineage + Governance Mock</w:t>
            </w:r>
          </w:p>
        </w:tc>
        <w:tc>
          <w:tcPr>
            <w:tcW w:type="dxa" w:w="3960"/>
            <w:vAlign w:val="center"/>
          </w:tcPr>
          <w:p>
            <w:pPr>
              <w:spacing w:after="0" w:before="0"/>
            </w:pPr>
            <w:r/>
            <w:r>
              <w:rPr>
                <w:rFonts w:ascii="Aptos" w:hAnsi="Aptos"/>
                <w:b w:val="0"/>
                <w:sz w:val="14"/>
              </w:rPr>
              <w:t>Dependency graph, impact relations, rules and evidence metadata.</w:t>
            </w:r>
          </w:p>
        </w:tc>
        <w:tc>
          <w:tcPr>
            <w:tcW w:type="dxa" w:w="1037"/>
            <w:vAlign w:val="center"/>
          </w:tcPr>
          <w:p>
            <w:pPr>
              <w:spacing w:after="0" w:before="0"/>
            </w:pPr>
            <w:r/>
            <w:r>
              <w:rPr>
                <w:rFonts w:ascii="Aptos" w:hAnsi="Aptos"/>
                <w:b w:val="0"/>
                <w:sz w:val="14"/>
              </w:rPr>
              <w:t>REST + MCP</w:t>
            </w:r>
          </w:p>
        </w:tc>
        <w:tc>
          <w:tcPr>
            <w:tcW w:type="dxa" w:w="2232"/>
            <w:vAlign w:val="center"/>
          </w:tcPr>
          <w:p>
            <w:pPr>
              <w:spacing w:after="0" w:before="0"/>
            </w:pPr>
            <w:r/>
            <w:r>
              <w:rPr>
                <w:rFonts w:ascii="Aptos" w:hAnsi="Aptos"/>
                <w:b w:val="0"/>
                <w:sz w:val="14"/>
              </w:rPr>
              <w:t>catalog.impact.calculated</w:t>
            </w:r>
          </w:p>
        </w:tc>
      </w:tr>
      <w:tr>
        <w:tc>
          <w:tcPr>
            <w:tcW w:type="dxa" w:w="317"/>
            <w:vAlign w:val="center"/>
            <w:shd w:fill="F7F9FB"/>
          </w:tcPr>
          <w:p>
            <w:pPr>
              <w:spacing w:after="0" w:before="0"/>
            </w:pPr>
            <w:r/>
            <w:r>
              <w:rPr>
                <w:rFonts w:ascii="Aptos" w:hAnsi="Aptos"/>
                <w:b w:val="0"/>
                <w:sz w:val="14"/>
              </w:rPr>
              <w:t>5</w:t>
            </w:r>
          </w:p>
        </w:tc>
        <w:tc>
          <w:tcPr>
            <w:tcW w:type="dxa" w:w="1800"/>
            <w:vAlign w:val="center"/>
            <w:shd w:fill="F7F9FB"/>
          </w:tcPr>
          <w:p>
            <w:pPr>
              <w:spacing w:after="0" w:before="0"/>
            </w:pPr>
            <w:r/>
            <w:r>
              <w:rPr>
                <w:rFonts w:ascii="Aptos" w:hAnsi="Aptos"/>
                <w:b w:val="0"/>
                <w:sz w:val="14"/>
              </w:rPr>
              <w:t>Channel / Publication Hub Mock</w:t>
            </w:r>
          </w:p>
        </w:tc>
        <w:tc>
          <w:tcPr>
            <w:tcW w:type="dxa" w:w="3960"/>
            <w:vAlign w:val="center"/>
            <w:shd w:fill="F7F9FB"/>
          </w:tcPr>
          <w:p>
            <w:pPr>
              <w:spacing w:after="0" w:before="0"/>
            </w:pPr>
            <w:r/>
            <w:r>
              <w:rPr>
                <w:rFonts w:ascii="Aptos" w:hAnsi="Aptos"/>
                <w:b w:val="0"/>
                <w:sz w:val="14"/>
              </w:rPr>
              <w:t>E-commerce, B2B and marketplace endpoints with failure simulation.</w:t>
            </w:r>
          </w:p>
        </w:tc>
        <w:tc>
          <w:tcPr>
            <w:tcW w:type="dxa" w:w="1037"/>
            <w:vAlign w:val="center"/>
            <w:shd w:fill="F7F9FB"/>
          </w:tcPr>
          <w:p>
            <w:pPr>
              <w:spacing w:after="0" w:before="0"/>
            </w:pPr>
            <w:r/>
            <w:r>
              <w:rPr>
                <w:rFonts w:ascii="Aptos" w:hAnsi="Aptos"/>
                <w:b w:val="0"/>
                <w:sz w:val="14"/>
              </w:rPr>
              <w:t>REST + MCP</w:t>
            </w:r>
          </w:p>
        </w:tc>
        <w:tc>
          <w:tcPr>
            <w:tcW w:type="dxa" w:w="2232"/>
            <w:vAlign w:val="center"/>
            <w:shd w:fill="F7F9FB"/>
          </w:tcPr>
          <w:p>
            <w:pPr>
              <w:spacing w:after="0" w:before="0"/>
            </w:pPr>
            <w:r/>
            <w:r>
              <w:rPr>
                <w:rFonts w:ascii="Aptos" w:hAnsi="Aptos"/>
                <w:b w:val="0"/>
                <w:sz w:val="14"/>
              </w:rPr>
              <w:t>channel.publish.*</w:t>
            </w:r>
          </w:p>
        </w:tc>
      </w:tr>
    </w:tbl>
    <w:p>
      <w:pPr>
        <w:spacing w:after="40"/>
      </w:pP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Why five?  </w:t>
            </w:r>
            <w:r>
              <w:rPr>
                <w:sz w:val="18"/>
              </w:rPr>
              <w:t>This preserves enterprise realism while avoiding ten-plus microservices. Product age/lifecycle, audit, pricing, compliance, rollback and inventory can be modules/data domains inside these five mocks rather than separate deployments.</w:t>
            </w:r>
          </w:p>
        </w:tc>
      </w:tr>
    </w:tbl>
    <w:p>
      <w:pPr>
        <w:spacing w:after="20"/>
      </w:pPr>
    </w:p>
    <w:p>
      <w:pPr>
        <w:pStyle w:val="Heading1"/>
      </w:pPr>
      <w:r>
        <w:t>2. Required Agent Set</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0B2545"/>
          </w:tcPr>
          <w:p>
            <w:pPr>
              <w:spacing w:after="0" w:before="0"/>
            </w:pPr>
            <w:r/>
            <w:r>
              <w:rPr>
                <w:rFonts w:ascii="Aptos" w:hAnsi="Aptos"/>
                <w:b/>
                <w:color w:val="FFFFFF"/>
                <w:sz w:val="16"/>
              </w:rPr>
              <w:t>Agent</w:t>
            </w:r>
          </w:p>
        </w:tc>
        <w:tc>
          <w:tcPr>
            <w:tcW w:type="dxa" w:w="4752"/>
            <w:vAlign w:val="center"/>
            <w:shd w:fill="0B2545"/>
          </w:tcPr>
          <w:p>
            <w:pPr>
              <w:spacing w:after="0" w:before="0"/>
            </w:pPr>
            <w:r/>
            <w:r>
              <w:rPr>
                <w:rFonts w:ascii="Aptos" w:hAnsi="Aptos"/>
                <w:b/>
                <w:color w:val="FFFFFF"/>
                <w:sz w:val="16"/>
              </w:rPr>
              <w:t>Core responsibility</w:t>
            </w:r>
          </w:p>
        </w:tc>
        <w:tc>
          <w:tcPr>
            <w:tcW w:type="dxa" w:w="3024"/>
            <w:vAlign w:val="center"/>
            <w:shd w:fill="0B2545"/>
          </w:tcPr>
          <w:p>
            <w:pPr>
              <w:spacing w:after="0" w:before="0"/>
            </w:pPr>
            <w:r/>
            <w:r>
              <w:rPr>
                <w:rFonts w:ascii="Aptos" w:hAnsi="Aptos"/>
                <w:b/>
                <w:color w:val="FFFFFF"/>
                <w:sz w:val="16"/>
              </w:rPr>
              <w:t>Hard boundary</w:t>
            </w:r>
          </w:p>
        </w:tc>
      </w:tr>
      <w:tr>
        <w:tc>
          <w:tcPr>
            <w:tcW w:type="dxa" w:w="2232"/>
            <w:vAlign w:val="center"/>
            <w:shd w:fill="F7F9FB"/>
          </w:tcPr>
          <w:p>
            <w:pPr>
              <w:spacing w:after="0" w:before="0"/>
            </w:pPr>
            <w:r/>
            <w:r>
              <w:rPr>
                <w:rFonts w:ascii="Aptos" w:hAnsi="Aptos"/>
                <w:b w:val="0"/>
                <w:sz w:val="16"/>
              </w:rPr>
              <w:t>Triage &amp; Ingestion</w:t>
            </w:r>
          </w:p>
        </w:tc>
        <w:tc>
          <w:tcPr>
            <w:tcW w:type="dxa" w:w="4752"/>
            <w:vAlign w:val="center"/>
            <w:shd w:fill="F7F9FB"/>
          </w:tcPr>
          <w:p>
            <w:pPr>
              <w:spacing w:after="0" w:before="0"/>
            </w:pPr>
            <w:r/>
            <w:r>
              <w:rPr>
                <w:rFonts w:ascii="Aptos" w:hAnsi="Aptos"/>
                <w:b w:val="0"/>
                <w:sz w:val="16"/>
              </w:rPr>
              <w:t>Extract and normalize supplier changes; identify candidate product/SKU; confidence scoring.</w:t>
            </w:r>
          </w:p>
        </w:tc>
        <w:tc>
          <w:tcPr>
            <w:tcW w:type="dxa" w:w="3024"/>
            <w:vAlign w:val="center"/>
            <w:shd w:fill="F7F9FB"/>
          </w:tcPr>
          <w:p>
            <w:pPr>
              <w:spacing w:after="0" w:before="0"/>
            </w:pPr>
            <w:r/>
            <w:r>
              <w:rPr>
                <w:rFonts w:ascii="Aptos" w:hAnsi="Aptos"/>
                <w:b w:val="0"/>
                <w:sz w:val="16"/>
              </w:rPr>
              <w:t>Uses LLM for unstructured extraction; deterministic ID/schema checks.</w:t>
            </w:r>
          </w:p>
        </w:tc>
      </w:tr>
      <w:tr>
        <w:tc>
          <w:tcPr>
            <w:tcW w:type="dxa" w:w="2232"/>
            <w:vAlign w:val="center"/>
          </w:tcPr>
          <w:p>
            <w:pPr>
              <w:spacing w:after="0" w:before="0"/>
            </w:pPr>
            <w:r/>
            <w:r>
              <w:rPr>
                <w:rFonts w:ascii="Aptos" w:hAnsi="Aptos"/>
                <w:b w:val="0"/>
                <w:sz w:val="16"/>
              </w:rPr>
              <w:t>Product Attribute &amp; Conflict</w:t>
            </w:r>
          </w:p>
        </w:tc>
        <w:tc>
          <w:tcPr>
            <w:tcW w:type="dxa" w:w="4752"/>
            <w:vAlign w:val="center"/>
          </w:tcPr>
          <w:p>
            <w:pPr>
              <w:spacing w:after="0" w:before="0"/>
            </w:pPr>
            <w:r/>
            <w:r>
              <w:rPr>
                <w:rFonts w:ascii="Aptos" w:hAnsi="Aptos"/>
                <w:b w:val="0"/>
                <w:sz w:val="16"/>
              </w:rPr>
              <w:t>Compare old/new attributes, detect variant ambiguity and resolve evidence-backed conflicts.</w:t>
            </w:r>
          </w:p>
        </w:tc>
        <w:tc>
          <w:tcPr>
            <w:tcW w:type="dxa" w:w="3024"/>
            <w:vAlign w:val="center"/>
          </w:tcPr>
          <w:p>
            <w:pPr>
              <w:spacing w:after="0" w:before="0"/>
            </w:pPr>
            <w:r/>
            <w:r>
              <w:rPr>
                <w:rFonts w:ascii="Aptos" w:hAnsi="Aptos"/>
                <w:b w:val="0"/>
                <w:sz w:val="16"/>
              </w:rPr>
              <w:t>Never invents a SKU; low confidence routes to HITL.</w:t>
            </w:r>
          </w:p>
        </w:tc>
      </w:tr>
      <w:tr>
        <w:tc>
          <w:tcPr>
            <w:tcW w:type="dxa" w:w="2232"/>
            <w:vAlign w:val="center"/>
            <w:shd w:fill="F7F9FB"/>
          </w:tcPr>
          <w:p>
            <w:pPr>
              <w:spacing w:after="0" w:before="0"/>
            </w:pPr>
            <w:r/>
            <w:r>
              <w:rPr>
                <w:rFonts w:ascii="Aptos" w:hAnsi="Aptos"/>
                <w:b w:val="0"/>
                <w:sz w:val="16"/>
              </w:rPr>
              <w:t>Blast Radius &amp; Lineage</w:t>
            </w:r>
          </w:p>
        </w:tc>
        <w:tc>
          <w:tcPr>
            <w:tcW w:type="dxa" w:w="4752"/>
            <w:vAlign w:val="center"/>
            <w:shd w:fill="F7F9FB"/>
          </w:tcPr>
          <w:p>
            <w:pPr>
              <w:spacing w:after="0" w:before="0"/>
            </w:pPr>
            <w:r/>
            <w:r>
              <w:rPr>
                <w:rFonts w:ascii="Aptos" w:hAnsi="Aptos"/>
                <w:b w:val="0"/>
                <w:sz w:val="16"/>
              </w:rPr>
              <w:t>Traverse deterministic dependency graph; identify affected assets, content and channels; calculate impact.</w:t>
            </w:r>
          </w:p>
        </w:tc>
        <w:tc>
          <w:tcPr>
            <w:tcW w:type="dxa" w:w="3024"/>
            <w:vAlign w:val="center"/>
            <w:shd w:fill="F7F9FB"/>
          </w:tcPr>
          <w:p>
            <w:pPr>
              <w:spacing w:after="0" w:before="0"/>
            </w:pPr>
            <w:r/>
            <w:r>
              <w:rPr>
                <w:rFonts w:ascii="Aptos" w:hAnsi="Aptos"/>
                <w:b w:val="0"/>
                <w:sz w:val="16"/>
              </w:rPr>
              <w:t>Graph traversal remains deterministic.</w:t>
            </w:r>
          </w:p>
        </w:tc>
      </w:tr>
      <w:tr>
        <w:tc>
          <w:tcPr>
            <w:tcW w:type="dxa" w:w="2232"/>
            <w:vAlign w:val="center"/>
          </w:tcPr>
          <w:p>
            <w:pPr>
              <w:spacing w:after="0" w:before="0"/>
            </w:pPr>
            <w:r/>
            <w:r>
              <w:rPr>
                <w:rFonts w:ascii="Aptos" w:hAnsi="Aptos"/>
                <w:b w:val="0"/>
                <w:sz w:val="16"/>
              </w:rPr>
              <w:t>Product Content &amp; Localization</w:t>
            </w:r>
          </w:p>
        </w:tc>
        <w:tc>
          <w:tcPr>
            <w:tcW w:type="dxa" w:w="4752"/>
            <w:vAlign w:val="center"/>
          </w:tcPr>
          <w:p>
            <w:pPr>
              <w:spacing w:after="0" w:before="0"/>
            </w:pPr>
            <w:r/>
            <w:r>
              <w:rPr>
                <w:rFonts w:ascii="Aptos" w:hAnsi="Aptos"/>
                <w:b w:val="0"/>
                <w:sz w:val="16"/>
              </w:rPr>
              <w:t>Regenerate only impacted copy/assets metadata using brand and compliance context.</w:t>
            </w:r>
          </w:p>
        </w:tc>
        <w:tc>
          <w:tcPr>
            <w:tcW w:type="dxa" w:w="3024"/>
            <w:vAlign w:val="center"/>
          </w:tcPr>
          <w:p>
            <w:pPr>
              <w:spacing w:after="0" w:before="0"/>
            </w:pPr>
            <w:r/>
            <w:r>
              <w:rPr>
                <w:rFonts w:ascii="Aptos" w:hAnsi="Aptos"/>
                <w:b w:val="0"/>
                <w:sz w:val="16"/>
              </w:rPr>
              <w:t>Outputs evidence links and before/after diff.</w:t>
            </w:r>
          </w:p>
        </w:tc>
      </w:tr>
      <w:tr>
        <w:tc>
          <w:tcPr>
            <w:tcW w:type="dxa" w:w="2232"/>
            <w:vAlign w:val="center"/>
            <w:shd w:fill="F7F9FB"/>
          </w:tcPr>
          <w:p>
            <w:pPr>
              <w:spacing w:after="0" w:before="0"/>
            </w:pPr>
            <w:r/>
            <w:r>
              <w:rPr>
                <w:rFonts w:ascii="Aptos" w:hAnsi="Aptos"/>
                <w:b w:val="0"/>
                <w:sz w:val="16"/>
              </w:rPr>
              <w:t>Compliance &amp; Publication Gatekeeper</w:t>
            </w:r>
          </w:p>
        </w:tc>
        <w:tc>
          <w:tcPr>
            <w:tcW w:type="dxa" w:w="4752"/>
            <w:vAlign w:val="center"/>
            <w:shd w:fill="F7F9FB"/>
          </w:tcPr>
          <w:p>
            <w:pPr>
              <w:spacing w:after="0" w:before="0"/>
            </w:pPr>
            <w:r/>
            <w:r>
              <w:rPr>
                <w:rFonts w:ascii="Aptos" w:hAnsi="Aptos"/>
                <w:b w:val="0"/>
                <w:sz w:val="16"/>
              </w:rPr>
              <w:t>Apply deterministic business/regulatory rules and decide publish vs. review vs. reject.</w:t>
            </w:r>
          </w:p>
        </w:tc>
        <w:tc>
          <w:tcPr>
            <w:tcW w:type="dxa" w:w="3024"/>
            <w:vAlign w:val="center"/>
            <w:shd w:fill="F7F9FB"/>
          </w:tcPr>
          <w:p>
            <w:pPr>
              <w:spacing w:after="0" w:before="0"/>
            </w:pPr>
            <w:r/>
            <w:r>
              <w:rPr>
                <w:rFonts w:ascii="Aptos" w:hAnsi="Aptos"/>
                <w:b w:val="0"/>
                <w:sz w:val="16"/>
              </w:rPr>
              <w:t>LLM may assist interpretation; final gate is deterministic.</w:t>
            </w:r>
          </w:p>
        </w:tc>
      </w:tr>
    </w:tbl>
    <w:p>
      <w:pPr>
        <w:spacing w:after="40"/>
      </w:pPr>
    </w:p>
    <w:p>
      <w:pPr>
        <w:sectPr>
          <w:headerReference w:type="default" r:id="rId9"/>
          <w:footerReference w:type="default" r:id="rId10"/>
          <w:pgSz w:w="12240" w:h="15840"/>
          <w:pgMar w:top="792" w:right="936" w:bottom="792" w:left="936" w:header="720" w:footer="720" w:gutter="0"/>
          <w:cols w:space="720"/>
          <w:docGrid w:linePitch="360"/>
        </w:sectPr>
      </w:pPr>
    </w:p>
    <w:p>
      <w:pPr>
        <w:pStyle w:val="Heading1"/>
      </w:pPr>
      <w:r>
        <w:t>3. Protocol &amp; Runtime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512"/>
            <w:vAlign w:val="center"/>
            <w:shd w:fill="0B2545"/>
          </w:tcPr>
          <w:p>
            <w:pPr>
              <w:spacing w:after="0" w:before="0"/>
            </w:pPr>
            <w:r/>
            <w:r>
              <w:rPr>
                <w:rFonts w:ascii="Aptos" w:hAnsi="Aptos"/>
                <w:b/>
                <w:color w:val="FFFFFF"/>
                <w:sz w:val="16"/>
              </w:rPr>
              <w:t>Layer</w:t>
            </w:r>
          </w:p>
        </w:tc>
        <w:tc>
          <w:tcPr>
            <w:tcW w:type="dxa" w:w="5688"/>
            <w:vAlign w:val="center"/>
            <w:shd w:fill="0B2545"/>
          </w:tcPr>
          <w:p>
            <w:pPr>
              <w:spacing w:after="0" w:before="0"/>
            </w:pPr>
            <w:r/>
            <w:r>
              <w:rPr>
                <w:rFonts w:ascii="Aptos" w:hAnsi="Aptos"/>
                <w:b/>
                <w:color w:val="FFFFFF"/>
                <w:sz w:val="16"/>
              </w:rPr>
              <w:t>Use it for</w:t>
            </w:r>
          </w:p>
        </w:tc>
        <w:tc>
          <w:tcPr>
            <w:tcW w:type="dxa" w:w="2808"/>
            <w:vAlign w:val="center"/>
            <w:shd w:fill="0B2545"/>
          </w:tcPr>
          <w:p>
            <w:pPr>
              <w:spacing w:after="0" w:before="0"/>
            </w:pPr>
            <w:r/>
            <w:r>
              <w:rPr>
                <w:rFonts w:ascii="Aptos" w:hAnsi="Aptos"/>
                <w:b/>
                <w:color w:val="FFFFFF"/>
                <w:sz w:val="16"/>
              </w:rPr>
              <w:t>Not for</w:t>
            </w:r>
          </w:p>
        </w:tc>
      </w:tr>
      <w:tr>
        <w:tc>
          <w:tcPr>
            <w:tcW w:type="dxa" w:w="1512"/>
            <w:vAlign w:val="center"/>
            <w:shd w:fill="F7F9FB"/>
          </w:tcPr>
          <w:p>
            <w:pPr>
              <w:spacing w:after="0" w:before="0"/>
            </w:pPr>
            <w:r/>
            <w:r>
              <w:rPr>
                <w:rFonts w:ascii="Aptos" w:hAnsi="Aptos"/>
                <w:b w:val="0"/>
                <w:sz w:val="16"/>
              </w:rPr>
              <w:t>LangGraph</w:t>
            </w:r>
          </w:p>
        </w:tc>
        <w:tc>
          <w:tcPr>
            <w:tcW w:type="dxa" w:w="5688"/>
            <w:vAlign w:val="center"/>
            <w:shd w:fill="F7F9FB"/>
          </w:tcPr>
          <w:p>
            <w:pPr>
              <w:spacing w:after="0" w:before="0"/>
            </w:pPr>
            <w:r/>
            <w:r>
              <w:rPr>
                <w:rFonts w:ascii="Aptos" w:hAnsi="Aptos"/>
                <w:b w:val="0"/>
                <w:sz w:val="16"/>
              </w:rPr>
              <w:t>Workflow graph, shared state, checkpoints, retries, branching, HITL interrupts, recovery.</w:t>
            </w:r>
          </w:p>
        </w:tc>
        <w:tc>
          <w:tcPr>
            <w:tcW w:type="dxa" w:w="2808"/>
            <w:vAlign w:val="center"/>
            <w:shd w:fill="F7F9FB"/>
          </w:tcPr>
          <w:p>
            <w:pPr>
              <w:spacing w:after="0" w:before="0"/>
            </w:pPr>
            <w:r/>
            <w:r>
              <w:rPr>
                <w:rFonts w:ascii="Aptos" w:hAnsi="Aptos"/>
                <w:b w:val="0"/>
                <w:sz w:val="16"/>
              </w:rPr>
              <w:t>Replacing Kafka or exposing raw databases to agents.</w:t>
            </w:r>
          </w:p>
        </w:tc>
      </w:tr>
      <w:tr>
        <w:tc>
          <w:tcPr>
            <w:tcW w:type="dxa" w:w="1512"/>
            <w:vAlign w:val="center"/>
          </w:tcPr>
          <w:p>
            <w:pPr>
              <w:spacing w:after="0" w:before="0"/>
            </w:pPr>
            <w:r/>
            <w:r>
              <w:rPr>
                <w:rFonts w:ascii="Aptos" w:hAnsi="Aptos"/>
                <w:b w:val="0"/>
                <w:sz w:val="16"/>
              </w:rPr>
              <w:t>A2A</w:t>
            </w:r>
          </w:p>
        </w:tc>
        <w:tc>
          <w:tcPr>
            <w:tcW w:type="dxa" w:w="5688"/>
            <w:vAlign w:val="center"/>
          </w:tcPr>
          <w:p>
            <w:pPr>
              <w:spacing w:after="0" w:before="0"/>
            </w:pPr>
            <w:r/>
            <w:r>
              <w:rPr>
                <w:rFonts w:ascii="Aptos" w:hAnsi="Aptos"/>
                <w:b w:val="0"/>
                <w:sz w:val="16"/>
              </w:rPr>
              <w:t>Agent discovery and agent-to-agent task/message exchange via Agent Cards.</w:t>
            </w:r>
          </w:p>
        </w:tc>
        <w:tc>
          <w:tcPr>
            <w:tcW w:type="dxa" w:w="2808"/>
            <w:vAlign w:val="center"/>
          </w:tcPr>
          <w:p>
            <w:pPr>
              <w:spacing w:after="0" w:before="0"/>
            </w:pPr>
            <w:r/>
            <w:r>
              <w:rPr>
                <w:rFonts w:ascii="Aptos" w:hAnsi="Aptos"/>
                <w:b w:val="0"/>
                <w:sz w:val="16"/>
              </w:rPr>
              <w:t>Direct database/tool access.</w:t>
            </w:r>
          </w:p>
        </w:tc>
      </w:tr>
      <w:tr>
        <w:tc>
          <w:tcPr>
            <w:tcW w:type="dxa" w:w="1512"/>
            <w:vAlign w:val="center"/>
            <w:shd w:fill="F7F9FB"/>
          </w:tcPr>
          <w:p>
            <w:pPr>
              <w:spacing w:after="0" w:before="0"/>
            </w:pPr>
            <w:r/>
            <w:r>
              <w:rPr>
                <w:rFonts w:ascii="Aptos" w:hAnsi="Aptos"/>
                <w:b w:val="0"/>
                <w:sz w:val="16"/>
              </w:rPr>
              <w:t>MCP</w:t>
            </w:r>
          </w:p>
        </w:tc>
        <w:tc>
          <w:tcPr>
            <w:tcW w:type="dxa" w:w="5688"/>
            <w:vAlign w:val="center"/>
            <w:shd w:fill="F7F9FB"/>
          </w:tcPr>
          <w:p>
            <w:pPr>
              <w:spacing w:after="0" w:before="0"/>
            </w:pPr>
            <w:r/>
            <w:r>
              <w:rPr>
                <w:rFonts w:ascii="Aptos" w:hAnsi="Aptos"/>
                <w:b w:val="0"/>
                <w:sz w:val="16"/>
              </w:rPr>
              <w:t>Controlled access to PIM/DAM/ERP/catalog/publication tools; current Streamable HTTP where practical.</w:t>
            </w:r>
          </w:p>
        </w:tc>
        <w:tc>
          <w:tcPr>
            <w:tcW w:type="dxa" w:w="2808"/>
            <w:vAlign w:val="center"/>
            <w:shd w:fill="F7F9FB"/>
          </w:tcPr>
          <w:p>
            <w:pPr>
              <w:spacing w:after="0" w:before="0"/>
            </w:pPr>
            <w:r/>
            <w:r>
              <w:rPr>
                <w:rFonts w:ascii="Aptos" w:hAnsi="Aptos"/>
                <w:b w:val="0"/>
                <w:sz w:val="16"/>
              </w:rPr>
              <w:t>Replacing the event bus.</w:t>
            </w:r>
          </w:p>
        </w:tc>
      </w:tr>
      <w:tr>
        <w:tc>
          <w:tcPr>
            <w:tcW w:type="dxa" w:w="1512"/>
            <w:vAlign w:val="center"/>
          </w:tcPr>
          <w:p>
            <w:pPr>
              <w:spacing w:after="0" w:before="0"/>
            </w:pPr>
            <w:r/>
            <w:r>
              <w:rPr>
                <w:rFonts w:ascii="Aptos" w:hAnsi="Aptos"/>
                <w:b w:val="0"/>
                <w:sz w:val="16"/>
              </w:rPr>
              <w:t>Kafka</w:t>
            </w:r>
          </w:p>
        </w:tc>
        <w:tc>
          <w:tcPr>
            <w:tcW w:type="dxa" w:w="5688"/>
            <w:vAlign w:val="center"/>
          </w:tcPr>
          <w:p>
            <w:pPr>
              <w:spacing w:after="0" w:before="0"/>
            </w:pPr>
            <w:r/>
            <w:r>
              <w:rPr>
                <w:rFonts w:ascii="Aptos" w:hAnsi="Aptos"/>
                <w:b w:val="0"/>
                <w:sz w:val="16"/>
              </w:rPr>
              <w:t>Asynchronous events, fan-out, replay, failure and compensation events.</w:t>
            </w:r>
          </w:p>
        </w:tc>
        <w:tc>
          <w:tcPr>
            <w:tcW w:type="dxa" w:w="2808"/>
            <w:vAlign w:val="center"/>
          </w:tcPr>
          <w:p>
            <w:pPr>
              <w:spacing w:after="0" w:before="0"/>
            </w:pPr>
            <w:r/>
            <w:r>
              <w:rPr>
                <w:rFonts w:ascii="Aptos" w:hAnsi="Aptos"/>
                <w:b w:val="0"/>
                <w:sz w:val="16"/>
              </w:rPr>
              <w:t>Global 2PC across external systems.</w:t>
            </w:r>
          </w:p>
        </w:tc>
      </w:tr>
      <w:tr>
        <w:tc>
          <w:tcPr>
            <w:tcW w:type="dxa" w:w="1512"/>
            <w:vAlign w:val="center"/>
            <w:shd w:fill="F7F9FB"/>
          </w:tcPr>
          <w:p>
            <w:pPr>
              <w:spacing w:after="0" w:before="0"/>
            </w:pPr>
            <w:r/>
            <w:r>
              <w:rPr>
                <w:rFonts w:ascii="Aptos" w:hAnsi="Aptos"/>
                <w:b w:val="0"/>
                <w:sz w:val="16"/>
              </w:rPr>
              <w:t>LiteLLM</w:t>
            </w:r>
          </w:p>
        </w:tc>
        <w:tc>
          <w:tcPr>
            <w:tcW w:type="dxa" w:w="5688"/>
            <w:vAlign w:val="center"/>
            <w:shd w:fill="F7F9FB"/>
          </w:tcPr>
          <w:p>
            <w:pPr>
              <w:spacing w:after="0" w:before="0"/>
            </w:pPr>
            <w:r/>
            <w:r>
              <w:rPr>
                <w:rFonts w:ascii="Aptos" w:hAnsi="Aptos"/>
                <w:b w:val="0"/>
                <w:sz w:val="16"/>
              </w:rPr>
              <w:t>Unified model gateway, routing, fallback, model-specific policies and cost/latency control.</w:t>
            </w:r>
          </w:p>
        </w:tc>
        <w:tc>
          <w:tcPr>
            <w:tcW w:type="dxa" w:w="2808"/>
            <w:vAlign w:val="center"/>
            <w:shd w:fill="F7F9FB"/>
          </w:tcPr>
          <w:p>
            <w:pPr>
              <w:spacing w:after="0" w:before="0"/>
            </w:pPr>
            <w:r/>
            <w:r>
              <w:rPr>
                <w:rFonts w:ascii="Aptos" w:hAnsi="Aptos"/>
                <w:b w:val="0"/>
                <w:sz w:val="16"/>
              </w:rPr>
              <w:t>Business-rule enforcement.</w:t>
            </w:r>
          </w:p>
        </w:tc>
      </w:tr>
    </w:tbl>
    <w:p>
      <w:pPr>
        <w:spacing w:after="40"/>
      </w:pP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Rollback rule  </w:t>
            </w:r>
            <w:r>
              <w:rPr>
                <w:sz w:val="18"/>
              </w:rPr>
              <w:t>Use idempotent writes + version checks + transactional outbox where useful + SAGA compensation. Kafka transactions may protect Kafka-side atomicity; external ERP/PIM/DAM/channel consistency is restored through compensating actions.</w:t>
            </w:r>
          </w:p>
        </w:tc>
      </w:tr>
    </w:tbl>
    <w:p>
      <w:pPr>
        <w:spacing w:after="20"/>
      </w:pPr>
    </w:p>
    <w:p>
      <w:pPr>
        <w:pStyle w:val="Heading1"/>
      </w:pPr>
      <w:r>
        <w:t>4. Hybrid RAG Contract</w:t>
      </w:r>
    </w:p>
    <w:p>
      <w:pPr>
        <w:spacing w:after="80"/>
        <w:ind w:left="173"/>
      </w:pPr>
      <w:r>
        <w:rPr>
          <w:rFonts w:ascii="Courier New" w:hAnsi="Courier New"/>
          <w:sz w:val="16"/>
        </w:rPr>
        <w:t>Query -&gt; candidate generation -&gt; BM25 + Dense retrieval -&gt; score fusion -&gt; rerank -&gt; evidence pack</w:t>
        <w:br/>
        <w:br/>
        <w:t>Score(q,d) = alpha * S_BM25(q,d) + (1-alpha) * S_Dense(q,d)</w:t>
        <w:br/>
        <w:br/>
        <w:t>Recommended policy:</w:t>
        <w:br/>
        <w:t>- Exact SKU / model / part-number hit wins for identity and hard specifications.</w:t>
        <w:br/>
        <w:t>- Dense retrieval enriches context from brand, compliance and channel guidance.</w:t>
        <w:br/>
        <w:t>- Semantic-only product identity is never sufficient when an exact identifier exists.</w:t>
        <w:br/>
        <w:t>- Store source_id, document_version and retrieved_snippet metadata for provenance.</w:t>
      </w: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Suggested MVP  </w:t>
            </w:r>
            <w:r>
              <w:rPr>
                <w:sz w:val="18"/>
              </w:rPr>
              <w:t>Use a lightweight local vector store (FAISS or Qdrant) and a BM25-capable index (OpenSearch or a lightweight local lexical index). Keep the retrieval interface behind one service so the choice can change without changing agents.</w:t>
            </w:r>
          </w:p>
        </w:tc>
      </w:tr>
    </w:tbl>
    <w:p>
      <w:pPr>
        <w:spacing w:after="20"/>
      </w:pPr>
    </w:p>
    <w:p>
      <w:pPr>
        <w:pStyle w:val="Heading1"/>
      </w:pPr>
      <w:r>
        <w:t>5. Docker-Free Python/FastAPI Runtime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center"/>
            <w:shd w:fill="0B2545"/>
          </w:tcPr>
          <w:p>
            <w:pPr>
              <w:spacing w:after="0" w:before="0"/>
            </w:pPr>
            <w:r/>
            <w:r>
              <w:rPr>
                <w:rFonts w:ascii="Aptos" w:hAnsi="Aptos"/>
                <w:b/>
                <w:color w:val="FFFFFF"/>
                <w:sz w:val="16"/>
              </w:rPr>
              <w:t>Runtime component</w:t>
            </w:r>
          </w:p>
        </w:tc>
        <w:tc>
          <w:tcPr>
            <w:tcW w:type="dxa" w:w="2304"/>
            <w:vAlign w:val="center"/>
            <w:shd w:fill="0B2545"/>
          </w:tcPr>
          <w:p>
            <w:pPr>
              <w:spacing w:after="0" w:before="0"/>
            </w:pPr>
            <w:r/>
            <w:r>
              <w:rPr>
                <w:rFonts w:ascii="Aptos" w:hAnsi="Aptos"/>
                <w:b/>
                <w:color w:val="FFFFFF"/>
                <w:sz w:val="16"/>
              </w:rPr>
              <w:t>Technology</w:t>
            </w:r>
          </w:p>
        </w:tc>
        <w:tc>
          <w:tcPr>
            <w:tcW w:type="dxa" w:w="3672"/>
            <w:vAlign w:val="center"/>
            <w:shd w:fill="0B2545"/>
          </w:tcPr>
          <w:p>
            <w:pPr>
              <w:spacing w:after="0" w:before="0"/>
            </w:pPr>
            <w:r/>
            <w:r>
              <w:rPr>
                <w:rFonts w:ascii="Aptos" w:hAnsi="Aptos"/>
                <w:b/>
                <w:color w:val="FFFFFF"/>
                <w:sz w:val="16"/>
              </w:rPr>
              <w:t>Start command</w:t>
            </w:r>
          </w:p>
        </w:tc>
        <w:tc>
          <w:tcPr>
            <w:tcW w:type="dxa" w:w="2664"/>
            <w:vAlign w:val="center"/>
            <w:shd w:fill="0B2545"/>
          </w:tcPr>
          <w:p>
            <w:pPr>
              <w:spacing w:after="0" w:before="0"/>
            </w:pPr>
            <w:r/>
            <w:r>
              <w:rPr>
                <w:rFonts w:ascii="Aptos" w:hAnsi="Aptos"/>
                <w:b/>
                <w:color w:val="FFFFFF"/>
                <w:sz w:val="16"/>
              </w:rPr>
              <w:t>Purpose</w:t>
            </w:r>
          </w:p>
        </w:tc>
      </w:tr>
      <w:tr>
        <w:tc>
          <w:tcPr>
            <w:tcW w:type="dxa" w:w="1440"/>
            <w:vAlign w:val="center"/>
            <w:shd w:fill="F7F9FB"/>
          </w:tcPr>
          <w:p>
            <w:pPr>
              <w:spacing w:after="0" w:before="0"/>
            </w:pPr>
            <w:r/>
            <w:r>
              <w:rPr>
                <w:rFonts w:ascii="Aptos" w:hAnsi="Aptos"/>
                <w:b w:val="0"/>
                <w:sz w:val="16"/>
              </w:rPr>
              <w:t>Gateway</w:t>
            </w:r>
          </w:p>
        </w:tc>
        <w:tc>
          <w:tcPr>
            <w:tcW w:type="dxa" w:w="2304"/>
            <w:vAlign w:val="center"/>
            <w:shd w:fill="F7F9FB"/>
          </w:tcPr>
          <w:p>
            <w:pPr>
              <w:spacing w:after="0" w:before="0"/>
            </w:pPr>
            <w:r/>
            <w:r>
              <w:rPr>
                <w:rFonts w:ascii="Aptos" w:hAnsi="Aptos"/>
                <w:b w:val="0"/>
                <w:sz w:val="16"/>
              </w:rPr>
              <w:t>FastAPI</w:t>
            </w:r>
          </w:p>
        </w:tc>
        <w:tc>
          <w:tcPr>
            <w:tcW w:type="dxa" w:w="3672"/>
            <w:vAlign w:val="center"/>
            <w:shd w:fill="F7F9FB"/>
          </w:tcPr>
          <w:p>
            <w:pPr>
              <w:spacing w:after="0" w:before="0"/>
            </w:pPr>
            <w:r/>
            <w:r>
              <w:rPr>
                <w:rFonts w:ascii="Aptos" w:hAnsi="Aptos"/>
                <w:b w:val="0"/>
                <w:sz w:val="16"/>
              </w:rPr>
              <w:t>uvicorn app.main:app --port 8000</w:t>
            </w:r>
          </w:p>
        </w:tc>
        <w:tc>
          <w:tcPr>
            <w:tcW w:type="dxa" w:w="2664"/>
            <w:vAlign w:val="center"/>
            <w:shd w:fill="F7F9FB"/>
          </w:tcPr>
          <w:p>
            <w:pPr>
              <w:spacing w:after="0" w:before="0"/>
            </w:pPr>
            <w:r/>
            <w:r>
              <w:rPr>
                <w:rFonts w:ascii="Aptos" w:hAnsi="Aptos"/>
                <w:b w:val="0"/>
                <w:sz w:val="16"/>
              </w:rPr>
              <w:t>Ingress + demo APIs</w:t>
            </w:r>
          </w:p>
        </w:tc>
      </w:tr>
      <w:tr>
        <w:tc>
          <w:tcPr>
            <w:tcW w:type="dxa" w:w="1440"/>
            <w:vAlign w:val="center"/>
          </w:tcPr>
          <w:p>
            <w:pPr>
              <w:spacing w:after="0" w:before="0"/>
            </w:pPr>
            <w:r/>
            <w:r>
              <w:rPr>
                <w:rFonts w:ascii="Aptos" w:hAnsi="Aptos"/>
                <w:b w:val="0"/>
                <w:sz w:val="16"/>
              </w:rPr>
              <w:t>Agents</w:t>
            </w:r>
          </w:p>
        </w:tc>
        <w:tc>
          <w:tcPr>
            <w:tcW w:type="dxa" w:w="2304"/>
            <w:vAlign w:val="center"/>
          </w:tcPr>
          <w:p>
            <w:pPr>
              <w:spacing w:after="0" w:before="0"/>
            </w:pPr>
            <w:r/>
            <w:r>
              <w:rPr>
                <w:rFonts w:ascii="Aptos" w:hAnsi="Aptos"/>
                <w:b w:val="0"/>
                <w:sz w:val="16"/>
              </w:rPr>
              <w:t>Python + LangGraph</w:t>
            </w:r>
          </w:p>
        </w:tc>
        <w:tc>
          <w:tcPr>
            <w:tcW w:type="dxa" w:w="3672"/>
            <w:vAlign w:val="center"/>
          </w:tcPr>
          <w:p>
            <w:pPr>
              <w:spacing w:after="0" w:before="0"/>
            </w:pPr>
            <w:r/>
            <w:r>
              <w:rPr>
                <w:rFonts w:ascii="Aptos" w:hAnsi="Aptos"/>
                <w:b w:val="0"/>
                <w:sz w:val="16"/>
              </w:rPr>
              <w:t>python -m agents.worker</w:t>
            </w:r>
          </w:p>
        </w:tc>
        <w:tc>
          <w:tcPr>
            <w:tcW w:type="dxa" w:w="2664"/>
            <w:vAlign w:val="center"/>
          </w:tcPr>
          <w:p>
            <w:pPr>
              <w:spacing w:after="0" w:before="0"/>
            </w:pPr>
            <w:r/>
            <w:r>
              <w:rPr>
                <w:rFonts w:ascii="Aptos" w:hAnsi="Aptos"/>
                <w:b w:val="0"/>
                <w:sz w:val="16"/>
              </w:rPr>
              <w:t>Agent runtime</w:t>
            </w:r>
          </w:p>
        </w:tc>
      </w:tr>
      <w:tr>
        <w:tc>
          <w:tcPr>
            <w:tcW w:type="dxa" w:w="1440"/>
            <w:vAlign w:val="center"/>
            <w:shd w:fill="F7F9FB"/>
          </w:tcPr>
          <w:p>
            <w:pPr>
              <w:spacing w:after="0" w:before="0"/>
            </w:pPr>
            <w:r/>
            <w:r>
              <w:rPr>
                <w:rFonts w:ascii="Aptos" w:hAnsi="Aptos"/>
                <w:b w:val="0"/>
                <w:sz w:val="16"/>
              </w:rPr>
              <w:t>Kafka</w:t>
            </w:r>
          </w:p>
        </w:tc>
        <w:tc>
          <w:tcPr>
            <w:tcW w:type="dxa" w:w="2304"/>
            <w:vAlign w:val="center"/>
            <w:shd w:fill="F7F9FB"/>
          </w:tcPr>
          <w:p>
            <w:pPr>
              <w:spacing w:after="0" w:before="0"/>
            </w:pPr>
            <w:r/>
            <w:r>
              <w:rPr>
                <w:rFonts w:ascii="Aptos" w:hAnsi="Aptos"/>
                <w:b w:val="0"/>
                <w:sz w:val="16"/>
              </w:rPr>
              <w:t>Apache Kafka native distribution</w:t>
            </w:r>
          </w:p>
        </w:tc>
        <w:tc>
          <w:tcPr>
            <w:tcW w:type="dxa" w:w="3672"/>
            <w:vAlign w:val="center"/>
            <w:shd w:fill="F7F9FB"/>
          </w:tcPr>
          <w:p>
            <w:pPr>
              <w:spacing w:after="0" w:before="0"/>
            </w:pPr>
            <w:r/>
            <w:r>
              <w:rPr>
                <w:rFonts w:ascii="Aptos" w:hAnsi="Aptos"/>
                <w:b w:val="0"/>
                <w:sz w:val="16"/>
              </w:rPr>
              <w:t>bin/kafka-server-start.sh ...</w:t>
            </w:r>
          </w:p>
        </w:tc>
        <w:tc>
          <w:tcPr>
            <w:tcW w:type="dxa" w:w="2664"/>
            <w:vAlign w:val="center"/>
            <w:shd w:fill="F7F9FB"/>
          </w:tcPr>
          <w:p>
            <w:pPr>
              <w:spacing w:after="0" w:before="0"/>
            </w:pPr>
            <w:r/>
            <w:r>
              <w:rPr>
                <w:rFonts w:ascii="Aptos" w:hAnsi="Aptos"/>
                <w:b w:val="0"/>
                <w:sz w:val="16"/>
              </w:rPr>
              <w:t>Events</w:t>
            </w:r>
          </w:p>
        </w:tc>
      </w:tr>
      <w:tr>
        <w:tc>
          <w:tcPr>
            <w:tcW w:type="dxa" w:w="1440"/>
            <w:vAlign w:val="center"/>
          </w:tcPr>
          <w:p>
            <w:pPr>
              <w:spacing w:after="0" w:before="0"/>
            </w:pPr>
            <w:r/>
            <w:r>
              <w:rPr>
                <w:rFonts w:ascii="Aptos" w:hAnsi="Aptos"/>
                <w:b w:val="0"/>
                <w:sz w:val="16"/>
              </w:rPr>
              <w:t>MCP</w:t>
            </w:r>
          </w:p>
        </w:tc>
        <w:tc>
          <w:tcPr>
            <w:tcW w:type="dxa" w:w="2304"/>
            <w:vAlign w:val="center"/>
          </w:tcPr>
          <w:p>
            <w:pPr>
              <w:spacing w:after="0" w:before="0"/>
            </w:pPr>
            <w:r/>
            <w:r>
              <w:rPr>
                <w:rFonts w:ascii="Aptos" w:hAnsi="Aptos"/>
                <w:b w:val="0"/>
                <w:sz w:val="16"/>
              </w:rPr>
              <w:t>Python MCP servers / Streamable HTTP</w:t>
            </w:r>
          </w:p>
        </w:tc>
        <w:tc>
          <w:tcPr>
            <w:tcW w:type="dxa" w:w="3672"/>
            <w:vAlign w:val="center"/>
          </w:tcPr>
          <w:p>
            <w:pPr>
              <w:spacing w:after="0" w:before="0"/>
            </w:pPr>
            <w:r/>
            <w:r>
              <w:rPr>
                <w:rFonts w:ascii="Aptos" w:hAnsi="Aptos"/>
                <w:b w:val="0"/>
                <w:sz w:val="16"/>
              </w:rPr>
              <w:t>python -m mcp_servers.&lt;service&gt;</w:t>
            </w:r>
          </w:p>
        </w:tc>
        <w:tc>
          <w:tcPr>
            <w:tcW w:type="dxa" w:w="2664"/>
            <w:vAlign w:val="center"/>
          </w:tcPr>
          <w:p>
            <w:pPr>
              <w:spacing w:after="0" w:before="0"/>
            </w:pPr>
            <w:r/>
            <w:r>
              <w:rPr>
                <w:rFonts w:ascii="Aptos" w:hAnsi="Aptos"/>
                <w:b w:val="0"/>
                <w:sz w:val="16"/>
              </w:rPr>
              <w:t>Tool layer</w:t>
            </w:r>
          </w:p>
        </w:tc>
      </w:tr>
      <w:tr>
        <w:tc>
          <w:tcPr>
            <w:tcW w:type="dxa" w:w="1440"/>
            <w:vAlign w:val="center"/>
            <w:shd w:fill="F7F9FB"/>
          </w:tcPr>
          <w:p>
            <w:pPr>
              <w:spacing w:after="0" w:before="0"/>
            </w:pPr>
            <w:r/>
            <w:r>
              <w:rPr>
                <w:rFonts w:ascii="Aptos" w:hAnsi="Aptos"/>
                <w:b w:val="0"/>
                <w:sz w:val="16"/>
              </w:rPr>
              <w:t>Model gateway</w:t>
            </w:r>
          </w:p>
        </w:tc>
        <w:tc>
          <w:tcPr>
            <w:tcW w:type="dxa" w:w="2304"/>
            <w:vAlign w:val="center"/>
            <w:shd w:fill="F7F9FB"/>
          </w:tcPr>
          <w:p>
            <w:pPr>
              <w:spacing w:after="0" w:before="0"/>
            </w:pPr>
            <w:r/>
            <w:r>
              <w:rPr>
                <w:rFonts w:ascii="Aptos" w:hAnsi="Aptos"/>
                <w:b w:val="0"/>
                <w:sz w:val="16"/>
              </w:rPr>
              <w:t>LiteLLM</w:t>
            </w:r>
          </w:p>
        </w:tc>
        <w:tc>
          <w:tcPr>
            <w:tcW w:type="dxa" w:w="3672"/>
            <w:vAlign w:val="center"/>
            <w:shd w:fill="F7F9FB"/>
          </w:tcPr>
          <w:p>
            <w:pPr>
              <w:spacing w:after="0" w:before="0"/>
            </w:pPr>
            <w:r/>
            <w:r>
              <w:rPr>
                <w:rFonts w:ascii="Aptos" w:hAnsi="Aptos"/>
                <w:b w:val="0"/>
                <w:sz w:val="16"/>
              </w:rPr>
              <w:t>litellm --config config.yaml</w:t>
            </w:r>
          </w:p>
        </w:tc>
        <w:tc>
          <w:tcPr>
            <w:tcW w:type="dxa" w:w="2664"/>
            <w:vAlign w:val="center"/>
            <w:shd w:fill="F7F9FB"/>
          </w:tcPr>
          <w:p>
            <w:pPr>
              <w:spacing w:after="0" w:before="0"/>
            </w:pPr>
            <w:r/>
            <w:r>
              <w:rPr>
                <w:rFonts w:ascii="Aptos" w:hAnsi="Aptos"/>
                <w:b w:val="0"/>
                <w:sz w:val="16"/>
              </w:rPr>
              <w:t>Model abstraction</w:t>
            </w:r>
          </w:p>
        </w:tc>
      </w:tr>
      <w:tr>
        <w:tc>
          <w:tcPr>
            <w:tcW w:type="dxa" w:w="1440"/>
            <w:vAlign w:val="center"/>
          </w:tcPr>
          <w:p>
            <w:pPr>
              <w:spacing w:after="0" w:before="0"/>
            </w:pPr>
            <w:r/>
            <w:r>
              <w:rPr>
                <w:rFonts w:ascii="Aptos" w:hAnsi="Aptos"/>
                <w:b w:val="0"/>
                <w:sz w:val="16"/>
              </w:rPr>
              <w:t>Mock services</w:t>
            </w:r>
          </w:p>
        </w:tc>
        <w:tc>
          <w:tcPr>
            <w:tcW w:type="dxa" w:w="2304"/>
            <w:vAlign w:val="center"/>
          </w:tcPr>
          <w:p>
            <w:pPr>
              <w:spacing w:after="0" w:before="0"/>
            </w:pPr>
            <w:r/>
            <w:r>
              <w:rPr>
                <w:rFonts w:ascii="Aptos" w:hAnsi="Aptos"/>
                <w:b w:val="0"/>
                <w:sz w:val="16"/>
              </w:rPr>
              <w:t>FastAPI apps</w:t>
            </w:r>
          </w:p>
        </w:tc>
        <w:tc>
          <w:tcPr>
            <w:tcW w:type="dxa" w:w="3672"/>
            <w:vAlign w:val="center"/>
          </w:tcPr>
          <w:p>
            <w:pPr>
              <w:spacing w:after="0" w:before="0"/>
            </w:pPr>
            <w:r/>
            <w:r>
              <w:rPr>
                <w:rFonts w:ascii="Aptos" w:hAnsi="Aptos"/>
                <w:b w:val="0"/>
                <w:sz w:val="16"/>
              </w:rPr>
              <w:t>uvicorn ... --port 81xx</w:t>
            </w:r>
          </w:p>
        </w:tc>
        <w:tc>
          <w:tcPr>
            <w:tcW w:type="dxa" w:w="2664"/>
            <w:vAlign w:val="center"/>
          </w:tcPr>
          <w:p>
            <w:pPr>
              <w:spacing w:after="0" w:before="0"/>
            </w:pPr>
            <w:r/>
            <w:r>
              <w:rPr>
                <w:rFonts w:ascii="Aptos" w:hAnsi="Aptos"/>
                <w:b w:val="0"/>
                <w:sz w:val="16"/>
              </w:rPr>
              <w:t>ERP/PIM/DAM/Catalog/Channel</w:t>
            </w:r>
          </w:p>
        </w:tc>
      </w:tr>
      <w:tr>
        <w:tc>
          <w:tcPr>
            <w:tcW w:type="dxa" w:w="1440"/>
            <w:vAlign w:val="center"/>
            <w:shd w:fill="F7F9FB"/>
          </w:tcPr>
          <w:p>
            <w:pPr>
              <w:spacing w:after="0" w:before="0"/>
            </w:pPr>
            <w:r/>
            <w:r>
              <w:rPr>
                <w:rFonts w:ascii="Aptos" w:hAnsi="Aptos"/>
                <w:b w:val="0"/>
                <w:sz w:val="16"/>
              </w:rPr>
              <w:t>UI</w:t>
            </w:r>
          </w:p>
        </w:tc>
        <w:tc>
          <w:tcPr>
            <w:tcW w:type="dxa" w:w="2304"/>
            <w:vAlign w:val="center"/>
            <w:shd w:fill="F7F9FB"/>
          </w:tcPr>
          <w:p>
            <w:pPr>
              <w:spacing w:after="0" w:before="0"/>
            </w:pPr>
            <w:r/>
            <w:r>
              <w:rPr>
                <w:rFonts w:ascii="Aptos" w:hAnsi="Aptos"/>
                <w:b w:val="0"/>
                <w:sz w:val="16"/>
              </w:rPr>
              <w:t>React + Vite</w:t>
            </w:r>
          </w:p>
        </w:tc>
        <w:tc>
          <w:tcPr>
            <w:tcW w:type="dxa" w:w="3672"/>
            <w:vAlign w:val="center"/>
            <w:shd w:fill="F7F9FB"/>
          </w:tcPr>
          <w:p>
            <w:pPr>
              <w:spacing w:after="0" w:before="0"/>
            </w:pPr>
            <w:r/>
            <w:r>
              <w:rPr>
                <w:rFonts w:ascii="Aptos" w:hAnsi="Aptos"/>
                <w:b w:val="0"/>
                <w:sz w:val="16"/>
              </w:rPr>
              <w:t>npm run dev</w:t>
            </w:r>
          </w:p>
        </w:tc>
        <w:tc>
          <w:tcPr>
            <w:tcW w:type="dxa" w:w="2664"/>
            <w:vAlign w:val="center"/>
            <w:shd w:fill="F7F9FB"/>
          </w:tcPr>
          <w:p>
            <w:pPr>
              <w:spacing w:after="0" w:before="0"/>
            </w:pPr>
            <w:r/>
            <w:r>
              <w:rPr>
                <w:rFonts w:ascii="Aptos" w:hAnsi="Aptos"/>
                <w:b w:val="0"/>
                <w:sz w:val="16"/>
              </w:rPr>
              <w:t>Executive/HITL dashboard</w:t>
            </w:r>
          </w:p>
        </w:tc>
      </w:tr>
    </w:tbl>
    <w:p>
      <w:pPr>
        <w:spacing w:after="40"/>
      </w:pPr>
    </w:p>
    <w:p>
      <w:pPr>
        <w:sectPr>
          <w:pgSz w:w="12240" w:h="15840"/>
          <w:pgMar w:top="792" w:right="936" w:bottom="792" w:left="936" w:header="720" w:footer="720" w:gutter="0"/>
          <w:cols w:space="720"/>
          <w:docGrid w:linePitch="360"/>
        </w:sectPr>
      </w:pPr>
    </w:p>
    <w:p>
      <w:pPr>
        <w:pStyle w:val="Heading1"/>
      </w:pPr>
      <w:r>
        <w:t>PART B — MASTER PROMPT</w:t>
      </w: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How to use  </w:t>
            </w:r>
            <w:r>
              <w:rPr>
                <w:sz w:val="18"/>
              </w:rPr>
              <w:t>Copy everything in Section 6 into a fresh AI session. It instructs the model to generate a maximum 3-page execution blueprint for the competition.</w:t>
            </w:r>
          </w:p>
        </w:tc>
      </w:tr>
    </w:tbl>
    <w:p>
      <w:pPr>
        <w:spacing w:after="20"/>
      </w:pPr>
    </w:p>
    <w:p>
      <w:pPr>
        <w:pStyle w:val="Heading1"/>
      </w:pPr>
      <w:r>
        <w:t>6. Master Prompt — Copy/Paste</w:t>
      </w:r>
    </w:p>
    <w:p>
      <w:pPr>
        <w:spacing w:after="80"/>
        <w:ind w:left="173"/>
      </w:pPr>
      <w:r>
        <w:rPr>
          <w:rFonts w:ascii="Courier New" w:hAnsi="Courier New"/>
          <w:sz w:val="16"/>
        </w:rPr>
        <w:t>Act as a Principal Enterprise AI Architect, Agentic AI Architect, Distributed Systems Architect, Cloud Solution Architect and Technical Delivery Lead.</w:t>
        <w:br/>
        <w:br/>
        <w:t>Create an execution-ready architectural specification and phased build roadmap for “Use Case 05: Autonomous Product Intelligence Factory” for a national-level AI competition. Audience: CIO, CTO, CEO and enterprise architects.</w:t>
        <w:br/>
        <w:br/>
        <w:t>PRIMARY GOAL</w:t>
        <w:br/>
        <w:t>Produce a maximum 3-page document that tells a 5-member team exactly WHAT to build, WHY each component exists, HOW components interact, and WHEN each capability should be implemented. Favor a working end-to-end MVP over an oversized architecture.</w:t>
        <w:br/>
        <w:br/>
        <w:t>BUSINESS SCENARIO</w:t>
        <w:br/>
        <w:t>Use electronics products. Example: supplier corrects air-purifier SKU AP-1001 power from 45W to 65W after product information has already been approved/published. Another related variant contains an ambiguous change. The system must detect the change, identify the correct product, assess the blast radius, regenerate impacted content, govern publication, and recover safely from a simulated channel failure.</w:t>
        <w:br/>
        <w:br/>
        <w:t>HARD CONSTRAINTS</w:t>
        <w:br/>
        <w:t>1. Prefer open-source technologies.</w:t>
        <w:br/>
        <w:t>2. No Docker or Docker Compose. All components must be runnable as native processes, Python virtual environments, standalone binaries or npm processes.</w:t>
        <w:br/>
        <w:t>3. Recommended MVP language: Python with FastAPI. Also show how the same contracts could be implemented in Java/Spring Boot, but do not duplicate the entire design.</w:t>
        <w:br/>
        <w:t>4. AI must be bounded: deterministic logic owns identity, lineage, arithmetic, schema validation, rules, publication gates, versioning, idempotency and compensation state. AI is used for unstructured extraction, ambiguity/conflict arbitration and controlled content regeneration.</w:t>
        <w:br/>
        <w:br/>
        <w:t>REQUIRED FIVE MOCK BACKEND SERVICES</w:t>
        <w:br/>
        <w:t>A. ERP / Material Master Mock: SKU, variant, supplier, lifecycle, price/inventory snapshot, source-of-truth semantics, supplier change events.</w:t>
        <w:br/>
        <w:t>B. PIM Mock: product attributes, versions, approval state, channel-ready product content.</w:t>
        <w:br/>
        <w:t>C. DAM Mock: PDFs, images, certificates, technical sheets, versions/checksums and asset relationships.</w:t>
        <w:br/>
        <w:t>D. Catalog + Lineage + Governance Mock: deterministic dependency graph, blast-radius relations, business/compliance rules and retrieval metadata/evidence.</w:t>
        <w:br/>
        <w:t>E. Channel / Publication Hub Mock: mock e-commerce, B2B and marketplace destinations with configurable success/failure behavior.</w:t>
        <w:br/>
        <w:t>Do not create separate microservices for product-age, audit, pricing, rollback or compliance unless you clearly justify why a separate deployment is essential; prefer modules inside the five mocks.</w:t>
        <w:br/>
        <w:br/>
        <w:t>REQUIRED AGENTS</w:t>
        <w:br/>
        <w:t>1. Triage &amp; Ingestion Agent — parse supplier payloads/PDFs, normalize changes, candidate SKU identification and confidence.</w:t>
        <w:br/>
        <w:t>2. Product Attribute &amp; Conflict Agent — compare old/new attributes, detect variant ambiguity, resolve conflicts from evidence and escalate low confidence.</w:t>
        <w:br/>
        <w:t>3. Blast Radius &amp; Lineage Agent — deterministic graph traversal to identify affected assets, content and channels and calculate impact.</w:t>
        <w:br/>
        <w:t>4. Product Content &amp; Localization Agent — regenerate only impacted content using retrieved brand/compliance context and produce before/after diff plus evidence.</w:t>
        <w:br/>
        <w:t>5. Compliance &amp; Publication Gatekeeper — deterministic validation, publish/review/reject decision, approval policy and safety checks.</w:t>
        <w:br/>
        <w:t>Assess whether a lifecycle/product-age capability should remain a deterministic service rather than an LLM agent. Do not add agents merely to increase the count.</w:t>
        <w:br/>
        <w:br/>
        <w:t>PROTOCOL RESPONSIBILITIES</w:t>
        <w:br/>
        <w:t>- LangGraph = workflow orchestration, state, checkpoints, conditional routing, retries and HITL interrupts.</w:t>
        <w:br/>
        <w:t>- A2A = agent-to-agent communication and Agent Cards. Define an Agent Card for each core agent.</w:t>
        <w:br/>
        <w:t>- MCP = controlled tool/data access to the five mock backend services. Use current Streamable HTTP MCP where practical.</w:t>
        <w:br/>
        <w:t>- Kafka = asynchronous event transport, fan-out, replay, failure and compensation events.</w:t>
        <w:br/>
        <w:t>- LiteLLM = model gateway for model abstraction, routing, fallback and cost/latency governance.</w:t>
        <w:br/>
        <w:t>Never imply that MCP replaces Kafka or that Kafka provides distributed 2PC across external backend systems. Use SAGA compensation + idempotency + version checks + transactional outbox where appropriate.</w:t>
        <w:br/>
        <w:br/>
        <w:t>KAFKA EVENT MODEL</w:t>
        <w:br/>
        <w:t>Define concrete event topics such as: product.change.requested, product.change.validated, product.conflict.detected, product.impact.calculated, product.content.regeneration.requested, product.approval.required, product.publication.requested, product.publication.succeeded, product.publication.failed, product.compensation.requested, product.compensation.completed and product.audit.</w:t>
        <w:br/>
        <w:t>For key events show event_id, change_id, correlation_id, workflow_id, product_id, sku, version, timestamp and idempotency key.</w:t>
        <w:br/>
        <w:br/>
        <w:t>MCP TOOL CONTRACT</w:t>
        <w:br/>
        <w:t>For each mock service define 3–6 representative MCP tools, for example: get_product, compare_versions, update_product, get_asset, create_asset_version, get_lineage, calculate_impact, validate_rules, publish_channel, restore_version. State which are read-only and which mutate state. Agents must never receive unrestricted database access.</w:t>
        <w:br/>
        <w:br/>
        <w:t>A2A / AGENT CARD CONTRACT</w:t>
        <w:br/>
        <w:t>For each agent define name, description, version, endpoint, capabilities, skills, input/output modes and security/interface metadata. Show one concise Agent Card example.</w:t>
        <w:br/>
        <w:br/>
        <w:t>LANGGRAPH STATE</w:t>
        <w:br/>
        <w:t>Define a shared state containing at minimum: workflow_id, correlation_id, product_id, sku, variant_id, source_document, extracted_changes, evidence, confidence, conflict_status, impact_graph, impacted_assets, impacted_channels, regenerated_content, validation_results, approval_status, publication_status, compensation_status and audit_events. Show the main DAG and conditional branches.</w:t>
        <w:br/>
        <w:br/>
        <w:t>HYBRID RAG</w:t>
        <w:br/>
        <w:t>Use BM25 + dense semantic retrieval. BM25 must be preferred for exact SKU, model, part number, product ID and hard specification matching. Dense retrieval is for brand tone, compliance standards, style guides and contextual documents. Use: Score(q,d) = alpha*S_BM25 + (1-alpha)*S_Dense. State an exact-match-wins rule for product identity when an exact identifier exists.</w:t>
        <w:br/>
        <w:br/>
        <w:t>LLM / LITEMLM</w:t>
        <w:br/>
        <w:t>Use LiteLLM as the model gateway. Prefer open models via Ollama, vLLM or equivalent. Route high-throughput extraction to a faster model and complex conflict/regulatory reasoning to a stronger model. Include fallback and cost/latency controls.</w:t>
        <w:br/>
        <w:br/>
        <w:t>MOCK DATA</w:t>
        <w:br/>
        <w:t>Provide realistic electronics data: product, variant, supplier, attribute, price, inventory snapshot, product version, DAM asset, content artifact, channel, dependency, change request, approval, publication and compensation records. Include AP-1001 and at least two variants.</w:t>
        <w:br/>
        <w:br/>
        <w:t>DEMO FLOW</w:t>
        <w:br/>
        <w:t>Show: supplier PDF -&gt; Kafka event -&gt; Triage -&gt; exact product match using deterministic/BM25 evidence -&gt; conflict detected -&gt; HITL where needed -&gt; blast radius -&gt; hybrid RAG -&gt; content regeneration -&gt; compliance gate -&gt; publication -&gt; simulated marketplace failure -&gt; Kafka failure event -&gt; SAGA compensation -&gt; restored versions -&gt; audit trail.</w:t>
        <w:br/>
        <w:br/>
        <w:t>BUILD ROADMAP</w:t>
        <w:br/>
        <w:t>Provide a 5-day build matrix for 5 team members. Roles: (1) LangGraph/A2A orchestration, (2) Kafka/MCP/SAGA integration, (3) LiteLLM/RAG, (4) mock data/services, (5) UI/HITL/demo. For each day specify deliverables, dependencies and acceptance criteria. Use: Day 1 skeleton + mock APIs; Day 2 agents/workflow; Day 3 Kafka/MCP/RAG integration; Day 4 full demo + failure recovery; Day 5 hardening + executive demo.</w:t>
        <w:br/>
        <w:br/>
        <w:t>MVP PRIORITIZATION</w:t>
        <w:br/>
        <w:t>Explicitly classify every component as MUST BUILD, SHOULD BUILD or FUTURE ENTERPRISE EXTENSION. Never recommend a component that cannot be justified within the five-day constraint.</w:t>
        <w:br/>
        <w:br/>
        <w:t>OUTPUT STRUCTURE — MAXIMUM 3 PAGES</w:t>
        <w:br/>
        <w:t>PAGE 1: Executive value, problem, deterministic vs agentic boundary, five-mock topology, technology stack, LiteLLM and Hybrid RAG.</w:t>
        <w:br/>
        <w:t>PAGE 2: Agent Cards, A2A, LangGraph DAG, MCP tool layer, Kafka event model, SAGA compensation and HITL/governance.</w:t>
        <w:br/>
        <w:t>PAGE 3: Day 1–5 team build matrix, end-to-end demo script, KPI/scorecard, risks/fallbacks and final architecture message.</w:t>
        <w:br/>
        <w:br/>
        <w:t>STYLE</w:t>
        <w:br/>
        <w:t>Use concise enterprise architecture language. Explain why each major technology is necessary. Do not use buzzwords without a concrete function. Show schemas, topic names, thresholds/formulas and build dependencies. Do not claim production KPIs; label estimates as illustrative MVP targets.</w:t>
        <w:br/>
        <w:br/>
        <w:t>FINAL ARCHITECTURE PRINCIPLE</w:t>
        <w:br/>
        <w:t>Deterministic systems own truth, policy and transactions. Agents own interpretation, reasoning and bounded generation. LangGraph owns workflow state. A2A owns agent interoperability. MCP owns controlled tool/data access. Kafka owns asynchronous events. SAGA owns compensation and recovery. LiteLLM owns model abstraction and routing.</w:t>
      </w:r>
    </w:p>
    <w:p>
      <w:pPr>
        <w:sectPr>
          <w:pgSz w:w="12240" w:h="15840"/>
          <w:pgMar w:top="792" w:right="936" w:bottom="792" w:left="936" w:header="720" w:footer="720" w:gutter="0"/>
          <w:cols w:space="720"/>
          <w:docGrid w:linePitch="360"/>
        </w:sectPr>
      </w:pPr>
    </w:p>
    <w:p>
      <w:pPr>
        <w:pStyle w:val="Heading1"/>
      </w:pPr>
      <w:r>
        <w:t>7. Phase-Wise Build Blueprint (What to Build When)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center"/>
            <w:shd w:fill="0B2545"/>
          </w:tcPr>
          <w:p>
            <w:pPr>
              <w:spacing w:after="0" w:before="0"/>
            </w:pPr>
            <w:r/>
            <w:r>
              <w:rPr>
                <w:rFonts w:ascii="Aptos" w:hAnsi="Aptos"/>
                <w:b/>
                <w:color w:val="FFFFFF"/>
                <w:sz w:val="15"/>
              </w:rPr>
              <w:t>Stage</w:t>
            </w:r>
          </w:p>
        </w:tc>
        <w:tc>
          <w:tcPr>
            <w:tcW w:type="dxa" w:w="1584"/>
            <w:vAlign w:val="center"/>
            <w:shd w:fill="0B2545"/>
          </w:tcPr>
          <w:p>
            <w:pPr>
              <w:spacing w:after="0" w:before="0"/>
            </w:pPr>
            <w:r/>
            <w:r>
              <w:rPr>
                <w:rFonts w:ascii="Aptos" w:hAnsi="Aptos"/>
                <w:b/>
                <w:color w:val="FFFFFF"/>
                <w:sz w:val="15"/>
              </w:rPr>
              <w:t>Goal</w:t>
            </w:r>
          </w:p>
        </w:tc>
        <w:tc>
          <w:tcPr>
            <w:tcW w:type="dxa" w:w="4320"/>
            <w:vAlign w:val="center"/>
            <w:shd w:fill="0B2545"/>
          </w:tcPr>
          <w:p>
            <w:pPr>
              <w:spacing w:after="0" w:before="0"/>
            </w:pPr>
            <w:r/>
            <w:r>
              <w:rPr>
                <w:rFonts w:ascii="Aptos" w:hAnsi="Aptos"/>
                <w:b/>
                <w:color w:val="FFFFFF"/>
                <w:sz w:val="15"/>
              </w:rPr>
              <w:t>Key build items</w:t>
            </w:r>
          </w:p>
        </w:tc>
        <w:tc>
          <w:tcPr>
            <w:tcW w:type="dxa" w:w="1656"/>
            <w:vAlign w:val="center"/>
            <w:shd w:fill="0B2545"/>
          </w:tcPr>
          <w:p>
            <w:pPr>
              <w:spacing w:after="0" w:before="0"/>
            </w:pPr>
            <w:r/>
            <w:r>
              <w:rPr>
                <w:rFonts w:ascii="Aptos" w:hAnsi="Aptos"/>
                <w:b/>
                <w:color w:val="FFFFFF"/>
                <w:sz w:val="15"/>
              </w:rPr>
              <w:t>Primary owner</w:t>
            </w:r>
          </w:p>
        </w:tc>
        <w:tc>
          <w:tcPr>
            <w:tcW w:type="dxa" w:w="2160"/>
            <w:vAlign w:val="center"/>
            <w:shd w:fill="0B2545"/>
          </w:tcPr>
          <w:p>
            <w:pPr>
              <w:spacing w:after="0" w:before="0"/>
            </w:pPr>
            <w:r/>
            <w:r>
              <w:rPr>
                <w:rFonts w:ascii="Aptos" w:hAnsi="Aptos"/>
                <w:b/>
                <w:color w:val="FFFFFF"/>
                <w:sz w:val="15"/>
              </w:rPr>
              <w:t>Acceptance</w:t>
            </w:r>
          </w:p>
        </w:tc>
      </w:tr>
      <w:tr>
        <w:tc>
          <w:tcPr>
            <w:tcW w:type="dxa" w:w="1080"/>
            <w:vAlign w:val="center"/>
            <w:shd w:fill="F7F9FB"/>
          </w:tcPr>
          <w:p>
            <w:pPr>
              <w:spacing w:after="0" w:before="0"/>
            </w:pPr>
            <w:r/>
            <w:r>
              <w:rPr>
                <w:rFonts w:ascii="Aptos" w:hAnsi="Aptos"/>
                <w:b w:val="0"/>
                <w:sz w:val="15"/>
              </w:rPr>
              <w:t>Phase 0</w:t>
            </w:r>
          </w:p>
        </w:tc>
        <w:tc>
          <w:tcPr>
            <w:tcW w:type="dxa" w:w="1584"/>
            <w:vAlign w:val="center"/>
            <w:shd w:fill="F7F9FB"/>
          </w:tcPr>
          <w:p>
            <w:pPr>
              <w:spacing w:after="0" w:before="0"/>
            </w:pPr>
            <w:r/>
            <w:r>
              <w:rPr>
                <w:rFonts w:ascii="Aptos" w:hAnsi="Aptos"/>
                <w:b w:val="0"/>
                <w:sz w:val="15"/>
              </w:rPr>
              <w:t>Architecture contract</w:t>
            </w:r>
          </w:p>
        </w:tc>
        <w:tc>
          <w:tcPr>
            <w:tcW w:type="dxa" w:w="4320"/>
            <w:vAlign w:val="center"/>
            <w:shd w:fill="F7F9FB"/>
          </w:tcPr>
          <w:p>
            <w:pPr>
              <w:spacing w:after="0" w:before="0"/>
            </w:pPr>
            <w:r/>
            <w:r>
              <w:rPr>
                <w:rFonts w:ascii="Aptos" w:hAnsi="Aptos"/>
                <w:b w:val="0"/>
                <w:sz w:val="15"/>
              </w:rPr>
              <w:t>Freeze domain model, events, agent boundaries, MCP tool contracts, repo structure.</w:t>
            </w:r>
          </w:p>
        </w:tc>
        <w:tc>
          <w:tcPr>
            <w:tcW w:type="dxa" w:w="1656"/>
            <w:vAlign w:val="center"/>
            <w:shd w:fill="F7F9FB"/>
          </w:tcPr>
          <w:p>
            <w:pPr>
              <w:spacing w:after="0" w:before="0"/>
            </w:pPr>
            <w:r/>
            <w:r>
              <w:rPr>
                <w:rFonts w:ascii="Aptos" w:hAnsi="Aptos"/>
                <w:b w:val="0"/>
                <w:sz w:val="15"/>
              </w:rPr>
              <w:t>All</w:t>
            </w:r>
          </w:p>
        </w:tc>
        <w:tc>
          <w:tcPr>
            <w:tcW w:type="dxa" w:w="2160"/>
            <w:vAlign w:val="center"/>
            <w:shd w:fill="F7F9FB"/>
          </w:tcPr>
          <w:p>
            <w:pPr>
              <w:spacing w:after="0" w:before="0"/>
            </w:pPr>
            <w:r/>
            <w:r>
              <w:rPr>
                <w:rFonts w:ascii="Aptos" w:hAnsi="Aptos"/>
                <w:b w:val="0"/>
                <w:sz w:val="15"/>
              </w:rPr>
              <w:t>Accepted contracts + skeleton repo</w:t>
            </w:r>
          </w:p>
        </w:tc>
      </w:tr>
      <w:tr>
        <w:tc>
          <w:tcPr>
            <w:tcW w:type="dxa" w:w="1080"/>
            <w:vAlign w:val="center"/>
          </w:tcPr>
          <w:p>
            <w:pPr>
              <w:spacing w:after="0" w:before="0"/>
            </w:pPr>
            <w:r/>
            <w:r>
              <w:rPr>
                <w:rFonts w:ascii="Aptos" w:hAnsi="Aptos"/>
                <w:b w:val="0"/>
                <w:sz w:val="15"/>
              </w:rPr>
              <w:t>Day 1</w:t>
            </w:r>
          </w:p>
        </w:tc>
        <w:tc>
          <w:tcPr>
            <w:tcW w:type="dxa" w:w="1584"/>
            <w:vAlign w:val="center"/>
          </w:tcPr>
          <w:p>
            <w:pPr>
              <w:spacing w:after="0" w:before="0"/>
            </w:pPr>
            <w:r/>
            <w:r>
              <w:rPr>
                <w:rFonts w:ascii="Aptos" w:hAnsi="Aptos"/>
                <w:b w:val="0"/>
                <w:sz w:val="15"/>
              </w:rPr>
              <w:t>Foundation</w:t>
            </w:r>
          </w:p>
        </w:tc>
        <w:tc>
          <w:tcPr>
            <w:tcW w:type="dxa" w:w="4320"/>
            <w:vAlign w:val="center"/>
          </w:tcPr>
          <w:p>
            <w:pPr>
              <w:spacing w:after="0" w:before="0"/>
            </w:pPr>
            <w:r/>
            <w:r>
              <w:rPr>
                <w:rFonts w:ascii="Aptos" w:hAnsi="Aptos"/>
                <w:b w:val="0"/>
                <w:sz w:val="15"/>
              </w:rPr>
              <w:t>Stand up 5 FastAPI mocks; seed electronics data; basic UI; Kafka; shared Pydantic schemas.</w:t>
            </w:r>
          </w:p>
        </w:tc>
        <w:tc>
          <w:tcPr>
            <w:tcW w:type="dxa" w:w="1656"/>
            <w:vAlign w:val="center"/>
          </w:tcPr>
          <w:p>
            <w:pPr>
              <w:spacing w:after="0" w:before="0"/>
            </w:pPr>
            <w:r/>
            <w:r>
              <w:rPr>
                <w:rFonts w:ascii="Aptos" w:hAnsi="Aptos"/>
                <w:b w:val="0"/>
                <w:sz w:val="15"/>
              </w:rPr>
              <w:t>Mock/Data + Event + UI</w:t>
            </w:r>
          </w:p>
        </w:tc>
        <w:tc>
          <w:tcPr>
            <w:tcW w:type="dxa" w:w="2160"/>
            <w:vAlign w:val="center"/>
          </w:tcPr>
          <w:p>
            <w:pPr>
              <w:spacing w:after="0" w:before="0"/>
            </w:pPr>
            <w:r/>
            <w:r>
              <w:rPr>
                <w:rFonts w:ascii="Aptos" w:hAnsi="Aptos"/>
                <w:b w:val="0"/>
                <w:sz w:val="15"/>
              </w:rPr>
              <w:t>Can query ERP/PIM/DAM and publish one change event</w:t>
            </w:r>
          </w:p>
        </w:tc>
      </w:tr>
      <w:tr>
        <w:tc>
          <w:tcPr>
            <w:tcW w:type="dxa" w:w="1080"/>
            <w:vAlign w:val="center"/>
            <w:shd w:fill="F7F9FB"/>
          </w:tcPr>
          <w:p>
            <w:pPr>
              <w:spacing w:after="0" w:before="0"/>
            </w:pPr>
            <w:r/>
            <w:r>
              <w:rPr>
                <w:rFonts w:ascii="Aptos" w:hAnsi="Aptos"/>
                <w:b w:val="0"/>
                <w:sz w:val="15"/>
              </w:rPr>
              <w:t>Day 2</w:t>
            </w:r>
          </w:p>
        </w:tc>
        <w:tc>
          <w:tcPr>
            <w:tcW w:type="dxa" w:w="1584"/>
            <w:vAlign w:val="center"/>
            <w:shd w:fill="F7F9FB"/>
          </w:tcPr>
          <w:p>
            <w:pPr>
              <w:spacing w:after="0" w:before="0"/>
            </w:pPr>
            <w:r/>
            <w:r>
              <w:rPr>
                <w:rFonts w:ascii="Aptos" w:hAnsi="Aptos"/>
                <w:b w:val="0"/>
                <w:sz w:val="15"/>
              </w:rPr>
              <w:t>Agentic core</w:t>
            </w:r>
          </w:p>
        </w:tc>
        <w:tc>
          <w:tcPr>
            <w:tcW w:type="dxa" w:w="4320"/>
            <w:vAlign w:val="center"/>
            <w:shd w:fill="F7F9FB"/>
          </w:tcPr>
          <w:p>
            <w:pPr>
              <w:spacing w:after="0" w:before="0"/>
            </w:pPr>
            <w:r/>
            <w:r>
              <w:rPr>
                <w:rFonts w:ascii="Aptos" w:hAnsi="Aptos"/>
                <w:b w:val="0"/>
                <w:sz w:val="15"/>
              </w:rPr>
              <w:t>Build 5 agents, LangGraph state graph, A2A messages/Agent Cards, basic LiteLLM integration.</w:t>
            </w:r>
          </w:p>
        </w:tc>
        <w:tc>
          <w:tcPr>
            <w:tcW w:type="dxa" w:w="1656"/>
            <w:vAlign w:val="center"/>
            <w:shd w:fill="F7F9FB"/>
          </w:tcPr>
          <w:p>
            <w:pPr>
              <w:spacing w:after="0" w:before="0"/>
            </w:pPr>
            <w:r/>
            <w:r>
              <w:rPr>
                <w:rFonts w:ascii="Aptos" w:hAnsi="Aptos"/>
                <w:b w:val="0"/>
                <w:sz w:val="15"/>
              </w:rPr>
              <w:t>Orchestration + AI</w:t>
            </w:r>
          </w:p>
        </w:tc>
        <w:tc>
          <w:tcPr>
            <w:tcW w:type="dxa" w:w="2160"/>
            <w:vAlign w:val="center"/>
            <w:shd w:fill="F7F9FB"/>
          </w:tcPr>
          <w:p>
            <w:pPr>
              <w:spacing w:after="0" w:before="0"/>
            </w:pPr>
            <w:r/>
            <w:r>
              <w:rPr>
                <w:rFonts w:ascii="Aptos" w:hAnsi="Aptos"/>
                <w:b w:val="0"/>
                <w:sz w:val="15"/>
              </w:rPr>
              <w:t>One change travels from ingestion to validation</w:t>
            </w:r>
          </w:p>
        </w:tc>
      </w:tr>
      <w:tr>
        <w:tc>
          <w:tcPr>
            <w:tcW w:type="dxa" w:w="1080"/>
            <w:vAlign w:val="center"/>
          </w:tcPr>
          <w:p>
            <w:pPr>
              <w:spacing w:after="0" w:before="0"/>
            </w:pPr>
            <w:r/>
            <w:r>
              <w:rPr>
                <w:rFonts w:ascii="Aptos" w:hAnsi="Aptos"/>
                <w:b w:val="0"/>
                <w:sz w:val="15"/>
              </w:rPr>
              <w:t>Day 3</w:t>
            </w:r>
          </w:p>
        </w:tc>
        <w:tc>
          <w:tcPr>
            <w:tcW w:type="dxa" w:w="1584"/>
            <w:vAlign w:val="center"/>
          </w:tcPr>
          <w:p>
            <w:pPr>
              <w:spacing w:after="0" w:before="0"/>
            </w:pPr>
            <w:r/>
            <w:r>
              <w:rPr>
                <w:rFonts w:ascii="Aptos" w:hAnsi="Aptos"/>
                <w:b w:val="0"/>
                <w:sz w:val="15"/>
              </w:rPr>
              <w:t>Integration intelligence</w:t>
            </w:r>
          </w:p>
        </w:tc>
        <w:tc>
          <w:tcPr>
            <w:tcW w:type="dxa" w:w="4320"/>
            <w:vAlign w:val="center"/>
          </w:tcPr>
          <w:p>
            <w:pPr>
              <w:spacing w:after="0" w:before="0"/>
            </w:pPr>
            <w:r/>
            <w:r>
              <w:rPr>
                <w:rFonts w:ascii="Aptos" w:hAnsi="Aptos"/>
                <w:b w:val="0"/>
                <w:sz w:val="15"/>
              </w:rPr>
              <w:t>Add MCP tools, Kafka consumers/producers, Hybrid RAG, blast-radius graph, evidence/provenance.</w:t>
            </w:r>
          </w:p>
        </w:tc>
        <w:tc>
          <w:tcPr>
            <w:tcW w:type="dxa" w:w="1656"/>
            <w:vAlign w:val="center"/>
          </w:tcPr>
          <w:p>
            <w:pPr>
              <w:spacing w:after="0" w:before="0"/>
            </w:pPr>
            <w:r/>
            <w:r>
              <w:rPr>
                <w:rFonts w:ascii="Aptos" w:hAnsi="Aptos"/>
                <w:b w:val="0"/>
                <w:sz w:val="15"/>
              </w:rPr>
              <w:t>Event + AI + Catalog</w:t>
            </w:r>
          </w:p>
        </w:tc>
        <w:tc>
          <w:tcPr>
            <w:tcW w:type="dxa" w:w="2160"/>
            <w:vAlign w:val="center"/>
          </w:tcPr>
          <w:p>
            <w:pPr>
              <w:spacing w:after="0" w:before="0"/>
            </w:pPr>
            <w:r/>
            <w:r>
              <w:rPr>
                <w:rFonts w:ascii="Aptos" w:hAnsi="Aptos"/>
                <w:b w:val="0"/>
                <w:sz w:val="15"/>
              </w:rPr>
              <w:t>Impact and generated content work end-to-end</w:t>
            </w:r>
          </w:p>
        </w:tc>
      </w:tr>
      <w:tr>
        <w:tc>
          <w:tcPr>
            <w:tcW w:type="dxa" w:w="1080"/>
            <w:vAlign w:val="center"/>
            <w:shd w:fill="F7F9FB"/>
          </w:tcPr>
          <w:p>
            <w:pPr>
              <w:spacing w:after="0" w:before="0"/>
            </w:pPr>
            <w:r/>
            <w:r>
              <w:rPr>
                <w:rFonts w:ascii="Aptos" w:hAnsi="Aptos"/>
                <w:b w:val="0"/>
                <w:sz w:val="15"/>
              </w:rPr>
              <w:t>Day 4</w:t>
            </w:r>
          </w:p>
        </w:tc>
        <w:tc>
          <w:tcPr>
            <w:tcW w:type="dxa" w:w="1584"/>
            <w:vAlign w:val="center"/>
            <w:shd w:fill="F7F9FB"/>
          </w:tcPr>
          <w:p>
            <w:pPr>
              <w:spacing w:after="0" w:before="0"/>
            </w:pPr>
            <w:r/>
            <w:r>
              <w:rPr>
                <w:rFonts w:ascii="Aptos" w:hAnsi="Aptos"/>
                <w:b w:val="0"/>
                <w:sz w:val="15"/>
              </w:rPr>
              <w:t>Resilience</w:t>
            </w:r>
          </w:p>
        </w:tc>
        <w:tc>
          <w:tcPr>
            <w:tcW w:type="dxa" w:w="4320"/>
            <w:vAlign w:val="center"/>
            <w:shd w:fill="F7F9FB"/>
          </w:tcPr>
          <w:p>
            <w:pPr>
              <w:spacing w:after="0" w:before="0"/>
            </w:pPr>
            <w:r/>
            <w:r>
              <w:rPr>
                <w:rFonts w:ascii="Aptos" w:hAnsi="Aptos"/>
                <w:b w:val="0"/>
                <w:sz w:val="15"/>
              </w:rPr>
              <w:t>Add publication simulation, failure injection, SAGA compensation, idempotency, version restore, HITL.</w:t>
            </w:r>
          </w:p>
        </w:tc>
        <w:tc>
          <w:tcPr>
            <w:tcW w:type="dxa" w:w="1656"/>
            <w:vAlign w:val="center"/>
            <w:shd w:fill="F7F9FB"/>
          </w:tcPr>
          <w:p>
            <w:pPr>
              <w:spacing w:after="0" w:before="0"/>
            </w:pPr>
            <w:r/>
            <w:r>
              <w:rPr>
                <w:rFonts w:ascii="Aptos" w:hAnsi="Aptos"/>
                <w:b w:val="0"/>
                <w:sz w:val="15"/>
              </w:rPr>
              <w:t>Event + Orchestration</w:t>
            </w:r>
          </w:p>
        </w:tc>
        <w:tc>
          <w:tcPr>
            <w:tcW w:type="dxa" w:w="2160"/>
            <w:vAlign w:val="center"/>
            <w:shd w:fill="F7F9FB"/>
          </w:tcPr>
          <w:p>
            <w:pPr>
              <w:spacing w:after="0" w:before="0"/>
            </w:pPr>
            <w:r/>
            <w:r>
              <w:rPr>
                <w:rFonts w:ascii="Aptos" w:hAnsi="Aptos"/>
                <w:b w:val="0"/>
                <w:sz w:val="15"/>
              </w:rPr>
              <w:t>Failure causes controlled recovery</w:t>
            </w:r>
          </w:p>
        </w:tc>
      </w:tr>
      <w:tr>
        <w:tc>
          <w:tcPr>
            <w:tcW w:type="dxa" w:w="1080"/>
            <w:vAlign w:val="center"/>
          </w:tcPr>
          <w:p>
            <w:pPr>
              <w:spacing w:after="0" w:before="0"/>
            </w:pPr>
            <w:r/>
            <w:r>
              <w:rPr>
                <w:rFonts w:ascii="Aptos" w:hAnsi="Aptos"/>
                <w:b w:val="0"/>
                <w:sz w:val="15"/>
              </w:rPr>
              <w:t>Day 5</w:t>
            </w:r>
          </w:p>
        </w:tc>
        <w:tc>
          <w:tcPr>
            <w:tcW w:type="dxa" w:w="1584"/>
            <w:vAlign w:val="center"/>
          </w:tcPr>
          <w:p>
            <w:pPr>
              <w:spacing w:after="0" w:before="0"/>
            </w:pPr>
            <w:r/>
            <w:r>
              <w:rPr>
                <w:rFonts w:ascii="Aptos" w:hAnsi="Aptos"/>
                <w:b w:val="0"/>
                <w:sz w:val="15"/>
              </w:rPr>
              <w:t>Executive hardening</w:t>
            </w:r>
          </w:p>
        </w:tc>
        <w:tc>
          <w:tcPr>
            <w:tcW w:type="dxa" w:w="4320"/>
            <w:vAlign w:val="center"/>
          </w:tcPr>
          <w:p>
            <w:pPr>
              <w:spacing w:after="0" w:before="0"/>
            </w:pPr>
            <w:r/>
            <w:r>
              <w:rPr>
                <w:rFonts w:ascii="Aptos" w:hAnsi="Aptos"/>
                <w:b w:val="0"/>
                <w:sz w:val="15"/>
              </w:rPr>
              <w:t>Observability, demo dataset, UI polish, scripts, latency/cost display, rehearsal, fallback mode.</w:t>
            </w:r>
          </w:p>
        </w:tc>
        <w:tc>
          <w:tcPr>
            <w:tcW w:type="dxa" w:w="1656"/>
            <w:vAlign w:val="center"/>
          </w:tcPr>
          <w:p>
            <w:pPr>
              <w:spacing w:after="0" w:before="0"/>
            </w:pPr>
            <w:r/>
            <w:r>
              <w:rPr>
                <w:rFonts w:ascii="Aptos" w:hAnsi="Aptos"/>
                <w:b w:val="0"/>
                <w:sz w:val="15"/>
              </w:rPr>
              <w:t>All</w:t>
            </w:r>
          </w:p>
        </w:tc>
        <w:tc>
          <w:tcPr>
            <w:tcW w:type="dxa" w:w="2160"/>
            <w:vAlign w:val="center"/>
          </w:tcPr>
          <w:p>
            <w:pPr>
              <w:spacing w:after="0" w:before="0"/>
            </w:pPr>
            <w:r/>
            <w:r>
              <w:rPr>
                <w:rFonts w:ascii="Aptos" w:hAnsi="Aptos"/>
                <w:b w:val="0"/>
                <w:sz w:val="15"/>
              </w:rPr>
              <w:t>5-minute deterministic demo works offline/local</w:t>
            </w:r>
          </w:p>
        </w:tc>
      </w:tr>
    </w:tbl>
    <w:p>
      <w:pPr>
        <w:spacing w:after="40"/>
      </w:pP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Golden path  </w:t>
            </w:r>
            <w:r>
              <w:rPr>
                <w:sz w:val="18"/>
              </w:rPr>
              <w:t>Do not start with agents. Start with the five mocks + schemas + one Kafka event + one end-to-end deterministic change path. Then add agents and RAG where they create value.</w:t>
            </w:r>
          </w:p>
        </w:tc>
      </w:tr>
    </w:tbl>
    <w:p>
      <w:pPr>
        <w:spacing w:after="20"/>
      </w:pPr>
    </w:p>
    <w:p>
      <w:pPr>
        <w:pStyle w:val="Heading1"/>
      </w:pPr>
      <w:r>
        <w:t>8. Repository Shape for the MVP</w:t>
      </w:r>
    </w:p>
    <w:p>
      <w:pPr>
        <w:spacing w:after="80"/>
        <w:ind w:left="173"/>
      </w:pPr>
      <w:r>
        <w:rPr>
          <w:rFonts w:ascii="Courier New" w:hAnsi="Courier New"/>
          <w:sz w:val="16"/>
        </w:rPr>
        <w:t>uc05-product-intelligence/</w:t>
        <w:br/>
        <w:t xml:space="preserve">  apps/</w:t>
        <w:br/>
        <w:t xml:space="preserve">    gateway/             # FastAPI ingress + demo APIs</w:t>
        <w:br/>
        <w:t xml:space="preserve">    agents/</w:t>
        <w:br/>
        <w:t xml:space="preserve">      triage/</w:t>
        <w:br/>
        <w:t xml:space="preserve">      conflict/</w:t>
        <w:br/>
        <w:t xml:space="preserve">      blast_radius/</w:t>
        <w:br/>
        <w:t xml:space="preserve">      content/</w:t>
        <w:br/>
        <w:t xml:space="preserve">      compliance/</w:t>
        <w:br/>
        <w:t xml:space="preserve">    workflow/             # LangGraph state + checkpoints</w:t>
        <w:br/>
        <w:t xml:space="preserve">    ui/                   # React executive/HITL dashboard</w:t>
        <w:br/>
        <w:t xml:space="preserve">  mocks/</w:t>
        <w:br/>
        <w:t xml:space="preserve">    erp/                  # FastAPI ERP/Material Master</w:t>
        <w:br/>
        <w:t xml:space="preserve">    pim/                  # FastAPI PIM</w:t>
        <w:br/>
        <w:t xml:space="preserve">    dam/                  # FastAPI DAM</w:t>
        <w:br/>
        <w:t xml:space="preserve">    catalog/              # FastAPI lineage + rules + retrieval</w:t>
        <w:br/>
        <w:t xml:space="preserve">    channels/             # FastAPI publication hub</w:t>
        <w:br/>
        <w:t xml:space="preserve">  mcp/</w:t>
        <w:br/>
        <w:t xml:space="preserve">    erp_server/</w:t>
        <w:br/>
        <w:t xml:space="preserve">    pim_server/</w:t>
        <w:br/>
        <w:t xml:space="preserve">    dam_server/</w:t>
        <w:br/>
        <w:t xml:space="preserve">    catalog_server/</w:t>
        <w:br/>
        <w:t xml:space="preserve">    channel_server/</w:t>
        <w:br/>
        <w:t xml:space="preserve">  infra/</w:t>
        <w:br/>
        <w:t xml:space="preserve">    kafka/                # native Kafka config/scripts</w:t>
        <w:br/>
        <w:t xml:space="preserve">    litellm/</w:t>
        <w:br/>
        <w:t xml:space="preserve">  data/</w:t>
        <w:br/>
        <w:t xml:space="preserve">    electronics/         # JSON/PDF/mock assets</w:t>
        <w:br/>
        <w:t xml:space="preserve">  schemas/</w:t>
        <w:br/>
        <w:t xml:space="preserve">    events/</w:t>
        <w:br/>
        <w:t xml:space="preserve">    a2a/</w:t>
        <w:br/>
        <w:t xml:space="preserve">    models/</w:t>
        <w:br/>
        <w:t xml:space="preserve">  tests/</w:t>
        <w:br/>
        <w:t xml:space="preserve">  scripts/</w:t>
        <w:br/>
        <w:t xml:space="preserve">    start_all.sh</w:t>
      </w:r>
    </w:p>
    <w:p>
      <w:pPr>
        <w:pStyle w:val="Heading1"/>
      </w:pPr>
      <w:r>
        <w:t>9. C-Suite Demo Storyboard</w:t>
      </w:r>
    </w:p>
    <w:tbl>
      <w:tblPr>
        <w:tblStyle w:val="TableGrid"/>
        <w:tblW w:type="auto" w:w="0"/>
        <w:jc w:val="center"/>
        <w:tblLook w:firstColumn="1" w:firstRow="1" w:lastColumn="0" w:lastRow="0" w:noHBand="0" w:noVBand="1" w:val="04A0"/>
      </w:tblPr>
      <w:tblGrid>
        <w:gridCol w:w="3456"/>
        <w:gridCol w:w="3456"/>
        <w:gridCol w:w="3456"/>
      </w:tblGrid>
      <w:tr>
        <w:tc>
          <w:tcPr>
            <w:tcW w:type="dxa" w:w="1080"/>
            <w:vAlign w:val="center"/>
            <w:shd w:fill="0B2545"/>
          </w:tcPr>
          <w:p>
            <w:pPr>
              <w:spacing w:after="0" w:before="0"/>
            </w:pPr>
            <w:r/>
            <w:r>
              <w:rPr>
                <w:rFonts w:ascii="Aptos" w:hAnsi="Aptos"/>
                <w:b/>
                <w:color w:val="FFFFFF"/>
                <w:sz w:val="16"/>
              </w:rPr>
              <w:t>Step</w:t>
            </w:r>
          </w:p>
        </w:tc>
        <w:tc>
          <w:tcPr>
            <w:tcW w:type="dxa" w:w="4320"/>
            <w:vAlign w:val="center"/>
            <w:shd w:fill="0B2545"/>
          </w:tcPr>
          <w:p>
            <w:pPr>
              <w:spacing w:after="0" w:before="0"/>
            </w:pPr>
            <w:r/>
            <w:r>
              <w:rPr>
                <w:rFonts w:ascii="Aptos" w:hAnsi="Aptos"/>
                <w:b/>
                <w:color w:val="FFFFFF"/>
                <w:sz w:val="16"/>
              </w:rPr>
              <w:t>What judges see</w:t>
            </w:r>
          </w:p>
        </w:tc>
        <w:tc>
          <w:tcPr>
            <w:tcW w:type="dxa" w:w="3888"/>
            <w:vAlign w:val="center"/>
            <w:shd w:fill="0B2545"/>
          </w:tcPr>
          <w:p>
            <w:pPr>
              <w:spacing w:after="0" w:before="0"/>
            </w:pPr>
            <w:r/>
            <w:r>
              <w:rPr>
                <w:rFonts w:ascii="Aptos" w:hAnsi="Aptos"/>
                <w:b/>
                <w:color w:val="FFFFFF"/>
                <w:sz w:val="16"/>
              </w:rPr>
              <w:t>Proof point</w:t>
            </w:r>
          </w:p>
        </w:tc>
      </w:tr>
      <w:tr>
        <w:tc>
          <w:tcPr>
            <w:tcW w:type="dxa" w:w="1080"/>
            <w:vAlign w:val="center"/>
            <w:shd w:fill="F7F9FB"/>
          </w:tcPr>
          <w:p>
            <w:pPr>
              <w:spacing w:after="0" w:before="0"/>
            </w:pPr>
            <w:r/>
            <w:r>
              <w:rPr>
                <w:rFonts w:ascii="Aptos" w:hAnsi="Aptos"/>
                <w:b w:val="0"/>
                <w:sz w:val="16"/>
              </w:rPr>
              <w:t>1. Detect</w:t>
            </w:r>
          </w:p>
        </w:tc>
        <w:tc>
          <w:tcPr>
            <w:tcW w:type="dxa" w:w="4320"/>
            <w:vAlign w:val="center"/>
            <w:shd w:fill="F7F9FB"/>
          </w:tcPr>
          <w:p>
            <w:pPr>
              <w:spacing w:after="0" w:before="0"/>
            </w:pPr>
            <w:r/>
            <w:r>
              <w:rPr>
                <w:rFonts w:ascii="Aptos" w:hAnsi="Aptos"/>
                <w:b w:val="0"/>
                <w:sz w:val="16"/>
              </w:rPr>
              <w:t>Supplier uploads corrected electronics specification.</w:t>
            </w:r>
          </w:p>
        </w:tc>
        <w:tc>
          <w:tcPr>
            <w:tcW w:type="dxa" w:w="3888"/>
            <w:vAlign w:val="center"/>
            <w:shd w:fill="F7F9FB"/>
          </w:tcPr>
          <w:p>
            <w:pPr>
              <w:spacing w:after="0" w:before="0"/>
            </w:pPr>
            <w:r/>
            <w:r>
              <w:rPr>
                <w:rFonts w:ascii="Aptos" w:hAnsi="Aptos"/>
                <w:b w:val="0"/>
                <w:sz w:val="16"/>
              </w:rPr>
              <w:t>Kafka event visible; source evidence linked.</w:t>
            </w:r>
          </w:p>
        </w:tc>
      </w:tr>
      <w:tr>
        <w:tc>
          <w:tcPr>
            <w:tcW w:type="dxa" w:w="1080"/>
            <w:vAlign w:val="center"/>
          </w:tcPr>
          <w:p>
            <w:pPr>
              <w:spacing w:after="0" w:before="0"/>
            </w:pPr>
            <w:r/>
            <w:r>
              <w:rPr>
                <w:rFonts w:ascii="Aptos" w:hAnsi="Aptos"/>
                <w:b w:val="0"/>
                <w:sz w:val="16"/>
              </w:rPr>
              <w:t>2. Understand</w:t>
            </w:r>
          </w:p>
        </w:tc>
        <w:tc>
          <w:tcPr>
            <w:tcW w:type="dxa" w:w="4320"/>
            <w:vAlign w:val="center"/>
          </w:tcPr>
          <w:p>
            <w:pPr>
              <w:spacing w:after="0" w:before="0"/>
            </w:pPr>
            <w:r/>
            <w:r>
              <w:rPr>
                <w:rFonts w:ascii="Aptos" w:hAnsi="Aptos"/>
                <w:b w:val="0"/>
                <w:sz w:val="16"/>
              </w:rPr>
              <w:t>Triage extracts 45W -&gt; 65W and candidate SKU.</w:t>
            </w:r>
          </w:p>
        </w:tc>
        <w:tc>
          <w:tcPr>
            <w:tcW w:type="dxa" w:w="3888"/>
            <w:vAlign w:val="center"/>
          </w:tcPr>
          <w:p>
            <w:pPr>
              <w:spacing w:after="0" w:before="0"/>
            </w:pPr>
            <w:r/>
            <w:r>
              <w:rPr>
                <w:rFonts w:ascii="Aptos" w:hAnsi="Aptos"/>
                <w:b w:val="0"/>
                <w:sz w:val="16"/>
              </w:rPr>
              <w:t>Exact SKU match shown with evidence/confidence.</w:t>
            </w:r>
          </w:p>
        </w:tc>
      </w:tr>
      <w:tr>
        <w:tc>
          <w:tcPr>
            <w:tcW w:type="dxa" w:w="1080"/>
            <w:vAlign w:val="center"/>
            <w:shd w:fill="F7F9FB"/>
          </w:tcPr>
          <w:p>
            <w:pPr>
              <w:spacing w:after="0" w:before="0"/>
            </w:pPr>
            <w:r/>
            <w:r>
              <w:rPr>
                <w:rFonts w:ascii="Aptos" w:hAnsi="Aptos"/>
                <w:b w:val="0"/>
                <w:sz w:val="16"/>
              </w:rPr>
              <w:t>3. Assess</w:t>
            </w:r>
          </w:p>
        </w:tc>
        <w:tc>
          <w:tcPr>
            <w:tcW w:type="dxa" w:w="4320"/>
            <w:vAlign w:val="center"/>
            <w:shd w:fill="F7F9FB"/>
          </w:tcPr>
          <w:p>
            <w:pPr>
              <w:spacing w:after="0" w:before="0"/>
            </w:pPr>
            <w:r/>
            <w:r>
              <w:rPr>
                <w:rFonts w:ascii="Aptos" w:hAnsi="Aptos"/>
                <w:b w:val="0"/>
                <w:sz w:val="16"/>
              </w:rPr>
              <w:t>Conflict + Blast Radius identify related variant and affected endpoints.</w:t>
            </w:r>
          </w:p>
        </w:tc>
        <w:tc>
          <w:tcPr>
            <w:tcW w:type="dxa" w:w="3888"/>
            <w:vAlign w:val="center"/>
            <w:shd w:fill="F7F9FB"/>
          </w:tcPr>
          <w:p>
            <w:pPr>
              <w:spacing w:after="0" w:before="0"/>
            </w:pPr>
            <w:r/>
            <w:r>
              <w:rPr>
                <w:rFonts w:ascii="Aptos" w:hAnsi="Aptos"/>
                <w:b w:val="0"/>
                <w:sz w:val="16"/>
              </w:rPr>
              <w:t>Impact graph shows dependencies.</w:t>
            </w:r>
          </w:p>
        </w:tc>
      </w:tr>
      <w:tr>
        <w:tc>
          <w:tcPr>
            <w:tcW w:type="dxa" w:w="1080"/>
            <w:vAlign w:val="center"/>
          </w:tcPr>
          <w:p>
            <w:pPr>
              <w:spacing w:after="0" w:before="0"/>
            </w:pPr>
            <w:r/>
            <w:r>
              <w:rPr>
                <w:rFonts w:ascii="Aptos" w:hAnsi="Aptos"/>
                <w:b w:val="0"/>
                <w:sz w:val="16"/>
              </w:rPr>
              <w:t>4. Generate</w:t>
            </w:r>
          </w:p>
        </w:tc>
        <w:tc>
          <w:tcPr>
            <w:tcW w:type="dxa" w:w="4320"/>
            <w:vAlign w:val="center"/>
          </w:tcPr>
          <w:p>
            <w:pPr>
              <w:spacing w:after="0" w:before="0"/>
            </w:pPr>
            <w:r/>
            <w:r>
              <w:rPr>
                <w:rFonts w:ascii="Aptos" w:hAnsi="Aptos"/>
                <w:b w:val="0"/>
                <w:sz w:val="16"/>
              </w:rPr>
              <w:t>Content agent regenerates only affected copy.</w:t>
            </w:r>
          </w:p>
        </w:tc>
        <w:tc>
          <w:tcPr>
            <w:tcW w:type="dxa" w:w="3888"/>
            <w:vAlign w:val="center"/>
          </w:tcPr>
          <w:p>
            <w:pPr>
              <w:spacing w:after="0" w:before="0"/>
            </w:pPr>
            <w:r/>
            <w:r>
              <w:rPr>
                <w:rFonts w:ascii="Aptos" w:hAnsi="Aptos"/>
                <w:b w:val="0"/>
                <w:sz w:val="16"/>
              </w:rPr>
              <w:t>Before/after diff + RAG evidence.</w:t>
            </w:r>
          </w:p>
        </w:tc>
      </w:tr>
      <w:tr>
        <w:tc>
          <w:tcPr>
            <w:tcW w:type="dxa" w:w="1080"/>
            <w:vAlign w:val="center"/>
            <w:shd w:fill="F7F9FB"/>
          </w:tcPr>
          <w:p>
            <w:pPr>
              <w:spacing w:after="0" w:before="0"/>
            </w:pPr>
            <w:r/>
            <w:r>
              <w:rPr>
                <w:rFonts w:ascii="Aptos" w:hAnsi="Aptos"/>
                <w:b w:val="0"/>
                <w:sz w:val="16"/>
              </w:rPr>
              <w:t>5. Govern</w:t>
            </w:r>
          </w:p>
        </w:tc>
        <w:tc>
          <w:tcPr>
            <w:tcW w:type="dxa" w:w="4320"/>
            <w:vAlign w:val="center"/>
            <w:shd w:fill="F7F9FB"/>
          </w:tcPr>
          <w:p>
            <w:pPr>
              <w:spacing w:after="0" w:before="0"/>
            </w:pPr>
            <w:r/>
            <w:r>
              <w:rPr>
                <w:rFonts w:ascii="Aptos" w:hAnsi="Aptos"/>
                <w:b w:val="0"/>
                <w:sz w:val="16"/>
              </w:rPr>
              <w:t>Compliance gate blocks/approves according to policy.</w:t>
            </w:r>
          </w:p>
        </w:tc>
        <w:tc>
          <w:tcPr>
            <w:tcW w:type="dxa" w:w="3888"/>
            <w:vAlign w:val="center"/>
            <w:shd w:fill="F7F9FB"/>
          </w:tcPr>
          <w:p>
            <w:pPr>
              <w:spacing w:after="0" w:before="0"/>
            </w:pPr>
            <w:r/>
            <w:r>
              <w:rPr>
                <w:rFonts w:ascii="Aptos" w:hAnsi="Aptos"/>
                <w:b w:val="0"/>
                <w:sz w:val="16"/>
              </w:rPr>
              <w:t>HITL shown for risky ambiguity.</w:t>
            </w:r>
          </w:p>
        </w:tc>
      </w:tr>
      <w:tr>
        <w:tc>
          <w:tcPr>
            <w:tcW w:type="dxa" w:w="1080"/>
            <w:vAlign w:val="center"/>
          </w:tcPr>
          <w:p>
            <w:pPr>
              <w:spacing w:after="0" w:before="0"/>
            </w:pPr>
            <w:r/>
            <w:r>
              <w:rPr>
                <w:rFonts w:ascii="Aptos" w:hAnsi="Aptos"/>
                <w:b w:val="0"/>
                <w:sz w:val="16"/>
              </w:rPr>
              <w:t>6. Publish</w:t>
            </w:r>
          </w:p>
        </w:tc>
        <w:tc>
          <w:tcPr>
            <w:tcW w:type="dxa" w:w="4320"/>
            <w:vAlign w:val="center"/>
          </w:tcPr>
          <w:p>
            <w:pPr>
              <w:spacing w:after="0" w:before="0"/>
            </w:pPr>
            <w:r/>
            <w:r>
              <w:rPr>
                <w:rFonts w:ascii="Aptos" w:hAnsi="Aptos"/>
                <w:b w:val="0"/>
                <w:sz w:val="16"/>
              </w:rPr>
              <w:t>Channel Hub publishes to e-commerce/B2B/marketplace.</w:t>
            </w:r>
          </w:p>
        </w:tc>
        <w:tc>
          <w:tcPr>
            <w:tcW w:type="dxa" w:w="3888"/>
            <w:vAlign w:val="center"/>
          </w:tcPr>
          <w:p>
            <w:pPr>
              <w:spacing w:after="0" w:before="0"/>
            </w:pPr>
            <w:r/>
            <w:r>
              <w:rPr>
                <w:rFonts w:ascii="Aptos" w:hAnsi="Aptos"/>
                <w:b w:val="0"/>
                <w:sz w:val="16"/>
              </w:rPr>
              <w:t>Publication status visible.</w:t>
            </w:r>
          </w:p>
        </w:tc>
      </w:tr>
      <w:tr>
        <w:tc>
          <w:tcPr>
            <w:tcW w:type="dxa" w:w="1080"/>
            <w:vAlign w:val="center"/>
            <w:shd w:fill="F7F9FB"/>
          </w:tcPr>
          <w:p>
            <w:pPr>
              <w:spacing w:after="0" w:before="0"/>
            </w:pPr>
            <w:r/>
            <w:r>
              <w:rPr>
                <w:rFonts w:ascii="Aptos" w:hAnsi="Aptos"/>
                <w:b w:val="0"/>
                <w:sz w:val="16"/>
              </w:rPr>
              <w:t>7. Recover</w:t>
            </w:r>
          </w:p>
        </w:tc>
        <w:tc>
          <w:tcPr>
            <w:tcW w:type="dxa" w:w="4320"/>
            <w:vAlign w:val="center"/>
            <w:shd w:fill="F7F9FB"/>
          </w:tcPr>
          <w:p>
            <w:pPr>
              <w:spacing w:after="0" w:before="0"/>
            </w:pPr>
            <w:r/>
            <w:r>
              <w:rPr>
                <w:rFonts w:ascii="Aptos" w:hAnsi="Aptos"/>
                <w:b w:val="0"/>
                <w:sz w:val="16"/>
              </w:rPr>
              <w:t>Marketplace intentionally rejects publication.</w:t>
            </w:r>
          </w:p>
        </w:tc>
        <w:tc>
          <w:tcPr>
            <w:tcW w:type="dxa" w:w="3888"/>
            <w:vAlign w:val="center"/>
            <w:shd w:fill="F7F9FB"/>
          </w:tcPr>
          <w:p>
            <w:pPr>
              <w:spacing w:after="0" w:before="0"/>
            </w:pPr>
            <w:r/>
            <w:r>
              <w:rPr>
                <w:rFonts w:ascii="Aptos" w:hAnsi="Aptos"/>
                <w:b w:val="0"/>
                <w:sz w:val="16"/>
              </w:rPr>
              <w:t>Kafka failure -&gt; SAGA compensation -&gt; prior version restored.</w:t>
            </w:r>
          </w:p>
        </w:tc>
      </w:tr>
    </w:tbl>
    <w:p>
      <w:pPr>
        <w:spacing w:after="40"/>
      </w:pP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Judging message  </w:t>
            </w:r>
            <w:r>
              <w:rPr>
                <w:sz w:val="18"/>
              </w:rPr>
              <w:t>The differentiator is not “more agents.” It is controlled autonomy across fragmented product data: detect the change, prove the impact, generate only what is needed, enforce policy, and recover safely.</w:t>
            </w:r>
          </w:p>
        </w:tc>
      </w:tr>
    </w:tbl>
    <w:p>
      <w:pPr>
        <w:spacing w:after="20"/>
      </w:pPr>
    </w:p>
    <w:p>
      <w:pPr>
        <w:pStyle w:val="Heading1"/>
      </w:pPr>
      <w:r>
        <w:t>10. Java Alternative — Same Architecture, Different Runtime</w:t>
      </w:r>
    </w:p>
    <w:tbl>
      <w:tblPr>
        <w:tblStyle w:val="TableGrid"/>
        <w:tblW w:type="auto" w:w="0"/>
        <w:jc w:val="center"/>
        <w:tblLook w:firstColumn="1" w:firstRow="1" w:lastColumn="0" w:lastRow="0" w:noHBand="0" w:noVBand="1" w:val="04A0"/>
      </w:tblPr>
      <w:tblGrid>
        <w:gridCol w:w="3456"/>
        <w:gridCol w:w="3456"/>
        <w:gridCol w:w="3456"/>
      </w:tblGrid>
      <w:tr>
        <w:tc>
          <w:tcPr>
            <w:tcW w:type="dxa" w:w="1656"/>
            <w:vAlign w:val="center"/>
            <w:shd w:fill="0B2545"/>
          </w:tcPr>
          <w:p>
            <w:pPr>
              <w:spacing w:after="0" w:before="0"/>
            </w:pPr>
            <w:r/>
            <w:r>
              <w:rPr>
                <w:rFonts w:ascii="Aptos" w:hAnsi="Aptos"/>
                <w:b/>
                <w:color w:val="FFFFFF"/>
                <w:sz w:val="15"/>
              </w:rPr>
              <w:t>Concern</w:t>
            </w:r>
          </w:p>
        </w:tc>
        <w:tc>
          <w:tcPr>
            <w:tcW w:type="dxa" w:w="3960"/>
            <w:vAlign w:val="center"/>
            <w:shd w:fill="0B2545"/>
          </w:tcPr>
          <w:p>
            <w:pPr>
              <w:spacing w:after="0" w:before="0"/>
            </w:pPr>
            <w:r/>
            <w:r>
              <w:rPr>
                <w:rFonts w:ascii="Aptos" w:hAnsi="Aptos"/>
                <w:b/>
                <w:color w:val="FFFFFF"/>
                <w:sz w:val="15"/>
              </w:rPr>
              <w:t>Python/FastAPI MVP</w:t>
            </w:r>
          </w:p>
        </w:tc>
        <w:tc>
          <w:tcPr>
            <w:tcW w:type="dxa" w:w="4320"/>
            <w:vAlign w:val="center"/>
            <w:shd w:fill="0B2545"/>
          </w:tcPr>
          <w:p>
            <w:pPr>
              <w:spacing w:after="0" w:before="0"/>
            </w:pPr>
            <w:r/>
            <w:r>
              <w:rPr>
                <w:rFonts w:ascii="Aptos" w:hAnsi="Aptos"/>
                <w:b/>
                <w:color w:val="FFFFFF"/>
                <w:sz w:val="15"/>
              </w:rPr>
              <w:t>Java/Spring Boot enterprise path</w:t>
            </w:r>
          </w:p>
        </w:tc>
      </w:tr>
      <w:tr>
        <w:tc>
          <w:tcPr>
            <w:tcW w:type="dxa" w:w="1656"/>
            <w:vAlign w:val="center"/>
            <w:shd w:fill="F7F9FB"/>
          </w:tcPr>
          <w:p>
            <w:pPr>
              <w:spacing w:after="0" w:before="0"/>
            </w:pPr>
            <w:r/>
            <w:r>
              <w:rPr>
                <w:rFonts w:ascii="Aptos" w:hAnsi="Aptos"/>
                <w:b w:val="0"/>
                <w:sz w:val="15"/>
              </w:rPr>
              <w:t>API / mocks</w:t>
            </w:r>
          </w:p>
        </w:tc>
        <w:tc>
          <w:tcPr>
            <w:tcW w:type="dxa" w:w="3960"/>
            <w:vAlign w:val="center"/>
            <w:shd w:fill="F7F9FB"/>
          </w:tcPr>
          <w:p>
            <w:pPr>
              <w:spacing w:after="0" w:before="0"/>
            </w:pPr>
            <w:r/>
            <w:r>
              <w:rPr>
                <w:rFonts w:ascii="Aptos" w:hAnsi="Aptos"/>
                <w:b w:val="0"/>
                <w:sz w:val="15"/>
              </w:rPr>
              <w:t>FastAPI + Pydantic</w:t>
            </w:r>
          </w:p>
        </w:tc>
        <w:tc>
          <w:tcPr>
            <w:tcW w:type="dxa" w:w="4320"/>
            <w:vAlign w:val="center"/>
            <w:shd w:fill="F7F9FB"/>
          </w:tcPr>
          <w:p>
            <w:pPr>
              <w:spacing w:after="0" w:before="0"/>
            </w:pPr>
            <w:r/>
            <w:r>
              <w:rPr>
                <w:rFonts w:ascii="Aptos" w:hAnsi="Aptos"/>
                <w:b w:val="0"/>
                <w:sz w:val="15"/>
              </w:rPr>
              <w:t>Spring Boot + Records/Bean Validation</w:t>
            </w:r>
          </w:p>
        </w:tc>
      </w:tr>
      <w:tr>
        <w:tc>
          <w:tcPr>
            <w:tcW w:type="dxa" w:w="1656"/>
            <w:vAlign w:val="center"/>
          </w:tcPr>
          <w:p>
            <w:pPr>
              <w:spacing w:after="0" w:before="0"/>
            </w:pPr>
            <w:r/>
            <w:r>
              <w:rPr>
                <w:rFonts w:ascii="Aptos" w:hAnsi="Aptos"/>
                <w:b w:val="0"/>
                <w:sz w:val="15"/>
              </w:rPr>
              <w:t>Workflow</w:t>
            </w:r>
          </w:p>
        </w:tc>
        <w:tc>
          <w:tcPr>
            <w:tcW w:type="dxa" w:w="3960"/>
            <w:vAlign w:val="center"/>
          </w:tcPr>
          <w:p>
            <w:pPr>
              <w:spacing w:after="0" w:before="0"/>
            </w:pPr>
            <w:r/>
            <w:r>
              <w:rPr>
                <w:rFonts w:ascii="Aptos" w:hAnsi="Aptos"/>
                <w:b w:val="0"/>
                <w:sz w:val="15"/>
              </w:rPr>
              <w:t>LangGraph Python</w:t>
            </w:r>
          </w:p>
        </w:tc>
        <w:tc>
          <w:tcPr>
            <w:tcW w:type="dxa" w:w="4320"/>
            <w:vAlign w:val="center"/>
          </w:tcPr>
          <w:p>
            <w:pPr>
              <w:spacing w:after="0" w:before="0"/>
            </w:pPr>
            <w:r/>
            <w:r>
              <w:rPr>
                <w:rFonts w:ascii="Aptos" w:hAnsi="Aptos"/>
                <w:b w:val="0"/>
                <w:sz w:val="15"/>
              </w:rPr>
              <w:t>LangGraph/JVM-compatible orchestration pattern or equivalent Java workflow implementation</w:t>
            </w:r>
          </w:p>
        </w:tc>
      </w:tr>
      <w:tr>
        <w:tc>
          <w:tcPr>
            <w:tcW w:type="dxa" w:w="1656"/>
            <w:vAlign w:val="center"/>
            <w:shd w:fill="F7F9FB"/>
          </w:tcPr>
          <w:p>
            <w:pPr>
              <w:spacing w:after="0" w:before="0"/>
            </w:pPr>
            <w:r/>
            <w:r>
              <w:rPr>
                <w:rFonts w:ascii="Aptos" w:hAnsi="Aptos"/>
                <w:b w:val="0"/>
                <w:sz w:val="15"/>
              </w:rPr>
              <w:t>Kafka</w:t>
            </w:r>
          </w:p>
        </w:tc>
        <w:tc>
          <w:tcPr>
            <w:tcW w:type="dxa" w:w="3960"/>
            <w:vAlign w:val="center"/>
            <w:shd w:fill="F7F9FB"/>
          </w:tcPr>
          <w:p>
            <w:pPr>
              <w:spacing w:after="0" w:before="0"/>
            </w:pPr>
            <w:r/>
            <w:r>
              <w:rPr>
                <w:rFonts w:ascii="Aptos" w:hAnsi="Aptos"/>
                <w:b w:val="0"/>
                <w:sz w:val="15"/>
              </w:rPr>
              <w:t>confluent-kafka / aiokafka ecosystem</w:t>
            </w:r>
          </w:p>
        </w:tc>
        <w:tc>
          <w:tcPr>
            <w:tcW w:type="dxa" w:w="4320"/>
            <w:vAlign w:val="center"/>
            <w:shd w:fill="F7F9FB"/>
          </w:tcPr>
          <w:p>
            <w:pPr>
              <w:spacing w:after="0" w:before="0"/>
            </w:pPr>
            <w:r/>
            <w:r>
              <w:rPr>
                <w:rFonts w:ascii="Aptos" w:hAnsi="Aptos"/>
                <w:b w:val="0"/>
                <w:sz w:val="15"/>
              </w:rPr>
              <w:t>Spring Kafka</w:t>
            </w:r>
          </w:p>
        </w:tc>
      </w:tr>
      <w:tr>
        <w:tc>
          <w:tcPr>
            <w:tcW w:type="dxa" w:w="1656"/>
            <w:vAlign w:val="center"/>
          </w:tcPr>
          <w:p>
            <w:pPr>
              <w:spacing w:after="0" w:before="0"/>
            </w:pPr>
            <w:r/>
            <w:r>
              <w:rPr>
                <w:rFonts w:ascii="Aptos" w:hAnsi="Aptos"/>
                <w:b w:val="0"/>
                <w:sz w:val="15"/>
              </w:rPr>
              <w:t>MCP</w:t>
            </w:r>
          </w:p>
        </w:tc>
        <w:tc>
          <w:tcPr>
            <w:tcW w:type="dxa" w:w="3960"/>
            <w:vAlign w:val="center"/>
          </w:tcPr>
          <w:p>
            <w:pPr>
              <w:spacing w:after="0" w:before="0"/>
            </w:pPr>
            <w:r/>
            <w:r>
              <w:rPr>
                <w:rFonts w:ascii="Aptos" w:hAnsi="Aptos"/>
                <w:b w:val="0"/>
                <w:sz w:val="15"/>
              </w:rPr>
              <w:t>Python MCP SDK</w:t>
            </w:r>
          </w:p>
        </w:tc>
        <w:tc>
          <w:tcPr>
            <w:tcW w:type="dxa" w:w="4320"/>
            <w:vAlign w:val="center"/>
          </w:tcPr>
          <w:p>
            <w:pPr>
              <w:spacing w:after="0" w:before="0"/>
            </w:pPr>
            <w:r/>
            <w:r>
              <w:rPr>
                <w:rFonts w:ascii="Aptos" w:hAnsi="Aptos"/>
                <w:b w:val="0"/>
                <w:sz w:val="15"/>
              </w:rPr>
              <w:t>Java MCP SDK / compatible server implementation</w:t>
            </w:r>
          </w:p>
        </w:tc>
      </w:tr>
      <w:tr>
        <w:tc>
          <w:tcPr>
            <w:tcW w:type="dxa" w:w="1656"/>
            <w:vAlign w:val="center"/>
            <w:shd w:fill="F7F9FB"/>
          </w:tcPr>
          <w:p>
            <w:pPr>
              <w:spacing w:after="0" w:before="0"/>
            </w:pPr>
            <w:r/>
            <w:r>
              <w:rPr>
                <w:rFonts w:ascii="Aptos" w:hAnsi="Aptos"/>
                <w:b w:val="0"/>
                <w:sz w:val="15"/>
              </w:rPr>
              <w:t>A2A</w:t>
            </w:r>
          </w:p>
        </w:tc>
        <w:tc>
          <w:tcPr>
            <w:tcW w:type="dxa" w:w="3960"/>
            <w:vAlign w:val="center"/>
            <w:shd w:fill="F7F9FB"/>
          </w:tcPr>
          <w:p>
            <w:pPr>
              <w:spacing w:after="0" w:before="0"/>
            </w:pPr>
            <w:r/>
            <w:r>
              <w:rPr>
                <w:rFonts w:ascii="Aptos" w:hAnsi="Aptos"/>
                <w:b w:val="0"/>
                <w:sz w:val="15"/>
              </w:rPr>
              <w:t>A2A-compatible Python agent services</w:t>
            </w:r>
          </w:p>
        </w:tc>
        <w:tc>
          <w:tcPr>
            <w:tcW w:type="dxa" w:w="4320"/>
            <w:vAlign w:val="center"/>
            <w:shd w:fill="F7F9FB"/>
          </w:tcPr>
          <w:p>
            <w:pPr>
              <w:spacing w:after="0" w:before="0"/>
            </w:pPr>
            <w:r/>
            <w:r>
              <w:rPr>
                <w:rFonts w:ascii="Aptos" w:hAnsi="Aptos"/>
                <w:b w:val="0"/>
                <w:sz w:val="15"/>
              </w:rPr>
              <w:t>A2A-compatible Spring/Java agent services</w:t>
            </w:r>
          </w:p>
        </w:tc>
      </w:tr>
      <w:tr>
        <w:tc>
          <w:tcPr>
            <w:tcW w:type="dxa" w:w="1656"/>
            <w:vAlign w:val="center"/>
          </w:tcPr>
          <w:p>
            <w:pPr>
              <w:spacing w:after="0" w:before="0"/>
            </w:pPr>
            <w:r/>
            <w:r>
              <w:rPr>
                <w:rFonts w:ascii="Aptos" w:hAnsi="Aptos"/>
                <w:b w:val="0"/>
                <w:sz w:val="15"/>
              </w:rPr>
              <w:t>RAG</w:t>
            </w:r>
          </w:p>
        </w:tc>
        <w:tc>
          <w:tcPr>
            <w:tcW w:type="dxa" w:w="3960"/>
            <w:vAlign w:val="center"/>
          </w:tcPr>
          <w:p>
            <w:pPr>
              <w:spacing w:after="0" w:before="0"/>
            </w:pPr>
            <w:r/>
            <w:r>
              <w:rPr>
                <w:rFonts w:ascii="Aptos" w:hAnsi="Aptos"/>
                <w:b w:val="0"/>
                <w:sz w:val="15"/>
              </w:rPr>
              <w:t>BM25 + FAISS/Qdrant/OpenSearch</w:t>
            </w:r>
          </w:p>
        </w:tc>
        <w:tc>
          <w:tcPr>
            <w:tcW w:type="dxa" w:w="4320"/>
            <w:vAlign w:val="center"/>
          </w:tcPr>
          <w:p>
            <w:pPr>
              <w:spacing w:after="0" w:before="0"/>
            </w:pPr>
            <w:r/>
            <w:r>
              <w:rPr>
                <w:rFonts w:ascii="Aptos" w:hAnsi="Aptos"/>
                <w:b w:val="0"/>
                <w:sz w:val="15"/>
              </w:rPr>
              <w:t>OpenSearch/Elasticsearch + vector store</w:t>
            </w:r>
          </w:p>
        </w:tc>
      </w:tr>
      <w:tr>
        <w:tc>
          <w:tcPr>
            <w:tcW w:type="dxa" w:w="1656"/>
            <w:vAlign w:val="center"/>
            <w:shd w:fill="F7F9FB"/>
          </w:tcPr>
          <w:p>
            <w:pPr>
              <w:spacing w:after="0" w:before="0"/>
            </w:pPr>
            <w:r/>
            <w:r>
              <w:rPr>
                <w:rFonts w:ascii="Aptos" w:hAnsi="Aptos"/>
                <w:b w:val="0"/>
                <w:sz w:val="15"/>
              </w:rPr>
              <w:t>LLM gateway</w:t>
            </w:r>
          </w:p>
        </w:tc>
        <w:tc>
          <w:tcPr>
            <w:tcW w:type="dxa" w:w="3960"/>
            <w:vAlign w:val="center"/>
            <w:shd w:fill="F7F9FB"/>
          </w:tcPr>
          <w:p>
            <w:pPr>
              <w:spacing w:after="0" w:before="0"/>
            </w:pPr>
            <w:r/>
            <w:r>
              <w:rPr>
                <w:rFonts w:ascii="Aptos" w:hAnsi="Aptos"/>
                <w:b w:val="0"/>
                <w:sz w:val="15"/>
              </w:rPr>
              <w:t>LiteLLM</w:t>
            </w:r>
          </w:p>
        </w:tc>
        <w:tc>
          <w:tcPr>
            <w:tcW w:type="dxa" w:w="4320"/>
            <w:vAlign w:val="center"/>
            <w:shd w:fill="F7F9FB"/>
          </w:tcPr>
          <w:p>
            <w:pPr>
              <w:spacing w:after="0" w:before="0"/>
            </w:pPr>
            <w:r/>
            <w:r>
              <w:rPr>
                <w:rFonts w:ascii="Aptos" w:hAnsi="Aptos"/>
                <w:b w:val="0"/>
                <w:sz w:val="15"/>
              </w:rPr>
              <w:t>LiteLLM exposed as shared model gateway</w:t>
            </w:r>
          </w:p>
        </w:tc>
      </w:tr>
    </w:tbl>
    <w:p>
      <w:pPr>
        <w:spacing w:after="40"/>
      </w:pPr>
    </w:p>
    <w:tbl>
      <w:tblPr>
        <w:tblStyle w:val="TableGrid"/>
        <w:tblW w:type="auto" w:w="0"/>
        <w:jc w:val="center"/>
        <w:tblLook w:firstColumn="1" w:firstRow="1" w:lastColumn="0" w:lastRow="0" w:noHBand="0" w:noVBand="1" w:val="04A0"/>
      </w:tblPr>
      <w:tblGrid>
        <w:gridCol w:w="10368"/>
      </w:tblGrid>
      <w:tr>
        <w:tc>
          <w:tcPr>
            <w:tcW w:type="dxa" w:w="10368"/>
            <w:shd w:fill="EAF0F5"/>
          </w:tcPr>
          <w:p>
            <w:pPr>
              <w:spacing w:after="0"/>
            </w:pPr>
            <w:r>
              <w:rPr>
                <w:b/>
                <w:color w:val="0B2545"/>
                <w:sz w:val="19"/>
              </w:rPr>
              <w:t xml:space="preserve">Recommendation  </w:t>
            </w:r>
            <w:r>
              <w:rPr>
                <w:sz w:val="18"/>
              </w:rPr>
              <w:t>Build the competition MVP in Python/FastAPI because it minimizes glue code around LangGraph, agent tooling and rapid mock-service development. Keep REST/OpenAPI, event schemas and MCP/A2A contracts language-neutral so Java/Spring Boot is a credible enterprise realization.</w:t>
            </w:r>
          </w:p>
        </w:tc>
      </w:tr>
    </w:tbl>
    <w:p>
      <w:pPr>
        <w:spacing w:after="20"/>
      </w:pP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Master Prompt + Reference Architecture | Python/FastAPI MVP | Docker-free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34074"/>
        <w:sz w:val="16"/>
      </w:rPr>
      <w:t>UC05 | Autonomous Product Intelligence 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3407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UC05 Master Prompt and Reference Architecture</dc:title>
  <dc:subject>Autonomous Product Intelligence Factory</dc:subject>
  <dc:creator>OpenAI</dc:creator>
  <cp:keywords/>
  <dc:description>Execution blueprint for a 5-member, Docker-free Python/FastAPI competition MVP.</dc:description>
  <cp:lastModifiedBy/>
  <cp:revision>1</cp:revision>
  <dcterms:created xsi:type="dcterms:W3CDTF">2013-12-23T23:15:00Z</dcterms:created>
  <dcterms:modified xsi:type="dcterms:W3CDTF">2013-12-23T23:15:00Z</dcterms:modified>
  <cp:category/>
</cp:coreProperties>
</file>