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5D8A"/>
          <w:spacing w:val="50"/>
          <w:sz w:val="17"/>
          <w:szCs w:val="17"/>
        </w:rPr>
        <w:t xml:space="preserve">VERIFLOW  ·  15-MINUTE DEMO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Flow &amp; Commentary Notes</w:t>
      </w:r>
    </w:p>
    <w:p>
      <w:pPr>
        <w:pBdr>
          <w:top w:val="single" w:color="0B5D8A" w:sz="10" w:space="8"/>
        </w:pBdr>
        <w:spacing w:after="200"/>
      </w:pPr>
    </w:p>
    <w:tbl>
      <w:tblPr>
        <w:tblW w:type="dxa" w:w="9740"/>
        <w:tblBorders>
          <w:top w:val="single" w:color="C9D2DC" w:sz="2"/>
          <w:left w:val="single" w:color="0B5D8A" w:sz="18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740"/>
      </w:tblGrid>
      <w:tr>
        <w:trPr>
          <w:cantSplit/>
        </w:trPr>
        <w:tc>
          <w:tcPr>
            <w:tcW w:type="dxa" w:w="9740"/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6"/>
                <w:szCs w:val="16"/>
              </w:rPr>
              <w:t xml:space="preserve">THE SHAPE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Onboard 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Correct 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Govern 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Re-plan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9"/>
                <w:szCs w:val="19"/>
              </w:rPr>
              <w:t xml:space="preserve">    Never cut Beat 4 or Beat 5.</w:t>
            </w:r>
          </w:p>
        </w:tc>
      </w:tr>
    </w:tbl>
    <w:p>
      <w:pPr>
        <w:pStyle w:val="Heading1"/>
        <w:keepNext/>
        <w:pBdr>
          <w:bottom w:val="single" w:color="1B2A4A" w:sz="10" w:space="5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The run sheet</w:t>
      </w:r>
    </w:p>
    <w:tbl>
      <w:tblPr>
        <w:tblW w:type="dxa" w:w="9740"/>
        <w:tblBorders>
          <w:top w:val="single" w:color="1B2A4A" w:sz="4"/>
          <w:left w:val="none"/>
          <w:bottom w:val="single" w:color="1B2A4A" w:sz="4"/>
          <w:right w:val="none"/>
          <w:insideH w:val="single" w:color="C9D2DC" w:sz="2"/>
          <w:insideV w:val="single" w:color="C9D2DC" w:sz="2"/>
        </w:tblBorders>
      </w:tblPr>
      <w:tblGrid>
        <w:gridCol w:w="790"/>
        <w:gridCol w:w="1720"/>
        <w:gridCol w:w="5210"/>
        <w:gridCol w:w="2020"/>
      </w:tblGrid>
      <w:tr>
        <w:trPr>
          <w:tblHeader/>
        </w:trPr>
        <w:tc>
          <w:tcPr>
            <w:tcW w:type="dxa" w:w="79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7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 screen</w:t>
            </w:r>
          </w:p>
        </w:tc>
        <w:tc>
          <w:tcPr>
            <w:tcW w:type="dxa" w:w="521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Say this</w:t>
            </w:r>
          </w:p>
        </w:tc>
        <w:tc>
          <w:tcPr>
            <w:tcW w:type="dxa" w:w="20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Proves</w:t>
            </w:r>
          </w:p>
        </w:tc>
      </w:tr>
      <w:tr>
        <w:tc>
          <w:tcPr>
            <w:tcW w:type="dxa" w:w="79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0:00</w:t>
            </w:r>
          </w:p>
        </w:tc>
        <w:tc>
          <w:tcPr>
            <w:tcW w:type="dxa" w:w="17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Nothing.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Talk first.</w:t>
            </w:r>
          </w:p>
        </w:tc>
        <w:tc>
          <w:tcPr>
            <w:tcW w:type="dxa" w:w="52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“A supplier corrects a specification after the product is on sale. That value is now wrong in fifteen pieces of copy, five listings, four channels — and 214,000 printed catalogues. Found by hand today: six weeks, €14,000 per thousand lines.”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 problem is money</w:t>
            </w:r>
          </w:p>
        </w:tc>
      </w:tr>
      <w:tr>
        <w:tc>
          <w:tcPr>
            <w:tcW w:type="dxa" w:w="79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1:30</w:t>
            </w:r>
          </w:p>
        </w:tc>
        <w:tc>
          <w:tcPr>
            <w:tcW w:type="dxa" w:w="17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Supplier Intake</w:t>
            </w:r>
          </w:p>
        </w:tc>
        <w:tc>
          <w:tcPr>
            <w:tcW w:type="dxa" w:w="521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“Forty new lines, one archive. We return how many are fit to sell — and every gap names the system that owes it. Not ‘data incomplete', but ‘the imaging system never sent an ingredient panel'.”</w:t>
            </w:r>
          </w:p>
        </w:tc>
        <w:tc>
          <w:tcPr>
            <w:tcW w:type="dxa" w:w="20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day-one value</w:t>
            </w:r>
          </w:p>
        </w:tc>
      </w:tr>
      <w:tr>
        <w:tc>
          <w:tcPr>
            <w:tcW w:type="dxa" w:w="79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4:00</w:t>
            </w:r>
          </w:p>
        </w:tc>
        <w:tc>
          <w:tcPr>
            <w:tcW w:type="dxa" w:w="17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Ingest Fabric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→ run the inject</w:t>
            </w:r>
          </w:p>
        </w:tc>
        <w:tc>
          <w:tcPr>
            <w:tcW w:type="dxa" w:w="52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“Day 33. Rated power moves 45 to 65 watts. The document doesn't say which variant it means — the one thing software genuinely cannot do. So this is one of exactly four places we let a model in.”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 value-add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bounded</w:t>
            </w:r>
          </w:p>
        </w:tc>
      </w:tr>
      <w:tr>
        <w:tc>
          <w:tcPr>
            <w:tcW w:type="dxa" w:w="79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5:30</w:t>
            </w:r>
          </w:p>
        </w:tc>
        <w:tc>
          <w:tcPr>
            <w:tcW w:type="dxa" w:w="17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Blast Radius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9"/>
                <w:szCs w:val="19"/>
              </w:rPr>
              <w:t xml:space="preserve">   ★ the money shot</w:t>
            </w:r>
          </w:p>
        </w:tc>
        <w:tc>
          <w:tcPr>
            <w:tcW w:type="dxa" w:w="521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“One field. Fifteen assets, five listings, four channels — including a page nobody corrected, because a comparison table there quotes both variants. No model found that — it is a graph walk, and it answers the same every time.”</w:t>
            </w:r>
          </w:p>
        </w:tc>
        <w:tc>
          <w:tcPr>
            <w:tcW w:type="dxa" w:w="20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the differentiator</w:t>
            </w:r>
          </w:p>
        </w:tc>
      </w:tr>
      <w:tr>
        <w:tc>
          <w:tcPr>
            <w:tcW w:type="dxa" w:w="79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8:00</w:t>
            </w:r>
          </w:p>
        </w:tc>
        <w:tc>
          <w:tcPr>
            <w:tcW w:type="dxa" w:w="17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Review &amp; Audit</w:t>
            </w:r>
            <w:r>
              <w:rPr>
                <w:rFonts w:ascii="Calibri" w:cs="Calibri" w:eastAsia="Calibri" w:hAnsi="Calibri"/>
                <w:b/>
                <w:bCs/>
                <w:color w:val="8A6A12"/>
                <w:sz w:val="19"/>
                <w:szCs w:val="19"/>
              </w:rPr>
              <w:t xml:space="preserve">   ★ the gate</w:t>
            </w:r>
          </w:p>
        </w:tc>
        <w:tc>
          <w:tcPr>
            <w:tcW w:type="dxa" w:w="52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“It stopped. Not failed — waiting for a person, checkpointed to disk. Any reviewer sees the queue. A gate only its own author can see is not a gate.”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Governance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the gate is real</w:t>
            </w:r>
          </w:p>
        </w:tc>
      </w:tr>
      <w:tr>
        <w:tc>
          <w:tcPr>
            <w:tcW w:type="dxa" w:w="79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10:00</w:t>
            </w:r>
          </w:p>
        </w:tc>
        <w:tc>
          <w:tcPr>
            <w:tcW w:type="dxa" w:w="17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Ops Console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+ Storefront</w:t>
            </w:r>
          </w:p>
        </w:tc>
        <w:tc>
          <w:tcPr>
            <w:tcW w:type="dxa" w:w="521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“One correction, five channels, five different right answers: withheld, withdrawn, facet dropped, reprint queued — and an erratum owed, because 214,000 catalogues cannot be recalled.”</w:t>
            </w:r>
          </w:p>
        </w:tc>
        <w:tc>
          <w:tcPr>
            <w:tcW w:type="dxa" w:w="20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business fluency</w:t>
            </w:r>
          </w:p>
        </w:tc>
      </w:tr>
      <w:tr>
        <w:tc>
          <w:tcPr>
            <w:tcW w:type="dxa" w:w="79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11:30</w:t>
            </w:r>
          </w:p>
        </w:tc>
        <w:tc>
          <w:tcPr>
            <w:tcW w:type="dxa" w:w="17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Re-plan on new evidence</w:t>
            </w:r>
          </w:p>
        </w:tc>
        <w:tc>
          <w:tcPr>
            <w:tcW w:type="dxa" w:w="52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“Revision three narrows it to the Max only. Same thread, no restart. The pending approval is withdrawn and recorded. The print batch prepared under v2 is refused by the stale-version gate.”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— no rerun</w:t>
            </w:r>
          </w:p>
        </w:tc>
      </w:tr>
      <w:tr>
        <w:tc>
          <w:tcPr>
            <w:tcW w:type="dxa" w:w="79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13:00</w:t>
            </w:r>
          </w:p>
        </w:tc>
        <w:tc>
          <w:tcPr>
            <w:tcW w:type="dxa" w:w="17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Stay on the gate.</w:t>
            </w: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 Say the guardrails.</w:t>
            </w:r>
          </w:p>
        </w:tc>
        <w:tc>
          <w:tcPr>
            <w:tcW w:type="dxa" w:w="521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Guardrails panel, below. 45 seconds, no clicking.</w:t>
            </w:r>
          </w:p>
        </w:tc>
        <w:tc>
          <w:tcPr>
            <w:tcW w:type="dxa" w:w="2020"/>
            <w:shd w:fill="F7F9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 governance</w:t>
            </w:r>
          </w:p>
        </w:tc>
      </w:tr>
      <w:tr>
        <w:tc>
          <w:tcPr>
            <w:tcW w:type="dxa" w:w="79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9"/>
                <w:szCs w:val="19"/>
              </w:rPr>
              <w:t xml:space="preserve">14:00</w:t>
            </w:r>
          </w:p>
        </w:tc>
        <w:tc>
          <w:tcPr>
            <w:tcW w:type="dxa" w:w="17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Close.</w:t>
            </w:r>
          </w:p>
        </w:tc>
        <w:tc>
          <w:tcPr>
            <w:tcW w:type="dxa" w:w="52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Closing line, below.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 commercial ask</w:t>
            </w:r>
          </w:p>
        </w:tc>
      </w:tr>
    </w:tbl>
    <w:p>
      <w:pPr>
        <w:pStyle w:val="Heading1"/>
        <w:keepNext/>
        <w:pBdr>
          <w:bottom w:val="single" w:color="1B2A4A" w:sz="10" w:space="5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Guardrails — say this at 13:00</w:t>
      </w:r>
    </w:p>
    <w:tbl>
      <w:tblPr>
        <w:tblW w:type="dxa" w:w="9740"/>
        <w:tblBorders>
          <w:top w:val="single" w:color="C9D2DC" w:sz="2"/>
          <w:left w:val="single" w:color="8A6A12" w:sz="18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740"/>
      </w:tblGrid>
      <w:tr>
        <w:trPr>
          <w:cantSplit/>
        </w:trPr>
        <w:tc>
          <w:tcPr>
            <w:tcW w:type="dxa" w:w="9740"/>
            <w:shd w:fill="FFF6E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6A12"/>
                <w:sz w:val="16"/>
                <w:szCs w:val="16"/>
              </w:rPr>
              <w:t xml:space="preserve">FIVE SENTENCES. NO CLICKING.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 is invited to four places.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Everything that decides what publishes is ordinary software — same input, same output, always.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Every model claim must cite.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Nothing retrievable, and the candidate is dropped; a rule reaches the verdict.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Safety gaps are never AI-filled.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plausible allergen list is not an allergen list. It gets printed on a label.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Below 0.9 confidence on a safety attribute, every listing is withheld.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Fail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 provider down?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step has a deterministic fallback. This entire demo runs with no model at all.</w:t>
            </w:r>
          </w:p>
        </w:tc>
      </w:tr>
    </w:tbl>
    <w:p>
      <w:pPr>
        <w:pStyle w:val="Heading1"/>
        <w:keepNext/>
        <w:pBdr>
          <w:bottom w:val="single" w:color="1B2A4A" w:sz="10" w:space="5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The close — 14:00</w:t>
      </w:r>
    </w:p>
    <w:tbl>
      <w:tblPr>
        <w:tblW w:type="dxa" w:w="9740"/>
        <w:tblBorders>
          <w:top w:val="single" w:color="C9D2DC" w:sz="2"/>
          <w:left w:val="single" w:color="0B5D8A" w:sz="18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740"/>
      </w:tblGrid>
      <w:tr>
        <w:trPr>
          <w:cantSplit/>
        </w:trPr>
        <w:tc>
          <w:tcPr>
            <w:tcW w:type="dxa" w:w="9740"/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5D8A"/>
                <w:sz w:val="16"/>
                <w:szCs w:val="16"/>
              </w:rPr>
              <w:t xml:space="preserve">LAND ON ADOPTABILITY</w:t>
            </w:r>
          </w:p>
          <w:p>
            <w:pPr>
              <w:spacing w:after="70" w:line="268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“This deploys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1A1A"/>
                <w:sz w:val="19"/>
                <w:szCs w:val="19"/>
              </w:rPr>
              <w:t xml:space="preserve">beside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 your PIM, not instead of it. Eleven systems already connect over an open protocol. Weeks become days. A full re-review becomes a targeted republish. And nothing reaches a customer without a person's name on it.”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Then the honest half: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9"/>
                <w:szCs w:val="19"/>
              </w:rPr>
              <w:t xml:space="preserve">“What stands between this and a sale is single sign-on and role enforcement. Everything else you have just watched is built, tested and running.”</w:t>
            </w:r>
          </w:p>
        </w:tc>
      </w:tr>
    </w:tbl>
    <w:p>
      <w:pPr>
        <w:pStyle w:val="Heading1"/>
        <w:keepNext/>
        <w:pBdr>
          <w:bottom w:val="single" w:color="1B2A4A" w:sz="10" w:space="5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If you are running late</w:t>
      </w:r>
    </w:p>
    <w:p>
      <w:pPr>
        <w:spacing w:after="60" w:line="27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Cut Beat 2 and Beat 6 — four minutes.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Never cut Blast Radius or the approval gate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: without them this is a workflow tool.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0B5D8A"/>
          <w:sz w:val="19"/>
          <w:szCs w:val="19"/>
        </w:rPr>
        <w:t xml:space="preserve">If a judge interrupts: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“Every claim has a screen, a file or a test behind it. Ask for any of them.”</w:t>
      </w:r>
    </w:p>
    <w:sectPr>
      <w:footerReference w:type="default" r:id="rId7"/>
      <w:pgSz w:w="11906" w:h="16838" w:orient="portrait"/>
      <w:pgMar w:top="1120" w:right="1224" w:bottom="100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5"/>
        <w:szCs w:val="15"/>
      </w:rPr>
      <w:t xml:space="preserve">Veriflow — 15-Minute Demo Flow  ·  </w:t>
    </w:r>
    <w:r>
      <w:rPr>
        <w:rFonts w:ascii="Calibri" w:cs="Calibri" w:eastAsia="Calibri" w:hAnsi="Calibri"/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Veriflow — 15-Minute Demo Flow &amp; Commentary Notes</dc:title>
  <dc:creator>Product &amp; Engineering Team</dc:creator>
  <dc:description>Timed demo run sheet with verbatim commentary, guardrails panel and closing pitch.</dc:description>
  <cp:lastModifiedBy>Un-named</cp:lastModifiedBy>
  <cp:revision>1</cp:revision>
  <dcterms:created xsi:type="dcterms:W3CDTF">2026-09-01T07:26:21.519Z</dcterms:created>
  <dcterms:modified xsi:type="dcterms:W3CDTF">2026-09-01T07:26:21.521Z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