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0B5D8A"/>
          <w:spacing w:val="60"/>
          <w:sz w:val="20"/>
          <w:szCs w:val="20"/>
        </w:rPr>
        <w:t xml:space="preserve">VERIFLOW</w:t>
      </w:r>
    </w:p>
    <w:p>
      <w:pPr>
        <w:spacing w:after="100" w:before="140"/>
      </w:pPr>
      <w:r>
        <w:rPr>
          <w:rFonts w:ascii="Calibri" w:cs="Calibri" w:eastAsia="Calibri" w:hAnsi="Calibri"/>
          <w:b/>
          <w:bCs/>
          <w:color w:val="1B2A4A"/>
          <w:sz w:val="56"/>
          <w:szCs w:val="56"/>
        </w:rPr>
        <w:t xml:space="preserve">How to Explain the Build</w:t>
      </w:r>
    </w:p>
    <w:p>
      <w:pPr>
        <w:spacing w:after="260"/>
      </w:pPr>
      <w:r>
        <w:rPr>
          <w:rFonts w:ascii="Calibri" w:cs="Calibri" w:eastAsia="Calibri" w:hAnsi="Calibri"/>
          <w:b/>
          <w:bCs/>
          <w:color w:val="1B2A4A"/>
          <w:sz w:val="56"/>
          <w:szCs w:val="56"/>
        </w:rPr>
        <w:t xml:space="preserve">Against the Original Ask</w:t>
      </w:r>
    </w:p>
    <w:p>
      <w:pPr>
        <w:pBdr>
          <w:top w:val="single" w:color="0B5D8A" w:sz="12" w:space="10"/>
        </w:pBdr>
        <w:spacing w:after="320"/>
      </w:pPr>
    </w:p>
    <w:p>
      <w:pPr>
        <w:spacing w:after="400" w:line="276"/>
      </w:pPr>
      <w:r>
        <w:rPr>
          <w:rFonts w:ascii="Calibri" w:cs="Calibri" w:eastAsia="Calibri" w:hAnsi="Calibri"/>
          <w:color w:val="4A5568"/>
          <w:sz w:val="23"/>
          <w:szCs w:val="23"/>
        </w:rPr>
        <w:t xml:space="preserve">A step-by-step walkthrough guide. It takes the Business Requirements Document for Problem Statement 05 — the Autonomous Product Intelligence Factory — and shows, requirement by requirement, where the answer lives in the running system, what to open on screen, and what to say while it is open.</w:t>
      </w:r>
    </w:p>
    <w:tbl>
      <w:tblPr>
        <w:tblW w:type="dxa" w:w="9026"/>
        <w:tblBorders>
          <w:top w:val="single" w:color="1B2A4A" w:sz="4"/>
          <w:left w:val="none"/>
          <w:bottom w:val="single" w:color="1B2A4A" w:sz="4"/>
          <w:right w:val="none"/>
          <w:insideH w:val="single" w:color="C9D2DC" w:sz="2"/>
          <w:insideV w:val="single" w:color="C9D2DC" w:sz="2"/>
        </w:tblBorders>
      </w:tblPr>
      <w:tblGrid>
        <w:gridCol w:w="2400"/>
        <w:gridCol w:w="6626"/>
      </w:tblGrid>
      <w:tr>
        <w:trPr>
          <w:tblHeader/>
        </w:trPr>
        <w:tc>
          <w:tcPr>
            <w:tcW w:type="dxa" w:w="24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Field</w:t>
            </w:r>
          </w:p>
        </w:tc>
        <w:tc>
          <w:tcPr>
            <w:tcW w:type="dxa" w:w="66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Value</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Guide</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Solution Walkthrough &amp; Traceability Guide v1.0</w:t>
            </w:r>
          </w:p>
        </w:tc>
      </w:tr>
      <w:tr>
        <w:tc>
          <w:tcPr>
            <w:tcW w:type="dxa" w:w="24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Anchor document</w:t>
            </w:r>
          </w:p>
        </w:tc>
        <w:tc>
          <w:tcPr>
            <w:tcW w:type="dxa" w:w="6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Veriflow — Business Requirements Document v1.0 (veriflow-brd.html)</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System explained</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Autonomous Product Intelligence Factory (this repository, branch V11 / commit V12)</w:t>
            </w:r>
          </w:p>
        </w:tc>
      </w:tr>
      <w:tr>
        <w:tc>
          <w:tcPr>
            <w:tcW w:type="dxa" w:w="24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Source problem</w:t>
            </w:r>
          </w:p>
        </w:tc>
        <w:tc>
          <w:tcPr>
            <w:tcW w:type="dxa" w:w="6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Problem Statement 05 — Retail · Retail Operations</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Audience</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National Finale jury, business sponsors, solution architects, reviewers</w:t>
            </w:r>
          </w:p>
        </w:tc>
      </w:tr>
      <w:tr>
        <w:tc>
          <w:tcPr>
            <w:tcW w:type="dxa" w:w="24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Reading level</w:t>
            </w:r>
          </w:p>
        </w:tc>
        <w:tc>
          <w:tcPr>
            <w:tcW w:type="dxa" w:w="6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Written to be followed by someone with no prior exposure to the codebase</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Prepared</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1 September 2026</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Contents</w:t>
      </w:r>
    </w:p>
    <w:tbl>
      <w:tblPr>
        <w:tblW w:type="dxa" w:w="9026"/>
        <w:tblBorders>
          <w:top w:val="single" w:color="1B2A4A" w:sz="4"/>
          <w:left w:val="none"/>
          <w:bottom w:val="single" w:color="1B2A4A" w:sz="4"/>
          <w:right w:val="none"/>
          <w:insideH w:val="single" w:color="C9D2DC" w:sz="2"/>
          <w:insideV w:val="single" w:color="C9D2DC" w:sz="2"/>
        </w:tblBorders>
      </w:tblPr>
      <w:tblGrid>
        <w:gridCol w:w="500"/>
        <w:gridCol w:w="3100"/>
        <w:gridCol w:w="5426"/>
      </w:tblGrid>
      <w:tr>
        <w:trPr>
          <w:tblHeader/>
        </w:trPr>
        <w:tc>
          <w:tcPr>
            <w:tcW w:type="dxa" w:w="5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t>
            </w:r>
          </w:p>
        </w:tc>
        <w:tc>
          <w:tcPr>
            <w:tcW w:type="dxa" w:w="31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Section</w:t>
            </w:r>
          </w:p>
        </w:tc>
        <w:tc>
          <w:tcPr>
            <w:tcW w:type="dxa" w:w="54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it gives you</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w:t>
            </w:r>
          </w:p>
        </w:tc>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How to use this guide</w:t>
            </w:r>
          </w:p>
        </w:tc>
        <w:tc>
          <w:tcPr>
            <w:tcW w:type="dxa" w:w="54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Three demo lengths, three rules for the whole talk, and the plainest version of what the system is.</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2</w:t>
            </w:r>
          </w:p>
        </w:tc>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The ask, in plain words</w:t>
            </w:r>
          </w:p>
        </w:tc>
        <w:tc>
          <w:tcPr>
            <w:tcW w:type="dxa" w:w="54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nine-section BRD boiled down to three things, plus what it says success looks like.</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3</w:t>
            </w:r>
          </w:p>
        </w:tc>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The answer, in one sentence and one minute</w:t>
            </w:r>
          </w:p>
        </w:tc>
        <w:tc>
          <w:tcPr>
            <w:tcW w:type="dxa" w:w="54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line to open with, the five beats to say before you touch a screen, and the Human / AI / Software table.</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4</w:t>
            </w:r>
          </w:p>
        </w:tc>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The ten-step walkthrough</w:t>
            </w:r>
          </w:p>
        </w:tc>
        <w:tc>
          <w:tcPr>
            <w:tcW w:type="dxa" w:w="54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demo path. Each step: what to open, what to say, which requirement it closes, and the line that lands.</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5</w:t>
            </w:r>
          </w:p>
        </w:tc>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Requirement-by-requirement traceability</w:t>
            </w:r>
          </w:p>
        </w:tc>
        <w:tc>
          <w:tcPr>
            <w:tcW w:type="dxa" w:w="54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All twelve BRD requirements and the governance controls, each with where it is built and how to check it.</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6</w:t>
            </w:r>
          </w:p>
        </w:tc>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Engineering depth</w:t>
            </w:r>
          </w:p>
        </w:tc>
        <w:tc>
          <w:tcPr>
            <w:tcW w:type="dxa" w:w="54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Ten decisions, each with one sentence of what and one of why — plus what the test suite is actually for.</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7</w:t>
            </w:r>
          </w:p>
        </w:tc>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AI depth</w:t>
            </w:r>
          </w:p>
        </w:tc>
        <w:tc>
          <w:tcPr>
            <w:tcW w:type="dxa" w:w="54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four places a model is invited in, the six fences around it, and whether we measured it.</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8</w:t>
            </w:r>
          </w:p>
        </w:tc>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Value beyond the ask</w:t>
            </w:r>
          </w:p>
        </w:tc>
        <w:tc>
          <w:tcPr>
            <w:tcW w:type="dxa" w:w="54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Eight things this build does that the BRD did not ask for, framed as the questions a business asks next.</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9</w:t>
            </w:r>
          </w:p>
        </w:tc>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The numbers to have ready</w:t>
            </w:r>
          </w:p>
        </w:tc>
        <w:tc>
          <w:tcPr>
            <w:tcW w:type="dxa" w:w="54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Every checkable figure, grouped into the world, the build, and the demo's headlines.</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10</w:t>
            </w:r>
          </w:p>
        </w:tc>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Hard questions, and how to answer them</w:t>
            </w:r>
          </w:p>
        </w:tc>
        <w:tc>
          <w:tcPr>
            <w:tcW w:type="dxa" w:w="54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Ten questions a reviewer will ask. Each answer has a short answer, a reason, and somewhere to click.</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11</w:t>
            </w:r>
          </w:p>
        </w:tc>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What we deliberately did not do</w:t>
            </w:r>
          </w:p>
        </w:tc>
        <w:tc>
          <w:tcPr>
            <w:tcW w:type="dxa" w:w="54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Ten boundaries, each with its reason — and how to close the whole talk.</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12</w:t>
            </w:r>
          </w:p>
        </w:tc>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Run sheet</w:t>
            </w:r>
          </w:p>
        </w:tc>
        <w:tc>
          <w:tcPr>
            <w:tcW w:type="dxa" w:w="54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Commands, the five addresses, what to do if something breaks mid-demo, three sentences to memorise.</w:t>
            </w:r>
          </w:p>
        </w:tc>
      </w:tr>
    </w:tbl>
    <w:p>
      <w:pPr>
        <w:spacing w:after="220"/>
      </w:pP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IF YOU READ NOTHING ELSE</w:t>
            </w:r>
          </w:p>
          <w:p>
            <w:pPr>
              <w:spacing w:after="0" w:line="276"/>
            </w:pPr>
            <w:r>
              <w:rPr>
                <w:rFonts w:ascii="Calibri" w:cs="Calibri" w:eastAsia="Calibri" w:hAnsi="Calibri"/>
                <w:color w:val="1A1A1A"/>
                <w:sz w:val="21"/>
                <w:szCs w:val="21"/>
              </w:rPr>
              <w:t xml:space="preserve">Section 3 gives you the opening. Section 5 is the table to leave on screen at the end. Everything between the two is how you get from one to the other.</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1. How to use this guide</w:t>
      </w:r>
    </w:p>
    <w:p>
      <w:pPr>
        <w:spacing w:after="120" w:line="276"/>
      </w:pPr>
      <w:r>
        <w:rPr>
          <w:rFonts w:ascii="Calibri" w:cs="Calibri" w:eastAsia="Calibri" w:hAnsi="Calibri"/>
          <w:color w:val="1A1A1A"/>
          <w:sz w:val="21"/>
          <w:szCs w:val="21"/>
        </w:rPr>
        <w:t xml:space="preserve">This guide has one job: to let you stand in front of a room, open the application, and prove that every line of the Business Requirements Document has a working answer behind it.</w:t>
      </w:r>
    </w:p>
    <w:p>
      <w:pPr>
        <w:pStyle w:val="Heading2"/>
        <w:spacing w:after="130" w:before="280"/>
      </w:pPr>
      <w:r>
        <w:rPr>
          <w:rFonts w:ascii="Calibri" w:cs="Calibri" w:eastAsia="Calibri" w:hAnsi="Calibri"/>
          <w:b/>
          <w:bCs/>
          <w:color w:val="0B5D8A"/>
          <w:sz w:val="24"/>
          <w:szCs w:val="24"/>
        </w:rPr>
        <w:t xml:space="preserve">Pick your length before you start</w:t>
      </w:r>
    </w:p>
    <w:tbl>
      <w:tblPr>
        <w:tblW w:type="dxa" w:w="9026"/>
        <w:tblBorders>
          <w:top w:val="single" w:color="1B2A4A" w:sz="4"/>
          <w:left w:val="none"/>
          <w:bottom w:val="single" w:color="1B2A4A" w:sz="4"/>
          <w:right w:val="none"/>
          <w:insideH w:val="single" w:color="C9D2DC" w:sz="2"/>
          <w:insideV w:val="single" w:color="C9D2DC" w:sz="2"/>
        </w:tblBorders>
      </w:tblPr>
      <w:tblGrid>
        <w:gridCol w:w="1600"/>
        <w:gridCol w:w="5100"/>
        <w:gridCol w:w="2326"/>
      </w:tblGrid>
      <w:tr>
        <w:trPr>
          <w:tblHeader/>
        </w:trPr>
        <w:tc>
          <w:tcPr>
            <w:tcW w:type="dxa" w:w="16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You have</w:t>
            </w:r>
          </w:p>
        </w:tc>
        <w:tc>
          <w:tcPr>
            <w:tcW w:type="dxa" w:w="51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Do this</w:t>
            </w:r>
          </w:p>
        </w:tc>
        <w:tc>
          <w:tcPr>
            <w:tcW w:type="dxa" w:w="23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Sections to read</w:t>
            </w:r>
          </w:p>
        </w:tc>
      </w:tr>
      <w:tr>
        <w:tc>
          <w:tcPr>
            <w:tcW w:type="dxa" w:w="16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5 minutes</w:t>
            </w:r>
          </w:p>
        </w:tc>
        <w:tc>
          <w:tcPr>
            <w:tcW w:type="dxa" w:w="5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Say the one-sentence answer, then run Step 5 (the correction) and Step 6 (the blast radius) only.</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2, 3, Steps 5–6</w:t>
            </w:r>
          </w:p>
        </w:tc>
      </w:tr>
      <w:tr>
        <w:tc>
          <w:tcPr>
            <w:tcW w:type="dxa" w:w="16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15 minutes</w:t>
            </w:r>
          </w:p>
        </w:tc>
        <w:tc>
          <w:tcPr>
            <w:tcW w:type="dxa" w:w="5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one-sentence answer, then Steps 1, 5, 6, 7, 9. Finish on the traceability table.</w:t>
            </w:r>
          </w:p>
        </w:tc>
        <w:tc>
          <w:tcPr>
            <w:tcW w:type="dxa" w:w="2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2, 3, Steps 1/5/6/7/9, 5</w:t>
            </w:r>
          </w:p>
        </w:tc>
      </w:tr>
      <w:tr>
        <w:tc>
          <w:tcPr>
            <w:tcW w:type="dxa" w:w="16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45 minutes</w:t>
            </w:r>
          </w:p>
        </w:tc>
        <w:tc>
          <w:tcPr>
            <w:tcW w:type="dxa" w:w="5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full ten-step walkthrough, then engineering depth and AI depth.</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All of it</w:t>
            </w:r>
          </w:p>
        </w:tc>
      </w:tr>
      <w:tr>
        <w:tc>
          <w:tcPr>
            <w:tcW w:type="dxa" w:w="16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Questions only</w:t>
            </w:r>
          </w:p>
        </w:tc>
        <w:tc>
          <w:tcPr>
            <w:tcW w:type="dxa" w:w="5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Go straight to Section 10. Every hard question a reviewer asks is answered there with a place to click.</w:t>
            </w:r>
          </w:p>
        </w:tc>
        <w:tc>
          <w:tcPr>
            <w:tcW w:type="dxa" w:w="2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10, 11</w:t>
            </w:r>
          </w:p>
        </w:tc>
      </w:tr>
    </w:tbl>
    <w:p>
      <w:pPr>
        <w:pStyle w:val="Heading2"/>
        <w:spacing w:after="130" w:before="280"/>
      </w:pPr>
      <w:r>
        <w:rPr>
          <w:rFonts w:ascii="Calibri" w:cs="Calibri" w:eastAsia="Calibri" w:hAnsi="Calibri"/>
          <w:b/>
          <w:bCs/>
          <w:color w:val="0B5D8A"/>
          <w:sz w:val="24"/>
          <w:szCs w:val="24"/>
        </w:rPr>
        <w:t xml:space="preserve">Three rules for the whole talk</w:t>
      </w:r>
    </w:p>
    <w:p>
      <w:pPr>
        <w:pStyle w:val="ListParagraph"/>
        <w:numPr>
          <w:ilvl w:val="0"/>
          <w:numId w:val="2"/>
        </w:numPr>
        <w:spacing w:after="70" w:line="270"/>
      </w:pPr>
      <w:r>
        <w:rPr>
          <w:rFonts w:ascii="Calibri" w:cs="Calibri" w:eastAsia="Calibri" w:hAnsi="Calibri"/>
          <w:b/>
          <w:bCs/>
          <w:color w:val="1A1A1A"/>
          <w:sz w:val="21"/>
          <w:szCs w:val="21"/>
        </w:rPr>
        <w:t xml:space="preserve">Never claim a behaviour you cannot open. </w:t>
      </w:r>
      <w:r>
        <w:rPr>
          <w:rFonts w:ascii="Calibri" w:cs="Calibri" w:eastAsia="Calibri" w:hAnsi="Calibri"/>
          <w:color w:val="1A1A1A"/>
          <w:sz w:val="21"/>
          <w:szCs w:val="21"/>
        </w:rPr>
        <w:t xml:space="preserve">Everything in this guide points at a screen, a file or a test. If a claim has no place to click, do not make it.</w:t>
      </w:r>
    </w:p>
    <w:p>
      <w:pPr>
        <w:pStyle w:val="ListParagraph"/>
        <w:numPr>
          <w:ilvl w:val="0"/>
          <w:numId w:val="2"/>
        </w:numPr>
        <w:spacing w:after="70" w:line="270"/>
      </w:pPr>
      <w:r>
        <w:rPr>
          <w:rFonts w:ascii="Calibri" w:cs="Calibri" w:eastAsia="Calibri" w:hAnsi="Calibri"/>
          <w:b/>
          <w:bCs/>
          <w:color w:val="1A1A1A"/>
          <w:sz w:val="21"/>
          <w:szCs w:val="21"/>
        </w:rPr>
        <w:t xml:space="preserve">Say what the system does not do, early. </w:t>
      </w:r>
      <w:r>
        <w:rPr>
          <w:rFonts w:ascii="Calibri" w:cs="Calibri" w:eastAsia="Calibri" w:hAnsi="Calibri"/>
          <w:color w:val="1A1A1A"/>
          <w:sz w:val="21"/>
          <w:szCs w:val="21"/>
        </w:rPr>
        <w:t xml:space="preserve">A reviewer trusts a build that draws its own boundary. Section 11 is the list, and it is a strength, not a confession.</w:t>
      </w:r>
    </w:p>
    <w:p>
      <w:pPr>
        <w:pStyle w:val="ListParagraph"/>
        <w:numPr>
          <w:ilvl w:val="0"/>
          <w:numId w:val="2"/>
        </w:numPr>
        <w:spacing w:after="70" w:line="270"/>
      </w:pPr>
      <w:r>
        <w:rPr>
          <w:rFonts w:ascii="Calibri" w:cs="Calibri" w:eastAsia="Calibri" w:hAnsi="Calibri"/>
          <w:b/>
          <w:bCs/>
          <w:color w:val="1A1A1A"/>
          <w:sz w:val="21"/>
          <w:szCs w:val="21"/>
        </w:rPr>
        <w:t xml:space="preserve">Use the words the ask used. </w:t>
      </w:r>
      <w:r>
        <w:rPr>
          <w:rFonts w:ascii="Calibri" w:cs="Calibri" w:eastAsia="Calibri" w:hAnsi="Calibri"/>
          <w:color w:val="1A1A1A"/>
          <w:sz w:val="21"/>
          <w:szCs w:val="21"/>
        </w:rPr>
        <w:t xml:space="preserve">The BRD says provenance, blast radius, approval gate, re-plan. Use those words. It lets a reviewer follow their own document while you talk.</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THE PLAINEST VERSION OF THE WHOLE THING</w:t>
            </w:r>
          </w:p>
          <w:p>
            <w:pPr>
              <w:spacing w:after="0" w:line="276"/>
            </w:pPr>
            <w:r>
              <w:rPr>
                <w:rFonts w:ascii="Calibri" w:cs="Calibri" w:eastAsia="Calibri" w:hAnsi="Calibri"/>
                <w:color w:val="1A1A1A"/>
                <w:sz w:val="21"/>
                <w:szCs w:val="21"/>
              </w:rPr>
              <w:t xml:space="preserve">A shop sells thousands of products. The information about each one — weight, power, ingredients, allergens, certificates — arrives from suppliers in messy files, at random times, and is sometimes wrong. Somebody then corrects it after the product is already on sale, on a website, on two marketplaces, in a printed catalogue and on a shelf label. Our system is the machine that catches that correction and works out, exactly, everything in the world that just became wrong — then fixes it under human approval, and keeps a record of who decided what and why.</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2. The ask, in plain words</w:t>
      </w:r>
    </w:p>
    <w:p>
      <w:pPr>
        <w:spacing w:after="120" w:line="276"/>
      </w:pPr>
      <w:r>
        <w:rPr>
          <w:rFonts w:ascii="Calibri" w:cs="Calibri" w:eastAsia="Calibri" w:hAnsi="Calibri"/>
          <w:color w:val="1A1A1A"/>
          <w:sz w:val="21"/>
          <w:szCs w:val="21"/>
        </w:rPr>
        <w:t xml:space="preserve">The BRD is nine sections long. Underneath it there are only three things being asked for. Learn these three and you can answer any question in the room.</w:t>
      </w:r>
    </w:p>
    <w:p>
      <w:pPr>
        <w:pStyle w:val="Heading2"/>
        <w:spacing w:after="130" w:before="280"/>
      </w:pPr>
      <w:r>
        <w:rPr>
          <w:rFonts w:ascii="Calibri" w:cs="Calibri" w:eastAsia="Calibri" w:hAnsi="Calibri"/>
          <w:b/>
          <w:bCs/>
          <w:color w:val="0B5D8A"/>
          <w:sz w:val="24"/>
          <w:szCs w:val="24"/>
        </w:rPr>
        <w:t xml:space="preserve">The three things the BRD actually asks for</w:t>
      </w:r>
    </w:p>
    <w:tbl>
      <w:tblPr>
        <w:tblW w:type="dxa" w:w="9026"/>
        <w:tblBorders>
          <w:top w:val="single" w:color="1B2A4A" w:sz="4"/>
          <w:left w:val="none"/>
          <w:bottom w:val="single" w:color="1B2A4A" w:sz="4"/>
          <w:right w:val="none"/>
          <w:insideH w:val="single" w:color="C9D2DC" w:sz="2"/>
          <w:insideV w:val="single" w:color="C9D2DC" w:sz="2"/>
        </w:tblBorders>
      </w:tblPr>
      <w:tblGrid>
        <w:gridCol w:w="500"/>
        <w:gridCol w:w="4200"/>
        <w:gridCol w:w="4326"/>
      </w:tblGrid>
      <w:tr>
        <w:trPr>
          <w:tblHeader/>
        </w:trPr>
        <w:tc>
          <w:tcPr>
            <w:tcW w:type="dxa" w:w="5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t>
            </w:r>
          </w:p>
        </w:tc>
        <w:tc>
          <w:tcPr>
            <w:tcW w:type="dxa" w:w="42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The ask, in the BRD's words</w:t>
            </w:r>
          </w:p>
        </w:tc>
        <w:tc>
          <w:tcPr>
            <w:tcW w:type="dxa" w:w="43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The same thing, in plain words</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w:t>
            </w:r>
          </w:p>
        </w:tc>
        <w:tc>
          <w:tcPr>
            <w:tcW w:type="dxa" w:w="4200"/>
            <w:shd w:fill="FFFFFF" w:color="auto" w:val="clear"/>
            <w:tcMar>
              <w:top w:type="dxa" w:w="90"/>
              <w:left w:type="dxa" w:w="130"/>
              <w:bottom w:type="dxa" w:w="90"/>
              <w:right w:type="dxa" w:w="130"/>
            </w:tcMar>
          </w:tcPr>
          <w:p>
            <w:pPr>
              <w:spacing w:after="0" w:line="250"/>
            </w:pPr>
            <w:r>
              <w:rPr>
                <w:rFonts w:ascii="Calibri" w:cs="Calibri" w:eastAsia="Calibri" w:hAnsi="Calibri"/>
                <w:i/>
                <w:iCs/>
                <w:color w:val="1A1A1A"/>
                <w:sz w:val="18"/>
                <w:szCs w:val="18"/>
              </w:rPr>
              <w:t xml:space="preserve">Assemble and reconcile fragmented supplier evidence into a coherent, time-aware operating view — and make uncertainty explicit rather than silently resolving it.</w:t>
            </w:r>
          </w:p>
        </w:tc>
        <w:tc>
          <w:tcPr>
            <w:tcW w:type="dxa" w:w="4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Pull everything we know about a product into one place, from every system that has an opinion. Where the sources disagree, say so out loud instead of picking one and hoping.</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2</w:t>
            </w:r>
          </w:p>
        </w:tc>
        <w:tc>
          <w:tcPr>
            <w:tcW w:type="dxa" w:w="4200"/>
            <w:shd w:fill="F7F9FC" w:color="auto" w:val="clear"/>
            <w:tcMar>
              <w:top w:type="dxa" w:w="90"/>
              <w:left w:type="dxa" w:w="130"/>
              <w:bottom w:type="dxa" w:w="90"/>
              <w:right w:type="dxa" w:w="130"/>
            </w:tcMar>
          </w:tcPr>
          <w:p>
            <w:pPr>
              <w:spacing w:after="0" w:line="250"/>
            </w:pPr>
            <w:r>
              <w:rPr>
                <w:rFonts w:ascii="Calibri" w:cs="Calibri" w:eastAsia="Calibri" w:hAnsi="Calibri"/>
                <w:i/>
                <w:iCs/>
                <w:color w:val="1A1A1A"/>
                <w:sz w:val="18"/>
                <w:szCs w:val="18"/>
              </w:rPr>
              <w:t xml:space="preserve">Dynamically plan the next action, prevent duplicate actions, coordinate tools safely, and recover from partial failure.</w:t>
            </w:r>
          </w:p>
        </w:tc>
        <w:tc>
          <w:tcPr>
            <w:tcW w:type="dxa" w:w="4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Decide what to do next from the facts, not from a fixed script. Never do the same thing twice. When one part fails, keep the rest correct.</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3</w:t>
            </w:r>
          </w:p>
        </w:tc>
        <w:tc>
          <w:tcPr>
            <w:tcW w:type="dxa" w:w="4200"/>
            <w:shd w:fill="FFFFFF" w:color="auto" w:val="clear"/>
            <w:tcMar>
              <w:top w:type="dxa" w:w="90"/>
              <w:left w:type="dxa" w:w="130"/>
              <w:bottom w:type="dxa" w:w="90"/>
              <w:right w:type="dxa" w:w="130"/>
            </w:tcMar>
          </w:tcPr>
          <w:p>
            <w:pPr>
              <w:spacing w:after="0" w:line="250"/>
            </w:pPr>
            <w:r>
              <w:rPr>
                <w:rFonts w:ascii="Calibri" w:cs="Calibri" w:eastAsia="Calibri" w:hAnsi="Calibri"/>
                <w:i/>
                <w:iCs/>
                <w:color w:val="1A1A1A"/>
                <w:sz w:val="18"/>
                <w:szCs w:val="18"/>
              </w:rPr>
              <w:t xml:space="preserve">Keep provenance, approvals and a replayable audit trail — and when a correction arrives after publication, find every affected field and channel.</w:t>
            </w:r>
          </w:p>
        </w:tc>
        <w:tc>
          <w:tcPr>
            <w:tcW w:type="dxa" w:w="4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Always be able to say where a value came from, who approved it, and what we believed at the time. And when a late correction lands, find everything downstream that it just broke.</w:t>
            </w:r>
          </w:p>
        </w:tc>
      </w:tr>
    </w:tbl>
    <w:p>
      <w:pPr>
        <w:pStyle w:val="Heading2"/>
        <w:spacing w:after="130" w:before="280"/>
      </w:pPr>
      <w:r>
        <w:rPr>
          <w:rFonts w:ascii="Calibri" w:cs="Calibri" w:eastAsia="Calibri" w:hAnsi="Calibri"/>
          <w:b/>
          <w:bCs/>
          <w:color w:val="0B5D8A"/>
          <w:sz w:val="24"/>
          <w:szCs w:val="24"/>
        </w:rPr>
        <w:t xml:space="preserve">The one requirement everything else orbits</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FFF6E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BRD-12 — THE NATIONAL FINALE INJECT</w:t>
            </w:r>
          </w:p>
          <w:p>
            <w:pPr>
              <w:spacing w:after="0" w:line="276"/>
            </w:pPr>
            <w:r>
              <w:rPr>
                <w:rFonts w:ascii="Calibri" w:cs="Calibri" w:eastAsia="Calibri" w:hAnsi="Calibri"/>
                <w:color w:val="1A1A1A"/>
                <w:sz w:val="21"/>
                <w:szCs w:val="21"/>
              </w:rPr>
              <w:t xml:space="preserve">“When a supplier sends a corrected specification after publication, propagate the correction and identify every affected field and channel.” This is the hardest sentence in the document. It is the one the whole architecture was chosen for, and it is the one we can demonstrate live in under a minute.</w:t>
            </w:r>
          </w:p>
        </w:tc>
      </w:tr>
    </w:tbl>
    <w:p>
      <w:pPr>
        <w:pStyle w:val="Heading2"/>
        <w:spacing w:after="130" w:before="280"/>
      </w:pPr>
      <w:r>
        <w:rPr>
          <w:rFonts w:ascii="Calibri" w:cs="Calibri" w:eastAsia="Calibri" w:hAnsi="Calibri"/>
          <w:b/>
          <w:bCs/>
          <w:color w:val="0B5D8A"/>
          <w:sz w:val="24"/>
          <w:szCs w:val="24"/>
        </w:rPr>
        <w:t xml:space="preserve">What the BRD says success looks like</w:t>
      </w:r>
    </w:p>
    <w:p>
      <w:pPr>
        <w:spacing w:after="100" w:line="276"/>
      </w:pPr>
      <w:r>
        <w:rPr>
          <w:rFonts w:ascii="Calibri" w:cs="Calibri" w:eastAsia="Calibri" w:hAnsi="Calibri"/>
          <w:color w:val="1A1A1A"/>
          <w:sz w:val="21"/>
          <w:szCs w:val="21"/>
        </w:rPr>
        <w:t xml:space="preserve">Four business targets, and one risk the BRD is unusually blunt about.</w:t>
      </w:r>
    </w:p>
    <w:tbl>
      <w:tblPr>
        <w:tblW w:type="dxa" w:w="9026"/>
        <w:tblBorders>
          <w:top w:val="single" w:color="1B2A4A" w:sz="4"/>
          <w:left w:val="none"/>
          <w:bottom w:val="single" w:color="1B2A4A" w:sz="4"/>
          <w:right w:val="none"/>
          <w:insideH w:val="single" w:color="C9D2DC" w:sz="2"/>
          <w:insideV w:val="single" w:color="C9D2DC" w:sz="2"/>
        </w:tblBorders>
      </w:tblPr>
      <w:tblGrid>
        <w:gridCol w:w="3400"/>
        <w:gridCol w:w="5626"/>
      </w:tblGrid>
      <w:tr>
        <w:trPr>
          <w:tblHeader/>
        </w:trPr>
        <w:tc>
          <w:tcPr>
            <w:tcW w:type="dxa" w:w="34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The BRD's target</w:t>
            </w:r>
          </w:p>
        </w:tc>
        <w:tc>
          <w:tcPr>
            <w:tcW w:type="dxa" w:w="56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How our build speaks to it</w:t>
            </w:r>
          </w:p>
        </w:tc>
      </w:tr>
      <w:tr>
        <w:tc>
          <w:tcPr>
            <w:tcW w:type="dxa" w:w="34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Onboarding time: 4–6 weeks → days</w:t>
            </w:r>
          </w:p>
        </w:tc>
        <w:tc>
          <w:tcPr>
            <w:tcW w:type="dxa" w:w="5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supplier's forty-line bundle is assessed in one sequential pass, in milliseconds per product, and comes back as a report saying how many are fit to sell.</w:t>
            </w:r>
          </w:p>
        </w:tc>
      </w:tr>
      <w:tr>
        <w:tc>
          <w:tcPr>
            <w:tcW w:type="dxa" w:w="34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Cost: ~€14,000 per 1,000 products → materially lower</w:t>
            </w:r>
          </w:p>
        </w:tc>
        <w:tc>
          <w:tcPr>
            <w:tcW w:type="dxa" w:w="5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Manual mapping and QA are what cost that money. Six of ten launch checks are rules that run with no model call at all; three read prose and must cite; gaps that a source document can prove are filled automatically.</w:t>
            </w:r>
          </w:p>
        </w:tc>
      </w:tr>
      <w:tr>
        <w:tc>
          <w:tcPr>
            <w:tcW w:type="dxa" w:w="34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No full-pipeline restarts on correction</w:t>
            </w:r>
          </w:p>
        </w:tc>
        <w:tc>
          <w:tcPr>
            <w:tcW w:type="dxa" w:w="5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revision resumes the same case on the same thread. The earlier reading is carried forward and re-validated. There is no second run to reconcile.</w:t>
            </w:r>
          </w:p>
        </w:tc>
      </w:tr>
      <w:tr>
        <w:tc>
          <w:tcPr>
            <w:tcW w:type="dxa" w:w="34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Fewer mis-publication incidents</w:t>
            </w:r>
          </w:p>
        </w:tc>
        <w:tc>
          <w:tcPr>
            <w:tcW w:type="dxa" w:w="5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Publication is behind a recorded human approval, a stale-evidence check and a safety gate. Three refusals, plus a fourth for republishing after a redaction.</w:t>
            </w:r>
          </w:p>
        </w:tc>
      </w:tr>
      <w:tr>
        <w:tc>
          <w:tcPr>
            <w:tcW w:type="dxa" w:w="3400"/>
            <w:shd w:fill="FFFFFF" w:color="auto" w:val="clear"/>
            <w:tcMar>
              <w:top w:type="dxa" w:w="90"/>
              <w:left w:type="dxa" w:w="130"/>
              <w:bottom w:type="dxa" w:w="90"/>
              <w:right w:type="dxa" w:w="130"/>
            </w:tcMar>
          </w:tcPr>
          <w:p>
            <w:pPr>
              <w:spacing w:after="0" w:line="250"/>
            </w:pPr>
            <w:r>
              <w:rPr>
                <w:rFonts w:ascii="Calibri" w:cs="Calibri" w:eastAsia="Calibri" w:hAnsi="Calibri"/>
                <w:i/>
                <w:iCs/>
                <w:color w:val="1A1A1A"/>
                <w:sz w:val="18"/>
                <w:szCs w:val="18"/>
              </w:rPr>
              <w:t xml:space="preserve">Gartner: 40%+ of agentic AI projects cancelled by 2027</w:t>
            </w:r>
          </w:p>
        </w:tc>
        <w:tc>
          <w:tcPr>
            <w:tcW w:type="dxa" w:w="5626"/>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This is why the system is mostly ordinary software. </w:t>
            </w:r>
            <w:r>
              <w:rPr>
                <w:rFonts w:ascii="Calibri" w:cs="Calibri" w:eastAsia="Calibri" w:hAnsi="Calibri"/>
                <w:color w:val="1A1A1A"/>
                <w:sz w:val="18"/>
                <w:szCs w:val="18"/>
              </w:rPr>
              <w:t xml:space="preserve">AI is invited to exactly four places, each one a job software genuinely cannot do. Everything that decides what publishes is deterministic.</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3. The answer, in one sentence and in one minute</w:t>
      </w:r>
    </w:p>
    <w:p>
      <w:pPr>
        <w:pStyle w:val="Heading2"/>
        <w:spacing w:after="130" w:before="280"/>
      </w:pPr>
      <w:r>
        <w:rPr>
          <w:rFonts w:ascii="Calibri" w:cs="Calibri" w:eastAsia="Calibri" w:hAnsi="Calibri"/>
          <w:b/>
          <w:bCs/>
          <w:color w:val="0B5D8A"/>
          <w:sz w:val="24"/>
          <w:szCs w:val="24"/>
        </w:rPr>
        <w:t xml:space="preserve">The one sentence</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OPEN WITH THIS</w:t>
            </w:r>
          </w:p>
          <w:p>
            <w:pPr>
              <w:spacing w:after="0" w:line="276"/>
            </w:pPr>
            <w:r>
              <w:rPr>
                <w:rFonts w:ascii="Calibri" w:cs="Calibri" w:eastAsia="Calibri" w:hAnsi="Calibri"/>
                <w:color w:val="1A1A1A"/>
                <w:sz w:val="21"/>
                <w:szCs w:val="21"/>
              </w:rPr>
              <w:t xml:space="preserve">“The LLM interprets; deterministic code decides. A model reads a corrected value out of a supplier PDF, argues which product variant it applies to, notices a sentence has quietly become untrue, and rewrites it. Everything that determines what actually publishes — identity, lineage, taxonomy, channel rules, effective dating, propagation, approval gates, audit — is ordinary software. Same input, same output, always.”</w:t>
            </w:r>
          </w:p>
        </w:tc>
      </w:tr>
    </w:tbl>
    <w:p>
      <w:pPr>
        <w:pStyle w:val="Heading2"/>
        <w:spacing w:after="130" w:before="280"/>
      </w:pPr>
      <w:r>
        <w:rPr>
          <w:rFonts w:ascii="Calibri" w:cs="Calibri" w:eastAsia="Calibri" w:hAnsi="Calibri"/>
          <w:b/>
          <w:bCs/>
          <w:color w:val="0B5D8A"/>
          <w:sz w:val="24"/>
          <w:szCs w:val="24"/>
        </w:rPr>
        <w:t xml:space="preserve">The one minute</w:t>
      </w:r>
    </w:p>
    <w:p>
      <w:pPr>
        <w:spacing w:after="120" w:line="276"/>
      </w:pPr>
      <w:r>
        <w:rPr>
          <w:rFonts w:ascii="Calibri" w:cs="Calibri" w:eastAsia="Calibri" w:hAnsi="Calibri"/>
          <w:color w:val="1A1A1A"/>
          <w:sz w:val="21"/>
          <w:szCs w:val="21"/>
        </w:rPr>
        <w:t xml:space="preserve">If you have sixty seconds, say these five beats in order. Do not open anything yet.</w:t>
      </w:r>
    </w:p>
    <w:p>
      <w:pPr>
        <w:pStyle w:val="ListParagraph"/>
        <w:numPr>
          <w:ilvl w:val="0"/>
          <w:numId w:val="3"/>
        </w:numPr>
        <w:spacing w:after="70" w:line="270"/>
      </w:pPr>
      <w:r>
        <w:rPr>
          <w:rFonts w:ascii="Calibri" w:cs="Calibri" w:eastAsia="Calibri" w:hAnsi="Calibri"/>
          <w:color w:val="1A1A1A"/>
          <w:sz w:val="21"/>
          <w:szCs w:val="21"/>
        </w:rPr>
        <w:t xml:space="preserve">The problem: a supplier corrects a specification after the product is on sale. The wrong number is now in fifteen pieces of copy, five listings, four channels — and 214,000 printed catalogues.</w:t>
      </w:r>
    </w:p>
    <w:p>
      <w:pPr>
        <w:pStyle w:val="ListParagraph"/>
        <w:numPr>
          <w:ilvl w:val="0"/>
          <w:numId w:val="3"/>
        </w:numPr>
        <w:spacing w:after="70" w:line="270"/>
      </w:pPr>
      <w:r>
        <w:rPr>
          <w:rFonts w:ascii="Calibri" w:cs="Calibri" w:eastAsia="Calibri" w:hAnsi="Calibri"/>
          <w:color w:val="1A1A1A"/>
          <w:sz w:val="21"/>
          <w:szCs w:val="21"/>
        </w:rPr>
        <w:t xml:space="preserve">Most systems answer this by re-running the whole pipeline. That loses the audit trail, and it cannot tell you what changed.</w:t>
      </w:r>
    </w:p>
    <w:p>
      <w:pPr>
        <w:pStyle w:val="ListParagraph"/>
        <w:numPr>
          <w:ilvl w:val="0"/>
          <w:numId w:val="3"/>
        </w:numPr>
        <w:spacing w:after="70" w:line="270"/>
      </w:pPr>
      <w:r>
        <w:rPr>
          <w:rFonts w:ascii="Calibri" w:cs="Calibri" w:eastAsia="Calibri" w:hAnsi="Calibri"/>
          <w:color w:val="1A1A1A"/>
          <w:sz w:val="21"/>
          <w:szCs w:val="21"/>
        </w:rPr>
        <w:t xml:space="preserve">We built a factory instead of a script. Every fact carries where it came from and when we learned it. Every piece of copy declares the attributes it was derived from.</w:t>
      </w:r>
    </w:p>
    <w:p>
      <w:pPr>
        <w:pStyle w:val="ListParagraph"/>
        <w:numPr>
          <w:ilvl w:val="0"/>
          <w:numId w:val="3"/>
        </w:numPr>
        <w:spacing w:after="70" w:line="270"/>
      </w:pPr>
      <w:r>
        <w:rPr>
          <w:rFonts w:ascii="Calibri" w:cs="Calibri" w:eastAsia="Calibri" w:hAnsi="Calibri"/>
          <w:color w:val="1A1A1A"/>
          <w:sz w:val="21"/>
          <w:szCs w:val="21"/>
        </w:rPr>
        <w:t xml:space="preserve">So the blast radius is a graph walk, not a guess. One corrected field, traced mechanically to everything built on it.</w:t>
      </w:r>
    </w:p>
    <w:p>
      <w:pPr>
        <w:pStyle w:val="ListParagraph"/>
        <w:numPr>
          <w:ilvl w:val="0"/>
          <w:numId w:val="3"/>
        </w:numPr>
        <w:spacing w:after="70" w:line="270"/>
      </w:pPr>
      <w:r>
        <w:rPr>
          <w:rFonts w:ascii="Calibri" w:cs="Calibri" w:eastAsia="Calibri" w:hAnsi="Calibri"/>
          <w:color w:val="1A1A1A"/>
          <w:sz w:val="21"/>
          <w:szCs w:val="21"/>
        </w:rPr>
        <w:t xml:space="preserve">And nothing publishes without a human. The gate is enforced in the code, not in the documentation — there is no route around it.</w:t>
      </w:r>
    </w:p>
    <w:p>
      <w:pPr>
        <w:pStyle w:val="Heading2"/>
        <w:spacing w:after="130" w:before="280"/>
      </w:pPr>
      <w:r>
        <w:rPr>
          <w:rFonts w:ascii="Calibri" w:cs="Calibri" w:eastAsia="Calibri" w:hAnsi="Calibri"/>
          <w:b/>
          <w:bCs/>
          <w:color w:val="0B5D8A"/>
          <w:sz w:val="24"/>
          <w:szCs w:val="24"/>
        </w:rPr>
        <w:t xml:space="preserve">The three-layer answer the BRD asks for by name</w:t>
      </w:r>
    </w:p>
    <w:p>
      <w:pPr>
        <w:spacing w:after="120" w:line="276"/>
      </w:pPr>
      <w:r>
        <w:rPr>
          <w:rFonts w:ascii="Calibri" w:cs="Calibri" w:eastAsia="Calibri" w:hAnsi="Calibri"/>
          <w:color w:val="1A1A1A"/>
          <w:sz w:val="21"/>
          <w:szCs w:val="21"/>
        </w:rPr>
        <w:t xml:space="preserve">BRD Section 04 asks every team to say where humans lead, where AI augments, and where software executes. Answer it as a table, not as a paragraph — a reviewer is ticking a box while you speak.</w:t>
      </w:r>
    </w:p>
    <w:tbl>
      <w:tblPr>
        <w:tblW w:type="dxa" w:w="9026"/>
        <w:tblBorders>
          <w:top w:val="single" w:color="1B2A4A" w:sz="4"/>
          <w:left w:val="none"/>
          <w:bottom w:val="single" w:color="1B2A4A" w:sz="4"/>
          <w:right w:val="none"/>
          <w:insideH w:val="single" w:color="C9D2DC" w:sz="2"/>
          <w:insideV w:val="single" w:color="C9D2DC" w:sz="2"/>
        </w:tblBorders>
      </w:tblPr>
      <w:tblGrid>
        <w:gridCol w:w="1500"/>
        <w:gridCol w:w="5200"/>
        <w:gridCol w:w="2326"/>
      </w:tblGrid>
      <w:tr>
        <w:trPr>
          <w:tblHeader/>
        </w:trPr>
        <w:tc>
          <w:tcPr>
            <w:tcW w:type="dxa" w:w="15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Layer</w:t>
            </w:r>
          </w:p>
        </w:tc>
        <w:tc>
          <w:tcPr>
            <w:tcW w:type="dxa" w:w="52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it owns in Veriflow</w:t>
            </w:r>
          </w:p>
        </w:tc>
        <w:tc>
          <w:tcPr>
            <w:tcW w:type="dxa" w:w="23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Where you can see it</w:t>
            </w:r>
          </w:p>
        </w:tc>
      </w:tr>
      <w:tr>
        <w:tc>
          <w:tcPr>
            <w:tcW w:type="dxa" w:w="1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Humans</w:t>
            </w:r>
            <w:r>
              <w:rPr>
                <w:rFonts w:ascii="Calibri" w:cs="Calibri" w:eastAsia="Calibri" w:hAnsi="Calibri"/>
                <w:i/>
                <w:iCs/>
                <w:color w:val="4A5568"/>
                <w:sz w:val="18"/>
                <w:szCs w:val="18"/>
              </w:rPr>
              <w:t xml:space="preserve"> — judgement</w:t>
            </w:r>
          </w:p>
        </w:tc>
        <w:tc>
          <w:tcPr>
            <w:tcW w:type="dxa" w:w="52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Approving a material or regulated change. Withdrawing an approval when the evidence moves. Accepting a proposed new product line. Deciding to republish after a redaction.</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Review &amp; Audit — the shared approval queue</w:t>
            </w:r>
          </w:p>
        </w:tc>
      </w:tr>
      <w:tr>
        <w:tc>
          <w:tcPr>
            <w:tcW w:type="dxa" w:w="1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AI</w:t>
            </w:r>
            <w:r>
              <w:rPr>
                <w:rFonts w:ascii="Calibri" w:cs="Calibri" w:eastAsia="Calibri" w:hAnsi="Calibri"/>
                <w:i/>
                <w:iCs/>
                <w:color w:val="4A5568"/>
                <w:sz w:val="18"/>
                <w:szCs w:val="18"/>
              </w:rPr>
              <w:t xml:space="preserve"> — reasoning</w:t>
            </w:r>
          </w:p>
        </w:tc>
        <w:tc>
          <w:tcPr>
            <w:tcW w:type="dxa" w:w="52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Reading a corrected value out of unstructured prose. Arguing which variant a document meant. Noticing a sentence has become untrue. Rewriting the affected copy. Phrasing an answer from facts already gathered.</w:t>
            </w:r>
          </w:p>
        </w:tc>
        <w:tc>
          <w:tcPr>
            <w:tcW w:type="dxa" w:w="2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Readings; the Ask panel on Product 360</w:t>
            </w:r>
          </w:p>
        </w:tc>
      </w:tr>
      <w:tr>
        <w:tc>
          <w:tcPr>
            <w:tcW w:type="dxa" w:w="1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Software</w:t>
            </w:r>
            <w:r>
              <w:rPr>
                <w:rFonts w:ascii="Calibri" w:cs="Calibri" w:eastAsia="Calibri" w:hAnsi="Calibri"/>
                <w:i/>
                <w:iCs/>
                <w:color w:val="4A5568"/>
                <w:sz w:val="18"/>
                <w:szCs w:val="18"/>
              </w:rPr>
              <w:t xml:space="preserve"> — execution</w:t>
            </w:r>
          </w:p>
        </w:tc>
        <w:tc>
          <w:tcPr>
            <w:tcW w:type="dxa" w:w="52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Identity, lineage, taxonomy mapping, channel rules, effective dating, propagation, locks, idempotency, approval enforcement, audit replay.</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Blast Radius; System Control; the tests</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4. The ten-step walkthrough</w:t>
      </w:r>
    </w:p>
    <w:p>
      <w:pPr>
        <w:spacing w:after="120" w:line="276"/>
      </w:pPr>
      <w:r>
        <w:rPr>
          <w:rFonts w:ascii="Calibri" w:cs="Calibri" w:eastAsia="Calibri" w:hAnsi="Calibri"/>
          <w:color w:val="1A1A1A"/>
          <w:sz w:val="21"/>
          <w:szCs w:val="21"/>
        </w:rPr>
        <w:t xml:space="preserve">This is the demo path. Each step names the screen to open, the words to say, and the BRD requirement it closes. Run them in order — the story builds, and step 8 only lands because step 5 happened.</w:t>
      </w:r>
    </w:p>
    <w:p>
      <w:pPr>
        <w:pStyle w:val="Heading2"/>
        <w:spacing w:after="130" w:before="280"/>
      </w:pPr>
      <w:r>
        <w:rPr>
          <w:rFonts w:ascii="Calibri" w:cs="Calibri" w:eastAsia="Calibri" w:hAnsi="Calibri"/>
          <w:b/>
          <w:bCs/>
          <w:color w:val="0B5D8A"/>
          <w:sz w:val="24"/>
          <w:szCs w:val="24"/>
        </w:rPr>
        <w:t xml:space="preserve">Before you start</w:t>
      </w:r>
    </w:p>
    <w:p>
      <w:pPr>
        <w:spacing w:after="120" w:line="276"/>
      </w:pPr>
      <w:r>
        <w:rPr>
          <w:rFonts w:ascii="Calibri" w:cs="Calibri" w:eastAsia="Calibri" w:hAnsi="Calibri"/>
          <w:color w:val="1A1A1A"/>
          <w:sz w:val="21"/>
          <w:szCs w:val="21"/>
        </w:rPr>
        <w:t xml:space="preserve">Start the whole estate, and put two products on sale first so a late change has something to be late for.</w:t>
      </w:r>
    </w:p>
    <w:tbl>
      <w:tblPr>
        <w:tblW w:type="dxa" w:w="9026"/>
        <w:tblBorders>
          <w:top w:val="single" w:color="C9D2DC" w:sz="2"/>
          <w:left w:val="single" w:color="C9D2DC" w:sz="2"/>
          <w:bottom w:val="single" w:color="C9D2DC" w:sz="2"/>
          <w:right w:val="single" w:color="C9D2DC" w:sz="2"/>
          <w:insideH w:val="none"/>
          <w:insideV w:val="none"/>
        </w:tblBorders>
      </w:tblPr>
      <w:tblGrid>
        <w:gridCol w:w="9026"/>
      </w:tblGrid>
      <w:tr>
        <w:tc>
          <w:tcPr>
            <w:tcW w:type="dxa" w:w="9026"/>
            <w:shd w:fill="F2F4F7" w:color="auto" w:val="clear"/>
            <w:tcMar>
              <w:top w:type="dxa" w:w="120"/>
              <w:left w:type="dxa" w:w="160"/>
              <w:bottom w:type="dxa" w:w="120"/>
              <w:right w:type="dxa" w:w="160"/>
            </w:tcMar>
          </w:tcPr>
          <w:p>
            <w:pPr>
              <w:spacing w:after="20" w:line="240"/>
            </w:pPr>
            <w:r>
              <w:rPr>
                <w:rFonts w:ascii="Consolas" w:cs="Consolas" w:eastAsia="Consolas" w:hAnsi="Consolas"/>
                <w:color w:val="24303F"/>
                <w:sz w:val="18"/>
                <w:szCs w:val="18"/>
              </w:rPr>
              <w:t xml:space="preserve">startup.bat stage</w:t>
            </w:r>
          </w:p>
        </w:tc>
      </w:tr>
    </w:tbl>
    <w:p>
      <w:pPr>
        <w:spacing w:after="200" w:line="276"/>
      </w:pPr>
      <w:r>
        <w:rPr>
          <w:rFonts w:ascii="Calibri" w:cs="Calibri" w:eastAsia="Calibri" w:hAnsi="Calibri"/>
          <w:color w:val="1A1A1A"/>
          <w:sz w:val="21"/>
          <w:szCs w:val="21"/>
        </w:rPr>
        <w:t xml:space="preserve">That gives you five applications: the platform on port 8000, the Vendor Portal on 8110, the Storefront on 8120, the Ops Console on 8130, and the Back Office on 8140. Keep the platform on screen; open the others only when a step asks for them.</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IF YOU ONLY REMEMBER ONE KEYBOARD SHORTCUT</w:t>
            </w:r>
          </w:p>
          <w:p>
            <w:pPr>
              <w:spacing w:after="0" w:line="276"/>
            </w:pPr>
            <w:r>
              <w:rPr>
                <w:rFonts w:ascii="Calibri" w:cs="Calibri" w:eastAsia="Calibri" w:hAnsi="Calibri"/>
                <w:color w:val="1A1A1A"/>
                <w:sz w:val="21"/>
                <w:szCs w:val="21"/>
              </w:rPr>
              <w:t xml:space="preserve">Ctrl+K opens the command palette from anywhere. Jump to a section, drive the replay clock, start the correction loop, or search the standards corpus — without leaving the screen you are talking over.</w:t>
            </w:r>
          </w:p>
        </w:tc>
      </w:tr>
    </w:tbl>
    <w:p>
      <w:pPr>
        <w:pStyle w:val="Heading2"/>
        <w:spacing w:after="120" w:before="320"/>
      </w:pPr>
      <w:r>
        <w:rPr>
          <w:rFonts w:ascii="Calibri" w:cs="Calibri" w:eastAsia="Calibri" w:hAnsi="Calibri"/>
          <w:b/>
          <w:bCs/>
          <w:color w:val="0B5D8A"/>
          <w:sz w:val="24"/>
          <w:szCs w:val="24"/>
        </w:rPr>
        <w:t xml:space="preserve">Step 1 — </w:t>
      </w:r>
      <w:r>
        <w:rPr>
          <w:rFonts w:ascii="Calibri" w:cs="Calibri" w:eastAsia="Calibri" w:hAnsi="Calibri"/>
          <w:b/>
          <w:bCs/>
          <w:color w:val="1B2A4A"/>
          <w:sz w:val="24"/>
          <w:szCs w:val="24"/>
        </w:rPr>
        <w:t xml:space="preserve">Show the estate, not a database</w:t>
      </w:r>
      <w:r>
        <w:rPr>
          <w:rFonts w:ascii="Calibri" w:cs="Calibri" w:eastAsia="Calibri" w:hAnsi="Calibri"/>
          <w:color w:val="4A5568"/>
          <w:sz w:val="17"/>
          <w:szCs w:val="17"/>
        </w:rPr>
        <w:t xml:space="preserve">    2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1A1A1A"/>
                <w:sz w:val="19"/>
                <w:szCs w:val="19"/>
              </w:rPr>
              <w:t xml:space="preserve">Ingest Fabric</w:t>
            </w:r>
            <w:r>
              <w:rPr>
                <w:rFonts w:ascii="Calibri" w:cs="Calibri" w:eastAsia="Calibri" w:hAnsi="Calibri"/>
                <w:color w:val="1A1A1A"/>
                <w:sz w:val="19"/>
                <w:szCs w:val="19"/>
              </w:rPr>
              <w:t xml:space="preserve"> — the first section in the left rail.</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information about a product does not live in one place. It arrives from eleven separate external systems — a supplier portal, the supplier's own PIM, an artwork library, an ERP, an industry data pool, a regulatory feed, a marketplace connector, a translation service, an imaging system, a market feed and a logistics system. Each one is a real server we dial at startup with a real protocol handshake. Each one declares what it sends and how badly it behaves.”</w:t>
            </w:r>
          </w:p>
          <w:p>
            <w:pPr>
              <w:spacing w:after="0" w:line="260"/>
            </w:pPr>
            <w:r>
              <w:rPr>
                <w:rFonts w:ascii="Calibri" w:cs="Calibri" w:eastAsia="Calibri" w:hAnsi="Calibri"/>
                <w:color w:val="1A1A1A"/>
                <w:sz w:val="19"/>
                <w:szCs w:val="19"/>
              </w:rPr>
              <w:t xml:space="preserve">Then click any node on the map to trace what depends on it.</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BRD-01</w:t>
            </w:r>
            <w:r>
              <w:rPr>
                <w:rFonts w:ascii="Calibri" w:cs="Calibri" w:eastAsia="Calibri" w:hAnsi="Calibri"/>
                <w:color w:val="1A1A1A"/>
                <w:sz w:val="19"/>
                <w:szCs w:val="19"/>
              </w:rPr>
              <w:t xml:space="preserve"> — assemble and reconcile all evidence sources into one operating view.</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Why it matters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Anyone can draw an architecture diagram. This map is drawn from a topology message the running system emits. Paste in the URL of a twelfth system and the map redraws without a page reload — because the picture is the estate, not a picture of the estate.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“Most of what arrives is routine, and the system correctly ignores it. That is the point — the interesting event is one in a thousand.”</w:t>
            </w:r>
          </w:p>
        </w:tc>
      </w:tr>
    </w:tbl>
    <w:p>
      <w:pPr>
        <w:pStyle w:val="Heading2"/>
        <w:spacing w:after="120" w:before="320"/>
      </w:pPr>
      <w:r>
        <w:rPr>
          <w:rFonts w:ascii="Calibri" w:cs="Calibri" w:eastAsia="Calibri" w:hAnsi="Calibri"/>
          <w:b/>
          <w:bCs/>
          <w:color w:val="0B5D8A"/>
          <w:sz w:val="24"/>
          <w:szCs w:val="24"/>
        </w:rPr>
        <w:t xml:space="preserve">Step 2 — </w:t>
      </w:r>
      <w:r>
        <w:rPr>
          <w:rFonts w:ascii="Calibri" w:cs="Calibri" w:eastAsia="Calibri" w:hAnsi="Calibri"/>
          <w:b/>
          <w:bCs/>
          <w:color w:val="1B2A4A"/>
          <w:sz w:val="24"/>
          <w:szCs w:val="24"/>
        </w:rPr>
        <w:t xml:space="preserve">Show that deliveries are messy and ingestion is not</w:t>
      </w:r>
      <w:r>
        <w:rPr>
          <w:rFonts w:ascii="Calibri" w:cs="Calibri" w:eastAsia="Calibri" w:hAnsi="Calibri"/>
          <w:color w:val="4A5568"/>
          <w:sz w:val="17"/>
          <w:szCs w:val="17"/>
        </w:rPr>
        <w:t xml:space="preserve">    2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live feed on the Ingest Fabric, with the transport bar at the bottom of the screen.</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“Suppliers deliver asynchronously, in batches, at irregular times. Our ingestion is strictly sequenced. That split is the whole correctness argument, and it is not a detail.”</w:t>
            </w:r>
          </w:p>
          <w:p>
            <w:pPr>
              <w:spacing w:after="0" w:line="260"/>
            </w:pPr>
            <w:r>
              <w:rPr>
                <w:rFonts w:ascii="Calibri" w:cs="Calibri" w:eastAsia="Calibri" w:hAnsi="Calibri"/>
                <w:color w:val="1A1A1A"/>
                <w:sz w:val="19"/>
                <w:szCs w:val="19"/>
              </w:rPr>
              <w:t xml:space="preserve">“The consumer cursor is a single watermark. If we fed interleaved batches straight into ingest, the watermark would advance past an event still in flight — and that event would be dropped silently, on a run reporting success.”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BRD-07</w:t>
            </w:r>
            <w:r>
              <w:rPr>
                <w:rFonts w:ascii="Calibri" w:cs="Calibri" w:eastAsia="Calibri" w:hAnsi="Calibri"/>
                <w:color w:val="1A1A1A"/>
                <w:sz w:val="19"/>
                <w:szCs w:val="19"/>
              </w:rPr>
              <w:t xml:space="preserve"> — prevent duplicate or lost evidence on long-running cases.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Proof to name</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Two tests guard this and both failures are silent: </w:t>
            </w:r>
            <w:r>
              <w:rPr>
                <w:rFonts w:ascii="Consolas" w:cs="Consolas" w:eastAsia="Consolas" w:hAnsi="Consolas"/>
                <w:color w:val="1A1A1A"/>
                <w:sz w:val="17"/>
                <w:szCs w:val="17"/>
              </w:rPr>
              <w:t xml:space="preserve">test_the_replay_cursor_cannot_walk_into_the_live_lane</w:t>
            </w:r>
            <w:r>
              <w:rPr>
                <w:rFonts w:ascii="Calibri" w:cs="Calibri" w:eastAsia="Calibri" w:hAnsi="Calibri"/>
                <w:color w:val="1A1A1A"/>
                <w:sz w:val="19"/>
                <w:szCs w:val="19"/>
              </w:rPr>
              <w:t xml:space="preserve"> and </w:t>
            </w:r>
            <w:r>
              <w:rPr>
                <w:rFonts w:ascii="Consolas" w:cs="Consolas" w:eastAsia="Consolas" w:hAnsi="Consolas"/>
                <w:color w:val="1A1A1A"/>
                <w:sz w:val="17"/>
                <w:szCs w:val="17"/>
              </w:rPr>
              <w:t xml:space="preserve">test_a_live_event_does_not_poison_the_tape_ingest_cursor</w:t>
            </w:r>
            <w:r>
              <w:rPr>
                <w:rFonts w:ascii="Calibri" w:cs="Calibri" w:eastAsia="Calibri" w:hAnsi="Calibri"/>
                <w:color w:val="1A1A1A"/>
                <w:sz w:val="19"/>
                <w:szCs w:val="19"/>
              </w:rPr>
              <w:t xml:space="preserve">. The system would go on reporting success while it quietly stopped recording facts.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“The dangerous bugs in a system like this are not the ones that crash. They are the ones that succeed.”</w:t>
            </w:r>
          </w:p>
        </w:tc>
      </w:tr>
    </w:tbl>
    <w:p>
      <w:pPr>
        <w:pStyle w:val="Heading2"/>
        <w:spacing w:after="120" w:before="320"/>
      </w:pPr>
      <w:r>
        <w:rPr>
          <w:rFonts w:ascii="Calibri" w:cs="Calibri" w:eastAsia="Calibri" w:hAnsi="Calibri"/>
          <w:b/>
          <w:bCs/>
          <w:color w:val="0B5D8A"/>
          <w:sz w:val="24"/>
          <w:szCs w:val="24"/>
        </w:rPr>
        <w:t xml:space="preserve">Step 3 — </w:t>
      </w:r>
      <w:r>
        <w:rPr>
          <w:rFonts w:ascii="Calibri" w:cs="Calibri" w:eastAsia="Calibri" w:hAnsi="Calibri"/>
          <w:b/>
          <w:bCs/>
          <w:color w:val="1B2A4A"/>
          <w:sz w:val="24"/>
          <w:szCs w:val="24"/>
        </w:rPr>
        <w:t xml:space="preserve">Show one product, and every value's passport</w:t>
      </w:r>
      <w:r>
        <w:rPr>
          <w:rFonts w:ascii="Calibri" w:cs="Calibri" w:eastAsia="Calibri" w:hAnsi="Calibri"/>
          <w:color w:val="4A5568"/>
          <w:sz w:val="17"/>
          <w:szCs w:val="17"/>
        </w:rPr>
        <w:t xml:space="preserve">    3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1A1A1A"/>
                <w:sz w:val="19"/>
                <w:szCs w:val="19"/>
              </w:rPr>
              <w:t xml:space="preserve">Product 360</w:t>
            </w:r>
            <w:r>
              <w:rPr>
                <w:rFonts w:ascii="Calibri" w:cs="Calibri" w:eastAsia="Calibri" w:hAnsi="Calibri"/>
                <w:color w:val="1A1A1A"/>
                <w:sz w:val="19"/>
                <w:szCs w:val="19"/>
              </w:rPr>
              <w:t xml:space="preserve"> — search a SKU, then read the merged record.</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“This is the merged record. Beside every value is the system that supplied it — and the values that lost. Nothing is silently overwritten.”</w:t>
            </w:r>
          </w:p>
          <w:p>
            <w:pPr>
              <w:spacing w:after="0" w:line="260"/>
            </w:pPr>
            <w:r>
              <w:rPr>
                <w:rFonts w:ascii="Calibri" w:cs="Calibri" w:eastAsia="Calibri" w:hAnsi="Calibri"/>
                <w:color w:val="1A1A1A"/>
                <w:sz w:val="19"/>
                <w:szCs w:val="19"/>
              </w:rPr>
              <w:t xml:space="preserve">“Every fact carries one of five provenance classes: RECORDED means a source system observed it. INFERRED means a model concluded it. DECIDED means a human chose it. SIMULATED means the validator produced it and nobody observed it. COMMITTED means it was published to a channel.”</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BRD-04</w:t>
            </w:r>
            <w:r>
              <w:rPr>
                <w:rFonts w:ascii="Calibri" w:cs="Calibri" w:eastAsia="Calibri" w:hAnsi="Calibri"/>
                <w:color w:val="1A1A1A"/>
                <w:sz w:val="19"/>
                <w:szCs w:val="19"/>
              </w:rPr>
              <w:t xml:space="preserve"> and </w:t>
            </w:r>
            <w:r>
              <w:rPr>
                <w:rFonts w:ascii="Calibri" w:cs="Calibri" w:eastAsia="Calibri" w:hAnsi="Calibri"/>
                <w:b/>
                <w:bCs/>
                <w:color w:val="0F6B4A"/>
                <w:sz w:val="19"/>
                <w:szCs w:val="19"/>
              </w:rPr>
              <w:t xml:space="preserve">BRD-09</w:t>
            </w:r>
            <w:r>
              <w:rPr>
                <w:rFonts w:ascii="Calibri" w:cs="Calibri" w:eastAsia="Calibri" w:hAnsi="Calibri"/>
                <w:color w:val="1A1A1A"/>
                <w:sz w:val="19"/>
                <w:szCs w:val="19"/>
              </w:rPr>
              <w:t xml:space="preserve"> — provenance, and explicit separation of recorded fact, AI inference, user input, automated action and human decision.</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direct hit</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BRD-09 asks for five kinds of knowledge kept apart. We have exactly five, they are an enumeration in the code, and the database will not store a fact without one. This is not an interpretation of the requirement — it is the requirement, typed out.</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“Ask the system why it believes something, and it answers with a document version, not with a confidence score.”</w:t>
            </w:r>
          </w:p>
        </w:tc>
      </w:tr>
    </w:tbl>
    <w:p>
      <w:pPr>
        <w:pStyle w:val="Heading2"/>
        <w:spacing w:after="120" w:before="320"/>
      </w:pPr>
      <w:r>
        <w:rPr>
          <w:rFonts w:ascii="Calibri" w:cs="Calibri" w:eastAsia="Calibri" w:hAnsi="Calibri"/>
          <w:b/>
          <w:bCs/>
          <w:color w:val="0B5D8A"/>
          <w:sz w:val="24"/>
          <w:szCs w:val="24"/>
        </w:rPr>
        <w:t xml:space="preserve">Step 4 — </w:t>
      </w:r>
      <w:r>
        <w:rPr>
          <w:rFonts w:ascii="Calibri" w:cs="Calibri" w:eastAsia="Calibri" w:hAnsi="Calibri"/>
          <w:b/>
          <w:bCs/>
          <w:color w:val="1B2A4A"/>
          <w:sz w:val="24"/>
          <w:szCs w:val="24"/>
        </w:rPr>
        <w:t xml:space="preserve">Show uncertainty being disclosed, not resolved</w:t>
      </w:r>
      <w:r>
        <w:rPr>
          <w:rFonts w:ascii="Calibri" w:cs="Calibri" w:eastAsia="Calibri" w:hAnsi="Calibri"/>
          <w:color w:val="4A5568"/>
          <w:sz w:val="17"/>
          <w:szCs w:val="17"/>
        </w:rPr>
        <w:t xml:space="preserve">    3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Product 360 → the readiness verdict. Then press the control beside it to run the reading checks.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“Ten checks decide whether a product may launch. Seven are rules and run in milliseconds with no model traffic at all. Three read prose that no rule encodes — whether a regulation's particulars are met, whether a sentence has quietly become untrue, whether the record contradicts our own documentation.”</w:t>
            </w:r>
          </w:p>
          <w:p>
            <w:pPr>
              <w:spacing w:after="0" w:line="260"/>
            </w:pPr>
            <w:r>
              <w:rPr>
                <w:rFonts w:ascii="Calibri" w:cs="Calibri" w:eastAsia="Calibri" w:hAnsi="Calibri"/>
                <w:color w:val="1A1A1A"/>
                <w:sz w:val="19"/>
                <w:szCs w:val="19"/>
              </w:rPr>
              <w:t xml:space="preserve">“On those three, a model finds and must cite. A candidate citing nothing retrievable is dropped. A rule decides; the model only supplies evidence.”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BRD-02</w:t>
            </w:r>
            <w:r>
              <w:rPr>
                <w:rFonts w:ascii="Calibri" w:cs="Calibri" w:eastAsia="Calibri" w:hAnsi="Calibri"/>
                <w:color w:val="1A1A1A"/>
                <w:sz w:val="19"/>
                <w:szCs w:val="19"/>
              </w:rPr>
              <w:t xml:space="preserve"> — detect and explicitly disclose missing, stale, duplicated or contradictory information.</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design decision to name</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default"/>
            </w:r>
          </w:p>
          <w:p>
            <w:pPr>
              <w:spacing w:after="0" w:line="260"/>
            </w:pPr>
            <w:r>
              <w:rPr>
                <w:rFonts w:ascii="Calibri" w:cs="Calibri" w:eastAsia="Calibri" w:hAnsi="Calibri"/>
                <w:color w:val="1A1A1A"/>
                <w:sz w:val="19"/>
                <w:szCs w:val="19"/>
              </w:rPr>
              <w:t xml:space="preserve">Until the reading checks have run, the word “ready” is not used anywhere — and the staging page, the last surface before publication, refuses to open at all.</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“Every finding names the system that supplied the problem. ‘The data is incomplete’ is not actionable. ‘The imaging system never sent an ingredient panel’ is.”</w:t>
            </w:r>
          </w:p>
        </w:tc>
      </w:tr>
    </w:tbl>
    <w:p>
      <w:pPr>
        <w:pStyle w:val="Heading2"/>
        <w:spacing w:after="120" w:before="320"/>
      </w:pPr>
      <w:r>
        <w:rPr>
          <w:rFonts w:ascii="Calibri" w:cs="Calibri" w:eastAsia="Calibri" w:hAnsi="Calibri"/>
          <w:b/>
          <w:bCs/>
          <w:color w:val="0B5D8A"/>
          <w:sz w:val="24"/>
          <w:szCs w:val="24"/>
        </w:rPr>
        <w:t xml:space="preserve">Step 5 — </w:t>
      </w:r>
      <w:r>
        <w:rPr>
          <w:rFonts w:ascii="Calibri" w:cs="Calibri" w:eastAsia="Calibri" w:hAnsi="Calibri"/>
          <w:b/>
          <w:bCs/>
          <w:color w:val="1B2A4A"/>
          <w:sz w:val="24"/>
          <w:szCs w:val="24"/>
        </w:rPr>
        <w:t xml:space="preserve">Run the correction — the inject</w:t>
      </w:r>
      <w:r>
        <w:rPr>
          <w:rFonts w:ascii="Calibri" w:cs="Calibri" w:eastAsia="Calibri" w:hAnsi="Calibri"/>
          <w:color w:val="4A5568"/>
          <w:sz w:val="17"/>
          <w:szCs w:val="17"/>
        </w:rPr>
        <w:t xml:space="preserve">    4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transport bar → </w:t>
            </w:r>
            <w:r>
              <w:rPr>
                <w:rFonts w:ascii="Calibri" w:cs="Calibri" w:eastAsia="Calibri" w:hAnsi="Calibri"/>
                <w:b/>
                <w:bCs/>
                <w:color w:val="1A1A1A"/>
                <w:sz w:val="19"/>
                <w:szCs w:val="19"/>
              </w:rPr>
              <w:t xml:space="preserve">“Jump to inject”</w:t>
            </w:r>
            <w:r>
              <w:rPr>
                <w:rFonts w:ascii="Calibri" w:cs="Calibri" w:eastAsia="Calibri" w:hAnsi="Calibri"/>
                <w:color w:val="1A1A1A"/>
                <w:sz w:val="19"/>
                <w:szCs w:val="19"/>
              </w:rPr>
              <w:t xml:space="preserve">. Then press Run.</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“Day 33. Revision v2 of the air purifier specification says the rated power is 65 watts, superseding the 45 watts we published in v1. It also notes that a measurement sheet belonging to one model in the range was folded into the earlier document — without saying which one.”</w:t>
            </w:r>
          </w:p>
          <w:p>
            <w:pPr>
              <w:spacing w:after="0" w:line="260"/>
            </w:pPr>
            <w:r>
              <w:rPr>
                <w:rFonts w:ascii="Calibri" w:cs="Calibri" w:eastAsia="Calibri" w:hAnsi="Calibri"/>
                <w:color w:val="1A1A1A"/>
                <w:sz w:val="19"/>
                <w:szCs w:val="19"/>
              </w:rPr>
              <w:t xml:space="preserve">“That last sentence is the hard part. A rule cannot resolve it. A human reading the PDF can. So this is one of exactly four places we invite a model in.”</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BRD-03</w:t>
            </w:r>
            <w:r>
              <w:rPr>
                <w:rFonts w:ascii="Calibri" w:cs="Calibri" w:eastAsia="Calibri" w:hAnsi="Calibri"/>
                <w:color w:val="1A1A1A"/>
                <w:sz w:val="19"/>
                <w:szCs w:val="19"/>
              </w:rPr>
              <w:t xml:space="preserve">, </w:t>
            </w:r>
            <w:r>
              <w:rPr>
                <w:rFonts w:ascii="Calibri" w:cs="Calibri" w:eastAsia="Calibri" w:hAnsi="Calibri"/>
                <w:b/>
                <w:bCs/>
                <w:color w:val="0F6B4A"/>
                <w:sz w:val="19"/>
                <w:szCs w:val="19"/>
              </w:rPr>
              <w:t xml:space="preserve">BRD-05</w:t>
            </w:r>
            <w:r>
              <w:rPr>
                <w:rFonts w:ascii="Calibri" w:cs="Calibri" w:eastAsia="Calibri" w:hAnsi="Calibri"/>
                <w:color w:val="1A1A1A"/>
                <w:sz w:val="19"/>
                <w:szCs w:val="19"/>
              </w:rPr>
              <w:t xml:space="preserve">, </w:t>
            </w:r>
            <w:r>
              <w:rPr>
                <w:rFonts w:ascii="Calibri" w:cs="Calibri" w:eastAsia="Calibri" w:hAnsi="Calibri"/>
                <w:b/>
                <w:bCs/>
                <w:color w:val="0F6B4A"/>
                <w:sz w:val="19"/>
                <w:szCs w:val="19"/>
              </w:rPr>
              <w:t xml:space="preserve">BRD-08</w:t>
            </w:r>
            <w:r>
              <w:rPr>
                <w:rFonts w:ascii="Calibri" w:cs="Calibri" w:eastAsia="Calibri" w:hAnsi="Calibri"/>
                <w:color w:val="1A1A1A"/>
                <w:sz w:val="19"/>
                <w:szCs w:val="19"/>
              </w:rPr>
              <w:t xml:space="preserve"> — dynamic planning, late evidence without loss, competing hypotheses made visible.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What to point out while it runs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graph branches on the data and only on the data. A correction with a prior incident behind it goes through that precedent. One whose sources genuinely contradict each other goes to a supplier clarification — because inventing a resolution is worse than asking. One where nothing can be published goes to a constraint review.</w:t>
            </w:r>
          </w:p>
          <w:p>
            <w:pPr>
              <w:spacing w:after="0" w:line="260"/>
            </w:pPr>
            <w:r>
              <w:rPr>
                <w:rFonts w:ascii="Calibri" w:cs="Calibri" w:eastAsia="Calibri" w:hAnsi="Calibri"/>
                <w:color w:val="1A1A1A"/>
                <w:sz w:val="19"/>
                <w:szCs w:val="19"/>
              </w:rPr>
              <w:t xml:space="preserve">Every predicate is a pure function of state, so the same correction always takes the same path. Variety, not randomness.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“A graph that rolled dice would trade the reproducibility the audit trail depends on for the appearance of sophistication.”</w:t>
            </w:r>
          </w:p>
        </w:tc>
      </w:tr>
    </w:tbl>
    <w:p>
      <w:pPr>
        <w:pStyle w:val="Heading2"/>
        <w:spacing w:after="120" w:before="320"/>
      </w:pPr>
      <w:r>
        <w:rPr>
          <w:rFonts w:ascii="Calibri" w:cs="Calibri" w:eastAsia="Calibri" w:hAnsi="Calibri"/>
          <w:b/>
          <w:bCs/>
          <w:color w:val="0B5D8A"/>
          <w:sz w:val="24"/>
          <w:szCs w:val="24"/>
        </w:rPr>
        <w:t xml:space="preserve">Step 6 — </w:t>
      </w:r>
      <w:r>
        <w:rPr>
          <w:rFonts w:ascii="Calibri" w:cs="Calibri" w:eastAsia="Calibri" w:hAnsi="Calibri"/>
          <w:b/>
          <w:bCs/>
          <w:color w:val="1B2A4A"/>
          <w:sz w:val="24"/>
          <w:szCs w:val="24"/>
        </w:rPr>
        <w:t xml:space="preserve">Show the blast radius — this is the money shot</w:t>
      </w:r>
      <w:r>
        <w:rPr>
          <w:rFonts w:ascii="Calibri" w:cs="Calibri" w:eastAsia="Calibri" w:hAnsi="Calibri"/>
          <w:color w:val="4A5568"/>
          <w:sz w:val="17"/>
          <w:szCs w:val="17"/>
        </w:rPr>
        <w:t xml:space="preserve">    4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1A1A1A"/>
                <w:sz w:val="19"/>
                <w:szCs w:val="19"/>
              </w:rPr>
              <w:t xml:space="preserve">Blast Radius</w:t>
            </w:r>
            <w:r>
              <w:rPr>
                <w:rFonts w:ascii="Calibri" w:cs="Calibri" w:eastAsia="Calibri" w:hAnsi="Calibri"/>
                <w:color w:val="1A1A1A"/>
                <w:sz w:val="19"/>
                <w:szCs w:val="19"/>
              </w:rPr>
              <w:t xml:space="preserv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“One corrected field reaches fifteen content assets, across five listings, on four channels.”</w:t>
            </w:r>
          </w:p>
          <w:p>
            <w:pPr>
              <w:spacing w:after="0" w:line="260"/>
            </w:pPr>
            <w:r>
              <w:rPr>
                <w:rFonts w:ascii="Calibri" w:cs="Calibri" w:eastAsia="Calibri" w:hAnsi="Calibri"/>
                <w:color w:val="1A1A1A"/>
                <w:sz w:val="19"/>
                <w:szCs w:val="19"/>
              </w:rPr>
              <w:t xml:space="preserve">“Including the base model's own web page — which was not corrected. It is affected because a comparison table on that page quotes both variants. No model found that. It came out of the topology.”</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BRD-12</w:t>
            </w:r>
            <w:r>
              <w:rPr>
                <w:rFonts w:ascii="Calibri" w:cs="Calibri" w:eastAsia="Calibri" w:hAnsi="Calibri"/>
                <w:color w:val="1A1A1A"/>
                <w:sz w:val="19"/>
                <w:szCs w:val="19"/>
              </w:rPr>
              <w:t xml:space="preserve"> — the National Finale inject, in full.</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Why it is not a guess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Every content asset declares the attributes it was derived from. So working out what a correction touches is a typed edge walk — document to attribute to variant to asset to listing to channel — not a judgement. Ask it twice and you get the same answer, because it is arithmetic over a graph.</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five right answers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One correction, five channels, five different correct outcomes. Own website: the listing is withheld, because a food page reading “Contains: —” is not a lawful page. Marketplaces: withdrawn, because their own rules make a placeholder a hard violation. Search facets: the facet is dropped, because a shopper filtering “no peanuts” and finding peanuts is the harm. Shelf labels: a reprint is queued. Print catalogue: an erratum is owed — 214,000 catalogues cannot be recalled, and saying they were redacted would be the one lie that matters.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“The most interesting finding this system produces is the one nobody asked it for.”</w:t>
            </w:r>
          </w:p>
        </w:tc>
      </w:tr>
    </w:tbl>
    <w:p>
      <w:pPr>
        <w:pStyle w:val="Heading2"/>
        <w:spacing w:after="120" w:before="320"/>
      </w:pPr>
      <w:r>
        <w:rPr>
          <w:rFonts w:ascii="Calibri" w:cs="Calibri" w:eastAsia="Calibri" w:hAnsi="Calibri"/>
          <w:b/>
          <w:bCs/>
          <w:color w:val="0B5D8A"/>
          <w:sz w:val="24"/>
          <w:szCs w:val="24"/>
        </w:rPr>
        <w:t xml:space="preserve">Step 7 — </w:t>
      </w:r>
      <w:r>
        <w:rPr>
          <w:rFonts w:ascii="Calibri" w:cs="Calibri" w:eastAsia="Calibri" w:hAnsi="Calibri"/>
          <w:b/>
          <w:bCs/>
          <w:color w:val="1B2A4A"/>
          <w:sz w:val="24"/>
          <w:szCs w:val="24"/>
        </w:rPr>
        <w:t xml:space="preserve">Stop at the approval gate</w:t>
      </w:r>
      <w:r>
        <w:rPr>
          <w:rFonts w:ascii="Calibri" w:cs="Calibri" w:eastAsia="Calibri" w:hAnsi="Calibri"/>
          <w:color w:val="4A5568"/>
          <w:sz w:val="17"/>
          <w:szCs w:val="17"/>
        </w:rPr>
        <w:t xml:space="preserve">    3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1A1A1A"/>
                <w:sz w:val="19"/>
                <w:szCs w:val="19"/>
              </w:rPr>
              <w:t xml:space="preserve">Review &amp; Audit</w:t>
            </w:r>
            <w:r>
              <w:rPr>
                <w:rFonts w:ascii="Calibri" w:cs="Calibri" w:eastAsia="Calibri" w:hAnsi="Calibri"/>
                <w:color w:val="1A1A1A"/>
                <w:sz w:val="19"/>
                <w:szCs w:val="19"/>
              </w:rPr>
              <w:t xml:space="preserve"> — the pending approval queue.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run has suspended. It is not finished and it is not failed — it is waiting for a person. The thread is checkpointed to disk, so you can kill the process and it resumes exactly here.”</w:t>
            </w:r>
          </w:p>
          <w:p>
            <w:pPr>
              <w:spacing w:after="0" w:line="260"/>
            </w:pPr>
            <w:r>
              <w:rPr>
                <w:rFonts w:ascii="Calibri" w:cs="Calibri" w:eastAsia="Calibri" w:hAnsi="Calibri"/>
                <w:color w:val="1A1A1A"/>
                <w:sz w:val="19"/>
                <w:szCs w:val="19"/>
              </w:rPr>
              <w:t xml:space="preserve">“And the queue is shared. Any reviewer sees every pending decision, with the reason to pick one over another: severity, whether review is mandatory, when it was raised, how many fields move, and which product it is about.”</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BRD-11</w:t>
            </w:r>
            <w:r>
              <w:rPr>
                <w:rFonts w:ascii="Calibri" w:cs="Calibri" w:eastAsia="Calibri" w:hAnsi="Calibri"/>
                <w:color w:val="1A1A1A"/>
                <w:sz w:val="19"/>
                <w:szCs w:val="19"/>
              </w:rPr>
              <w:t xml:space="preserve"> — role-based intervention, approval gates, audit replay, configurable boundaries.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story worth telling</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An earlier build had this wrong, and our own end-to-end test sweep caught it. The badge counted two pending approvals; the screen that exists to action them said “Nothing awaiting a decision”. The queue was server-scoped and the view was session-scoped, so a safety-class allergen correction on a regulated product could only be opened by the browser that happened to start the run. </w:t>
            </w:r>
            <w:r>
              <w:rPr>
                <w:rFonts w:ascii="Calibri" w:cs="Calibri" w:eastAsia="Calibri" w:hAnsi="Calibri"/>
                <w:b/>
                <w:bCs/>
                <w:color w:val="1A1A1A"/>
                <w:sz w:val="19"/>
                <w:szCs w:val="19"/>
              </w:rPr>
              <w:t xml:space="preserve">A human-in-the-loop gate only its own author can see is not a gate.</w:t>
            </w:r>
            <w:r>
              <w:rPr>
                <w:rFonts w:ascii="Calibri" w:cs="Calibri" w:eastAsia="Calibri" w:hAnsi="Calibri"/>
                <w:color w:val="1A1A1A"/>
                <w:sz w:val="19"/>
                <w:szCs w:val="19"/>
              </w:rPr>
              <w:t xml:space="preserve"> That was raised as the single Critical finding and fixed in V10.</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“We ran a read-only sweep of every screen and all 88 API endpoints, wrote up 33 defects against ourselves, and retracted nine of our own findings that did not survive verification. A register you can trust is one that shows its own corrections.”</w:t>
            </w:r>
          </w:p>
        </w:tc>
      </w:tr>
    </w:tbl>
    <w:p>
      <w:pPr>
        <w:pStyle w:val="Heading2"/>
        <w:spacing w:after="120" w:before="320"/>
      </w:pPr>
      <w:r>
        <w:rPr>
          <w:rFonts w:ascii="Calibri" w:cs="Calibri" w:eastAsia="Calibri" w:hAnsi="Calibri"/>
          <w:b/>
          <w:bCs/>
          <w:color w:val="0B5D8A"/>
          <w:sz w:val="24"/>
          <w:szCs w:val="24"/>
        </w:rPr>
        <w:t xml:space="preserve">Step 8 — </w:t>
      </w:r>
      <w:r>
        <w:rPr>
          <w:rFonts w:ascii="Calibri" w:cs="Calibri" w:eastAsia="Calibri" w:hAnsi="Calibri"/>
          <w:b/>
          <w:bCs/>
          <w:color w:val="1B2A4A"/>
          <w:sz w:val="24"/>
          <w:szCs w:val="24"/>
        </w:rPr>
        <w:t xml:space="preserve">Re-plan on new evidence — the finale</w:t>
      </w:r>
      <w:r>
        <w:rPr>
          <w:rFonts w:ascii="Calibri" w:cs="Calibri" w:eastAsia="Calibri" w:hAnsi="Calibri"/>
          <w:color w:val="4A5568"/>
          <w:sz w:val="17"/>
          <w:szCs w:val="17"/>
        </w:rPr>
        <w:t xml:space="preserve">    4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Advance to Day 37, then press </w:t>
            </w:r>
            <w:r>
              <w:rPr>
                <w:rFonts w:ascii="Calibri" w:cs="Calibri" w:eastAsia="Calibri" w:hAnsi="Calibri"/>
                <w:b/>
                <w:bCs/>
                <w:color w:val="1A1A1A"/>
                <w:sz w:val="19"/>
                <w:szCs w:val="19"/>
              </w:rPr>
              <w:t xml:space="preserve">“Re-plan on new evidence”</w:t>
            </w:r>
            <w:r>
              <w:rPr>
                <w:rFonts w:ascii="Calibri" w:cs="Calibri" w:eastAsia="Calibri" w:hAnsi="Calibri"/>
                <w:color w:val="1A1A1A"/>
                <w:sz w:val="19"/>
                <w:szCs w:val="19"/>
              </w:rPr>
              <w:t xml:space="preserv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“Revision v3 arrives. The 65 watt rating applies to the Max model only — the base model was always 45 watts. Our earlier reading was too wide.”</w:t>
            </w:r>
          </w:p>
          <w:p>
            <w:pPr>
              <w:spacing w:after="0" w:line="260"/>
            </w:pPr>
            <w:r>
              <w:rPr>
                <w:rFonts w:ascii="Calibri" w:cs="Calibri" w:eastAsia="Calibri" w:hAnsi="Calibri"/>
                <w:color w:val="1A1A1A"/>
                <w:sz w:val="19"/>
                <w:szCs w:val="19"/>
              </w:rPr>
              <w:t xml:space="preserve">“Watch what does not happen. There is no second incident, no restart, no reconciliation. The run resumes on the same thread. The pending approval is withdrawn and recorded as withdrawn. The scope narrows to the Max. And the print batch that was prepared under v2 is refused by the stale-version gate.”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BRD-05</w:t>
            </w:r>
            <w:r>
              <w:rPr>
                <w:rFonts w:ascii="Calibri" w:cs="Calibri" w:eastAsia="Calibri" w:hAnsi="Calibri"/>
                <w:color w:val="1A1A1A"/>
                <w:sz w:val="19"/>
                <w:szCs w:val="19"/>
              </w:rPr>
              <w:t xml:space="preserve">, </w:t>
            </w:r>
            <w:r>
              <w:rPr>
                <w:rFonts w:ascii="Calibri" w:cs="Calibri" w:eastAsia="Calibri" w:hAnsi="Calibri"/>
                <w:b/>
                <w:bCs/>
                <w:color w:val="0F6B4A"/>
                <w:sz w:val="19"/>
                <w:szCs w:val="19"/>
              </w:rPr>
              <w:t xml:space="preserve">BRD-06</w:t>
            </w:r>
            <w:r>
              <w:rPr>
                <w:rFonts w:ascii="Calibri" w:cs="Calibri" w:eastAsia="Calibri" w:hAnsi="Calibri"/>
                <w:color w:val="1A1A1A"/>
                <w:sz w:val="19"/>
                <w:szCs w:val="19"/>
              </w:rPr>
              <w:t xml:space="preserve">, </w:t>
            </w:r>
            <w:r>
              <w:rPr>
                <w:rFonts w:ascii="Calibri" w:cs="Calibri" w:eastAsia="Calibri" w:hAnsi="Calibri"/>
                <w:b/>
                <w:bCs/>
                <w:color w:val="0F6B4A"/>
                <w:sz w:val="19"/>
                <w:szCs w:val="19"/>
              </w:rPr>
              <w:t xml:space="preserve">BRD-10</w:t>
            </w:r>
            <w:r>
              <w:rPr>
                <w:rFonts w:ascii="Calibri" w:cs="Calibri" w:eastAsia="Calibri" w:hAnsi="Calibri"/>
                <w:color w:val="1A1A1A"/>
                <w:sz w:val="19"/>
                <w:szCs w:val="19"/>
              </w:rPr>
              <w:t xml:space="preserve"> — late evidence without loss, priority over a fixed happy path, safe partial-failure recovery.</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subtle point</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approval is withdrawn through the same interrupt a reviewer uses. So the ledger records who withdrew it and why. A recommendation whose evidence has moved is not one anybody should still be able to approve — and the system makes that impossible rather than merely discouraged.</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“‘Targeted re-planning rather than a full restart’ is visible in the data here, not claimed in prose. Same thread, same case, same audit trail.”</w:t>
            </w:r>
          </w:p>
        </w:tc>
      </w:tr>
    </w:tbl>
    <w:p>
      <w:pPr>
        <w:pStyle w:val="Heading2"/>
        <w:spacing w:after="120" w:before="320"/>
      </w:pPr>
      <w:r>
        <w:rPr>
          <w:rFonts w:ascii="Calibri" w:cs="Calibri" w:eastAsia="Calibri" w:hAnsi="Calibri"/>
          <w:b/>
          <w:bCs/>
          <w:color w:val="0B5D8A"/>
          <w:sz w:val="24"/>
          <w:szCs w:val="24"/>
        </w:rPr>
        <w:t xml:space="preserve">Step 9 — </w:t>
      </w:r>
      <w:r>
        <w:rPr>
          <w:rFonts w:ascii="Calibri" w:cs="Calibri" w:eastAsia="Calibri" w:hAnsi="Calibri"/>
          <w:b/>
          <w:bCs/>
          <w:color w:val="1B2A4A"/>
          <w:sz w:val="24"/>
          <w:szCs w:val="24"/>
        </w:rPr>
        <w:t xml:space="preserve">Close the loop through the real applications</w:t>
      </w:r>
      <w:r>
        <w:rPr>
          <w:rFonts w:ascii="Calibri" w:cs="Calibri" w:eastAsia="Calibri" w:hAnsi="Calibri"/>
          <w:color w:val="4A5568"/>
          <w:sz w:val="17"/>
          <w:szCs w:val="17"/>
        </w:rPr>
        <w:t xml:space="preserve">    4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The Vendor Portal (:8110), then the Storefront (:8120) and Ops Console (:8130).</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“Up to here, everything you saw was a replay — five thousand events, recorded once, released on a clock. Convincing, and entirely in the past tense. Nothing outside the process could put a new fact in, and nothing outside could see what came out.”</w:t>
            </w:r>
          </w:p>
          <w:p>
            <w:pPr>
              <w:spacing w:after="0" w:line="260"/>
            </w:pPr>
            <w:r>
              <w:rPr>
                <w:rFonts w:ascii="Calibri" w:cs="Calibri" w:eastAsia="Calibri" w:hAnsi="Calibri"/>
                <w:color w:val="1A1A1A"/>
                <w:sz w:val="19"/>
                <w:szCs w:val="19"/>
              </w:rPr>
              <w:t xml:space="preserve">“These three applications are the present tense. Each is its own process, on its own port, reaching the platform over MCP and by no other route. They have no database, no API access, and — checked by a test — no import of our backend package at all.”</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BRD-01</w:t>
            </w:r>
            <w:r>
              <w:rPr>
                <w:rFonts w:ascii="Calibri" w:cs="Calibri" w:eastAsia="Calibri" w:hAnsi="Calibri"/>
                <w:color w:val="1A1A1A"/>
                <w:sz w:val="19"/>
                <w:szCs w:val="19"/>
              </w:rPr>
              <w:t xml:space="preserve">, </w:t>
            </w:r>
            <w:r>
              <w:rPr>
                <w:rFonts w:ascii="Calibri" w:cs="Calibri" w:eastAsia="Calibri" w:hAnsi="Calibri"/>
                <w:b/>
                <w:bCs/>
                <w:color w:val="0F6B4A"/>
                <w:sz w:val="19"/>
                <w:szCs w:val="19"/>
              </w:rPr>
              <w:t xml:space="preserve">BRD-10</w:t>
            </w:r>
            <w:r>
              <w:rPr>
                <w:rFonts w:ascii="Calibri" w:cs="Calibri" w:eastAsia="Calibri" w:hAnsi="Calibri"/>
                <w:color w:val="1A1A1A"/>
                <w:sz w:val="19"/>
                <w:szCs w:val="19"/>
              </w:rPr>
              <w:t xml:space="preserve"> — a deployable product, not a demonstration harness.</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control worth naming</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A supplier cannot write a value into the catalogue. A submission is recorded as a document version. What it asserts becomes a fact only when the graph reads that document and writes it back as INFERRED, under the fail-closed safety gate. </w:t>
            </w:r>
            <w:r>
              <w:rPr>
                <w:rFonts w:ascii="Calibri" w:cs="Calibri" w:eastAsia="Calibri" w:hAnsi="Calibri"/>
                <w:b/>
                <w:bCs/>
                <w:color w:val="1A1A1A"/>
                <w:sz w:val="19"/>
                <w:szCs w:val="19"/>
              </w:rPr>
              <w:t xml:space="preserve">The provenance taxonomy does the enforcing — there is no permission check to route around.</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“That boundary test exists because the boundary is one convenient line of Python away from being false at any moment, and nothing would visibly break when it was.”</w:t>
            </w:r>
          </w:p>
        </w:tc>
      </w:tr>
    </w:tbl>
    <w:p>
      <w:pPr>
        <w:pStyle w:val="Heading2"/>
        <w:spacing w:after="120" w:before="320"/>
      </w:pPr>
      <w:r>
        <w:rPr>
          <w:rFonts w:ascii="Calibri" w:cs="Calibri" w:eastAsia="Calibri" w:hAnsi="Calibri"/>
          <w:b/>
          <w:bCs/>
          <w:color w:val="0B5D8A"/>
          <w:sz w:val="24"/>
          <w:szCs w:val="24"/>
        </w:rPr>
        <w:t xml:space="preserve">Step 10 — </w:t>
      </w:r>
      <w:r>
        <w:rPr>
          <w:rFonts w:ascii="Calibri" w:cs="Calibri" w:eastAsia="Calibri" w:hAnsi="Calibri"/>
          <w:b/>
          <w:bCs/>
          <w:color w:val="1B2A4A"/>
          <w:sz w:val="24"/>
          <w:szCs w:val="24"/>
        </w:rPr>
        <w:t xml:space="preserve">Ask it a question in plain English</w:t>
      </w:r>
      <w:r>
        <w:rPr>
          <w:rFonts w:ascii="Calibri" w:cs="Calibri" w:eastAsia="Calibri" w:hAnsi="Calibri"/>
          <w:color w:val="4A5568"/>
          <w:sz w:val="17"/>
          <w:szCs w:val="17"/>
        </w:rPr>
        <w:t xml:space="preserve">    3 min</w:t>
      </w:r>
    </w:p>
    <w:tbl>
      <w:tblPr>
        <w:tblW w:type="dxa" w:w="9026"/>
        <w:tblBorders>
          <w:top w:val="single" w:color="C9D2DC" w:sz="2"/>
          <w:left w:val="none"/>
          <w:bottom w:val="single" w:color="C9D2DC" w:sz="2"/>
          <w:right w:val="none"/>
          <w:insideH w:val="single" w:color="C9D2DC" w:sz="2"/>
          <w:insideV w:val="none"/>
        </w:tblBorders>
      </w:tblPr>
      <w:tblGrid>
        <w:gridCol w:w="1750"/>
        <w:gridCol w:w="7276"/>
      </w:tblGrid>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Open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Product 360 → the </w:t>
            </w:r>
            <w:r>
              <w:rPr>
                <w:rFonts w:ascii="Calibri" w:cs="Calibri" w:eastAsia="Calibri" w:hAnsi="Calibri"/>
                <w:b/>
                <w:bCs/>
                <w:color w:val="1A1A1A"/>
                <w:sz w:val="19"/>
                <w:szCs w:val="19"/>
              </w:rPr>
              <w:t xml:space="preserve">Ask</w:t>
            </w:r>
            <w:r>
              <w:rPr>
                <w:rFonts w:ascii="Calibri" w:cs="Calibri" w:eastAsia="Calibri" w:hAnsi="Calibri"/>
                <w:color w:val="1A1A1A"/>
                <w:sz w:val="19"/>
                <w:szCs w:val="19"/>
              </w:rPr>
              <w:t xml:space="preserve"> panel. Ask “can this launch?” and then “what is it connected to?”</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Say this</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“This is the only surface in the application that takes an open-ended question — which makes it the easiest place in it to say something untrue. Three decisions make that hard rather than making answering easy.”</w:t>
            </w:r>
          </w:p>
          <w:p>
            <w:pPr>
              <w:spacing w:after="0" w:line="260"/>
            </w:pPr>
            <w:r>
              <w:rPr>
                <w:rFonts w:ascii="Calibri" w:cs="Calibri" w:eastAsia="Calibri" w:hAnsi="Calibri"/>
                <w:color w:val="1A1A1A"/>
                <w:sz w:val="19"/>
                <w:szCs w:val="19"/>
              </w:rPr>
              <w:t xml:space="preserve">“Routing is deterministic: a closed keyword table picks which surfaces the question reaches. Evidence is gathered before anything is phrased. And the model that phrases has no retrieval tool at all — so it cannot reach a fact that was not gathered.”</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Ask closed</w:t>
            </w:r>
          </w:p>
        </w:tc>
        <w:tc>
          <w:tcPr>
            <w:tcW w:type="dxa" w:w="7276"/>
            <w:tcMar>
              <w:top w:type="dxa" w:w="100"/>
              <w:left w:type="dxa" w:w="140"/>
              <w:bottom w:type="dxa" w:w="100"/>
              <w:right w:type="dxa" w:w="140"/>
            </w:tcMar>
          </w:tcPr>
          <w:p>
            <w:pPr>
              <w:spacing w:after="0" w:line="260"/>
            </w:pPr>
            <w:r>
              <w:rPr>
                <w:rFonts w:ascii="Calibri" w:cs="Calibri" w:eastAsia="Calibri" w:hAnsi="Calibri"/>
                <w:b/>
                <w:bCs/>
                <w:color w:val="0F6B4A"/>
                <w:sz w:val="19"/>
                <w:szCs w:val="19"/>
              </w:rPr>
              <w:t xml:space="preserve">BRD-02</w:t>
            </w:r>
            <w:r>
              <w:rPr>
                <w:rFonts w:ascii="Calibri" w:cs="Calibri" w:eastAsia="Calibri" w:hAnsi="Calibri"/>
                <w:color w:val="1A1A1A"/>
                <w:sz w:val="19"/>
                <w:szCs w:val="19"/>
              </w:rPr>
              <w:t xml:space="preserve">, </w:t>
            </w:r>
            <w:r>
              <w:rPr>
                <w:rFonts w:ascii="Calibri" w:cs="Calibri" w:eastAsia="Calibri" w:hAnsi="Calibri"/>
                <w:b/>
                <w:bCs/>
                <w:color w:val="0F6B4A"/>
                <w:sz w:val="19"/>
                <w:szCs w:val="19"/>
              </w:rPr>
              <w:t xml:space="preserve">BRD-04</w:t>
            </w:r>
            <w:r>
              <w:rPr>
                <w:rFonts w:ascii="Calibri" w:cs="Calibri" w:eastAsia="Calibri" w:hAnsi="Calibri"/>
                <w:color w:val="1A1A1A"/>
                <w:sz w:val="19"/>
                <w:szCs w:val="19"/>
              </w:rPr>
              <w:t xml:space="preserve"> — disclosure and provenance, expressed in the surface most likely to hide them.</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best thing to demonstrate</w:t>
            </w:r>
          </w:p>
        </w:tc>
        <w:tc>
          <w:tcPr>
            <w:tcW w:type="dxa" w:w="7276"/>
            <w:tcMar>
              <w:top w:type="dxa" w:w="100"/>
              <w:left w:type="dxa" w:w="140"/>
              <w:bottom w:type="dxa" w:w="100"/>
              <w:right w:type="dxa" w:w="140"/>
            </w:tcMar>
          </w:tcPr>
          <w:p>
            <w:pPr>
              <w:spacing w:after="0" w:line="260"/>
            </w:pPr>
            <w:r>
              <w:rPr>
                <w:rFonts w:ascii="Calibri" w:cs="Calibri" w:eastAsia="Calibri" w:hAnsi="Calibri"/>
                <w:color w:val="1A1A1A"/>
                <w:sz w:val="19"/>
                <w:szCs w:val="19"/>
              </w:rPr>
              <w:t xml:space="preserve">Ask it something it has no evidence for. It refuses — and names what could be asked instead. Not a hedge, not a general remark about the category. The UI renders a refusal in a different treatment from prose, </w:t>
            </w:r>
            <w:r>
              <w:rPr>
                <w:rFonts w:ascii="Calibri" w:cs="Calibri" w:eastAsia="Calibri" w:hAnsi="Calibri"/>
                <w:b/>
                <w:bCs/>
                <w:color w:val="1A1A1A"/>
                <w:sz w:val="19"/>
                <w:szCs w:val="19"/>
              </w:rPr>
              <w:t xml:space="preserve">because a confident sentence and an admission of ignorance must not look the same.</w:t>
            </w:r>
          </w:p>
        </w:tc>
      </w:tr>
      <w:tr>
        <w:tc>
          <w:tcPr>
            <w:tcW w:type="dxa" w:w="1750"/>
            <w:shd w:fill="F7F9FC" w:color="auto" w:val="clear"/>
            <w:tcMar>
              <w:top w:type="dxa" w:w="100"/>
              <w:left w:type="dxa" w:w="140"/>
              <w:bottom w:type="dxa" w:w="100"/>
              <w:right w:type="dxa" w:w="120"/>
            </w:tcMar>
          </w:tcPr>
          <w:p>
            <w:pPr>
              <w:spacing w:after="0" w:line="276"/>
            </w:pPr>
            <w:r>
              <w:rPr>
                <w:rFonts w:ascii="Calibri" w:cs="Calibri" w:eastAsia="Calibri" w:hAnsi="Calibri"/>
                <w:b/>
                <w:bCs/>
                <w:color w:val="0B5D8A"/>
                <w:sz w:val="17"/>
                <w:szCs w:val="17"/>
              </w:rPr>
              <w:t xml:space="preserve">The line that lands</w:t>
            </w:r>
          </w:p>
        </w:tc>
        <w:tc>
          <w:tcPr>
            <w:tcW w:type="dxa" w:w="7276"/>
            <w:tcMar>
              <w:top w:type="dxa" w:w="100"/>
              <w:left w:type="dxa" w:w="140"/>
              <w:bottom w:type="dxa" w:w="100"/>
              <w:right w:type="dxa" w:w="140"/>
            </w:tcMar>
          </w:tcPr>
          <w:p>
            <w:pPr>
              <w:spacing w:after="0" w:line="260"/>
            </w:pPr>
            <w:r>
              <w:rPr>
                <w:rFonts w:ascii="Calibri" w:cs="Calibri" w:eastAsia="Calibri" w:hAnsi="Calibri"/>
                <w:i/>
                <w:iCs/>
                <w:color w:val="1A1A1A"/>
                <w:sz w:val="19"/>
                <w:szCs w:val="19"/>
              </w:rPr>
              <w:t xml:space="preserve">“The failure mode where a model answers from its own memory is not mitigated here. It is unavailable.”</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5. Requirement-by-requirement traceability</w:t>
      </w:r>
    </w:p>
    <w:p>
      <w:pPr>
        <w:spacing w:after="120" w:line="276"/>
      </w:pPr>
      <w:r>
        <w:rPr>
          <w:rFonts w:ascii="Calibri" w:cs="Calibri" w:eastAsia="Calibri" w:hAnsi="Calibri"/>
          <w:color w:val="1A1A1A"/>
          <w:sz w:val="21"/>
          <w:szCs w:val="21"/>
        </w:rPr>
        <w:t xml:space="preserve">This is the table to leave on screen at the end. Every numbered requirement in BRD Section 06, where it is built, and how a reviewer can check it themselves.</w:t>
      </w:r>
    </w:p>
    <w:p>
      <w:pPr>
        <w:pStyle w:val="Heading2"/>
        <w:spacing w:after="130" w:before="280"/>
      </w:pPr>
      <w:r>
        <w:rPr>
          <w:rFonts w:ascii="Calibri" w:cs="Calibri" w:eastAsia="Calibri" w:hAnsi="Calibri"/>
          <w:b/>
          <w:bCs/>
          <w:color w:val="0B5D8A"/>
          <w:sz w:val="24"/>
          <w:szCs w:val="24"/>
        </w:rPr>
        <w:t xml:space="preserve">The twelve business requirements</w:t>
      </w:r>
    </w:p>
    <w:tbl>
      <w:tblPr>
        <w:tblW w:type="dxa" w:w="9026"/>
        <w:tblBorders>
          <w:top w:val="single" w:color="1B2A4A" w:sz="4"/>
          <w:left w:val="none"/>
          <w:bottom w:val="single" w:color="1B2A4A" w:sz="4"/>
          <w:right w:val="none"/>
          <w:insideH w:val="single" w:color="C9D2DC" w:sz="2"/>
          <w:insideV w:val="single" w:color="C9D2DC" w:sz="2"/>
        </w:tblBorders>
      </w:tblPr>
      <w:tblGrid>
        <w:gridCol w:w="900"/>
        <w:gridCol w:w="2500"/>
        <w:gridCol w:w="3000"/>
        <w:gridCol w:w="2626"/>
      </w:tblGrid>
      <w:tr>
        <w:trPr>
          <w:tblHeader/>
        </w:trPr>
        <w:tc>
          <w:tcPr>
            <w:tcW w:type="dxa" w:w="9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ID</w:t>
            </w:r>
          </w:p>
        </w:tc>
        <w:tc>
          <w:tcPr>
            <w:tcW w:type="dxa" w:w="25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the BRD asked for</w:t>
            </w:r>
          </w:p>
        </w:tc>
        <w:tc>
          <w:tcPr>
            <w:tcW w:type="dxa" w:w="30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Where it is built</w:t>
            </w:r>
          </w:p>
        </w:tc>
        <w:tc>
          <w:tcPr>
            <w:tcW w:type="dxa" w:w="26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How to check it</w:t>
            </w:r>
          </w:p>
        </w:tc>
      </w:tr>
      <w:tr>
        <w:tc>
          <w:tcPr>
            <w:tcW w:type="dxa" w:w="9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BRD-01</w:t>
            </w:r>
          </w:p>
        </w:tc>
        <w:tc>
          <w:tcPr>
            <w:tcW w:type="dxa" w:w="25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Assemble and reconcile all evidence sources into a coherent, time-aware view per case.</w:t>
            </w:r>
          </w:p>
        </w:tc>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Eleven external systems over MCP; the event tape with per-consumer cursors; the bitemporal fact store; the merged record.</w:t>
            </w:r>
          </w:p>
        </w:tc>
        <w:tc>
          <w:tcPr>
            <w:tcW w:type="dxa" w:w="2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Ingest Fabric; Product 360 shows the carrier of every value and the values that lost.</w:t>
            </w:r>
          </w:p>
        </w:tc>
      </w:tr>
      <w:tr>
        <w:tc>
          <w:tcPr>
            <w:tcW w:type="dxa" w:w="9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BRD-02</w:t>
            </w:r>
          </w:p>
        </w:tc>
        <w:tc>
          <w:tcPr>
            <w:tcW w:type="dxa" w:w="25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Detect and explicitly disclose missing, stale, duplicated or contradictory information.</w:t>
            </w:r>
          </w:p>
        </w:tc>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Ten readiness checks — seven rules, three that read prose and must cite. No composite score by design.</w:t>
            </w:r>
          </w:p>
        </w:tc>
        <w:tc>
          <w:tcPr>
            <w:tcW w:type="dxa" w:w="2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Product 360 readiness panel; the Day 18 arc where three sources disagree and the system drafts a clarification.</w:t>
            </w:r>
          </w:p>
        </w:tc>
      </w:tr>
      <w:tr>
        <w:tc>
          <w:tcPr>
            <w:tcW w:type="dxa" w:w="9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BRD-03</w:t>
            </w:r>
          </w:p>
        </w:tc>
        <w:tc>
          <w:tcPr>
            <w:tcW w:type="dxa" w:w="25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Dynamically select the next request, analysis, coordination or permitted action from state.</w:t>
            </w:r>
          </w:p>
        </w:tc>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LangGraph pipeline whose branch predicates are pure functions of state; the closed evidence desk of seven read-only lookups.</w:t>
            </w:r>
          </w:p>
        </w:tc>
        <w:tc>
          <w:tcPr>
            <w:tcW w:type="dxa" w:w="2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Review &amp; Audit draws the graph from the compiled pipeline — executed nodes lit, untaken branch greyed.</w:t>
            </w:r>
          </w:p>
        </w:tc>
      </w:tr>
      <w:tr>
        <w:tc>
          <w:tcPr>
            <w:tcW w:type="dxa" w:w="9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BRD-04</w:t>
            </w:r>
          </w:p>
        </w:tc>
        <w:tc>
          <w:tcPr>
            <w:tcW w:type="dxa" w:w="25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Maintain source provenance, human intervention, approvals and a complete audit trail.</w:t>
            </w:r>
          </w:p>
        </w:tc>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Five provenance classes on every fact; the approvals ledger; the replay of any past state.</w:t>
            </w:r>
          </w:p>
        </w:tc>
        <w:tc>
          <w:tcPr>
            <w:tcW w:type="dxa" w:w="2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Open an attribute's history: a chain of assertions, each naming its document version and decision.</w:t>
            </w:r>
          </w:p>
        </w:tc>
      </w:tr>
      <w:tr>
        <w:tc>
          <w:tcPr>
            <w:tcW w:type="dxa" w:w="9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BRD-05</w:t>
            </w:r>
          </w:p>
        </w:tc>
        <w:tc>
          <w:tcPr>
            <w:tcW w:type="dxa" w:w="25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Represent late, corrected or conflicting evidence without losing earlier evidence.</w:t>
            </w:r>
          </w:p>
        </w:tc>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Bitemporal facts on two axes — when a value is true, and when we learned it. A correction inserts a row naming the one it replaces; it never updates in place.</w:t>
            </w:r>
          </w:p>
        </w:tc>
        <w:tc>
          <w:tcPr>
            <w:tcW w:type="dxa" w:w="2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Day 37 arc: v3 supersedes v2, and v1 and v2 are both still readable.</w:t>
            </w:r>
          </w:p>
        </w:tc>
      </w:tr>
      <w:tr>
        <w:tc>
          <w:tcPr>
            <w:tcW w:type="dxa" w:w="9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BRD-06</w:t>
            </w:r>
          </w:p>
        </w:tc>
        <w:tc>
          <w:tcPr>
            <w:tcW w:type="dxa" w:w="25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Prioritise by deadline, dependency, authority and expected value, not a fixed happy path.</w:t>
            </w:r>
          </w:p>
        </w:tc>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Source precedence policy (label artwork outranks a portal feed, which outranks an email); severity triage; materiality threshold; safety override.</w:t>
            </w:r>
          </w:p>
        </w:tc>
        <w:tc>
          <w:tcPr>
            <w:tcW w:type="dxa" w:w="2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Day 18 arc, where precedence settles a three-way disagreement. Approval queue rows carry severity and mandatory-review grounds.</w:t>
            </w:r>
          </w:p>
        </w:tc>
      </w:tr>
      <w:tr>
        <w:tc>
          <w:tcPr>
            <w:tcW w:type="dxa" w:w="9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BRD-07</w:t>
            </w:r>
          </w:p>
        </w:tc>
        <w:tc>
          <w:tcPr>
            <w:tcW w:type="dxa" w:w="25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Prevent duplicate evidence requests, transactions or repeated external actions.</w:t>
            </w:r>
          </w:p>
        </w:tc>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Sequential ingestion behind a watermark; publish locks made exclusive by a partial unique index in the database; idempotent graph loads.</w:t>
            </w:r>
          </w:p>
        </w:tc>
        <w:tc>
          <w:tcPr>
            <w:tcW w:type="dxa" w:w="2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Two runs republishing the same product to the same channel is impossible, not merely unlikely — and the loser is told which run holds the lock.</w:t>
            </w:r>
          </w:p>
        </w:tc>
      </w:tr>
      <w:tr>
        <w:tc>
          <w:tcPr>
            <w:tcW w:type="dxa" w:w="9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BRD-08</w:t>
            </w:r>
          </w:p>
        </w:tc>
        <w:tc>
          <w:tcPr>
            <w:tcW w:type="dxa" w:w="25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Represent competing interpretations and show which evidence supports or weakens each.</w:t>
            </w:r>
          </w:p>
        </w:tc>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Readings section: candidate scopes ranked, with the deciding evidence beside each one.</w:t>
            </w:r>
          </w:p>
        </w:tc>
        <w:tc>
          <w:tcPr>
            <w:tcW w:type="dxa" w:w="2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Readings, after a run. Deliberately a table and not a chart — see Section 6.</w:t>
            </w:r>
          </w:p>
        </w:tc>
      </w:tr>
      <w:tr>
        <w:tc>
          <w:tcPr>
            <w:tcW w:type="dxa" w:w="9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BRD-09</w:t>
            </w:r>
          </w:p>
        </w:tc>
        <w:tc>
          <w:tcPr>
            <w:tcW w:type="dxa" w:w="25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Versioned state separating recorded fact, AI inference, user input, automated action and human decision.</w:t>
            </w:r>
          </w:p>
        </w:tc>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RECORDED · INFERRED · DECIDED · SIMULATED · COMMITTED. An enumeration in the contracts module; no fact can be stored without one.</w:t>
            </w:r>
          </w:p>
        </w:tc>
        <w:tc>
          <w:tcPr>
            <w:tcW w:type="dxa" w:w="2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Every value in Product 360 is badged with its class. The requirement asked for five; there are five.</w:t>
            </w:r>
          </w:p>
        </w:tc>
      </w:tr>
      <w:tr>
        <w:tc>
          <w:tcPr>
            <w:tcW w:type="dxa" w:w="9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BRD-10</w:t>
            </w:r>
          </w:p>
        </w:tc>
        <w:tc>
          <w:tcPr>
            <w:tcW w:type="dxa" w:w="25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Coordinate approved tools with permission checks, retries, timeouts, idempotency and partial-failure recovery.</w:t>
            </w:r>
          </w:p>
        </w:tc>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MCP toolsets partitioned by owning system, only one able to write; discovery separated from admission; a circuit breaker; a deterministic fallback behind every model step; durable checkpoints.</w:t>
            </w:r>
          </w:p>
        </w:tc>
        <w:tc>
          <w:tcPr>
            <w:tcW w:type="dxa" w:w="2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System Control shows each call with the transport it actually used. Kill the process mid-run and restart — it resumes.</w:t>
            </w:r>
          </w:p>
        </w:tc>
      </w:tr>
      <w:tr>
        <w:tc>
          <w:tcPr>
            <w:tcW w:type="dxa" w:w="9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BRD-11</w:t>
            </w:r>
          </w:p>
        </w:tc>
        <w:tc>
          <w:tcPr>
            <w:tcW w:type="dxa" w:w="25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Role-based intervention, approval gates, audit replay and configurable action boundaries.</w:t>
            </w:r>
          </w:p>
        </w:tc>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shared approval queue; four separate refusals in the commit path; a second gate for republishing after a redaction, recorded in its own table.</w:t>
            </w:r>
          </w:p>
        </w:tc>
        <w:tc>
          <w:tcPr>
            <w:tcW w:type="dxa" w:w="2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Review &amp; Audit. The republish gate is deliberately not stored in the approvals table — putting it there would let a release satisfy the first gate by itself.</w:t>
            </w:r>
          </w:p>
        </w:tc>
      </w:tr>
      <w:tr>
        <w:tc>
          <w:tcPr>
            <w:tcW w:type="dxa" w:w="9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BRD-12</w:t>
            </w:r>
          </w:p>
        </w:tc>
        <w:tc>
          <w:tcPr>
            <w:tcW w:type="dxa" w:w="25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Propagate a post-publication correction and identify every affected field and channel.</w:t>
            </w:r>
          </w:p>
        </w:tc>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blast radius: a typed edge walk from document to attribute to variant to asset to listing to channel, derived from the catalogue and never from a model.</w:t>
            </w:r>
          </w:p>
        </w:tc>
        <w:tc>
          <w:tcPr>
            <w:tcW w:type="dxa" w:w="2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Blast Radius. One field, fifteen assets, five listings, four channels — including a page nobody corrected.</w:t>
            </w:r>
          </w:p>
        </w:tc>
      </w:tr>
    </w:tbl>
    <w:p>
      <w:r>
        <w:br w:type="page"/>
      </w:r>
    </w:p>
    <w:p>
      <w:pPr>
        <w:pStyle w:val="Heading2"/>
        <w:spacing w:after="130" w:before="280"/>
      </w:pPr>
      <w:r>
        <w:rPr>
          <w:rFonts w:ascii="Calibri" w:cs="Calibri" w:eastAsia="Calibri" w:hAnsi="Calibri"/>
          <w:b/>
          <w:bCs/>
          <w:color w:val="0B5D8A"/>
          <w:sz w:val="24"/>
          <w:szCs w:val="24"/>
        </w:rPr>
        <w:t xml:space="preserve">Governance — BRD Section 09, control by control</w:t>
      </w:r>
    </w:p>
    <w:p>
      <w:pPr>
        <w:spacing w:after="120" w:line="276"/>
      </w:pPr>
      <w:r>
        <w:rPr>
          <w:rFonts w:ascii="Calibri" w:cs="Calibri" w:eastAsia="Calibri" w:hAnsi="Calibri"/>
          <w:color w:val="1A1A1A"/>
          <w:sz w:val="21"/>
          <w:szCs w:val="21"/>
        </w:rPr>
        <w:t xml:space="preserve">Section 09 says the controls must exist in the running product, not only in documentation. This is the table that answers it.</w:t>
      </w:r>
    </w:p>
    <w:tbl>
      <w:tblPr>
        <w:tblW w:type="dxa" w:w="9026"/>
        <w:tblBorders>
          <w:top w:val="single" w:color="1B2A4A" w:sz="4"/>
          <w:left w:val="none"/>
          <w:bottom w:val="single" w:color="1B2A4A" w:sz="4"/>
          <w:right w:val="none"/>
          <w:insideH w:val="single" w:color="C9D2DC" w:sz="2"/>
          <w:insideV w:val="single" w:color="C9D2DC" w:sz="2"/>
        </w:tblBorders>
      </w:tblPr>
      <w:tblGrid>
        <w:gridCol w:w="2400"/>
        <w:gridCol w:w="6626"/>
      </w:tblGrid>
      <w:tr>
        <w:trPr>
          <w:tblHeader/>
        </w:trPr>
        <w:tc>
          <w:tcPr>
            <w:tcW w:type="dxa" w:w="24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Control the BRD names</w:t>
            </w:r>
          </w:p>
        </w:tc>
        <w:tc>
          <w:tcPr>
            <w:tcW w:type="dxa" w:w="66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Applied in the running system</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Allowed AI assistance</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Four bounded jobs, and phrasing an answer from facts already gathered. Every model output is checked against the catalogue before it touches anything.</w:t>
            </w:r>
          </w:p>
        </w:tc>
      </w:tr>
      <w:tr>
        <w:tc>
          <w:tcPr>
            <w:tcW w:type="dxa" w:w="24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Human-approved actions</w:t>
            </w:r>
          </w:p>
        </w:tc>
        <w:tc>
          <w:tcPr>
            <w:tcW w:type="dxa" w:w="6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Regulated or material claim changes; publishing a corrected specification; overriding a hypothesis; accepting a proposed new line; republishing after a redaction. Each is an enforced refusal in the commit path, not a screen convention.</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Prohibited AI actions</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No writing a fact directly; no bypassing an approval; no invoking an unadmitted tool; no irreversible publish. The approval gate is deliberately not exposed as a delegatable capability, and neither is publishing.</w:t>
            </w:r>
          </w:p>
        </w:tc>
      </w:tr>
      <w:tr>
        <w:tc>
          <w:tcPr>
            <w:tcW w:type="dxa" w:w="24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Escalation triggers</w:t>
            </w:r>
          </w:p>
        </w:tc>
        <w:tc>
          <w:tcPr>
            <w:tcW w:type="dxa" w:w="66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Insufficient evidence, low confidence, contradiction, policy conflict or tool failure each route to a named branch — supplier clarification, constraint review, or mandatory human review.</w:t>
            </w:r>
          </w:p>
        </w:tc>
      </w:tr>
      <w:tr>
        <w:tc>
          <w:tcPr>
            <w:tcW w:type="dxa" w:w="24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Auditability</w:t>
            </w:r>
          </w:p>
        </w:tc>
        <w:tc>
          <w:tcPr>
            <w:tcW w:type="dxa" w:w="66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Every recommendation, the evidence used, the tool requested, the human decision and the final outcome is recorded and replayable, with valid time and known time kept apart.</w:t>
            </w:r>
          </w:p>
        </w:tc>
      </w:tr>
      <w:tr>
        <w:tc>
          <w:tcPr>
            <w:tcW w:type="dxa" w:w="2400"/>
            <w:shd w:fill="F7F9FC" w:color="auto" w:val="clear"/>
            <w:tcMar>
              <w:top w:type="dxa" w:w="90"/>
              <w:left w:type="dxa" w:w="130"/>
              <w:bottom w:type="dxa" w:w="90"/>
              <w:right w:type="dxa" w:w="130"/>
            </w:tcMar>
          </w:tcPr>
          <w:p>
            <w:pPr>
              <w:spacing w:after="0" w:line="250"/>
            </w:pPr>
            <w:r>
              <w:rPr>
                <w:rFonts w:ascii="Calibri" w:cs="Calibri" w:eastAsia="Calibri" w:hAnsi="Calibri"/>
                <w:b/>
                <w:bCs/>
                <w:color w:val="8A1C1C"/>
                <w:sz w:val="18"/>
                <w:szCs w:val="18"/>
              </w:rPr>
              <w:t xml:space="preserve">The non-negotiable</w:t>
            </w:r>
          </w:p>
        </w:tc>
        <w:tc>
          <w:tcPr>
            <w:tcW w:type="dxa" w:w="6626"/>
            <w:shd w:fill="F7F9FC" w:color="auto" w:val="clear"/>
            <w:tcMar>
              <w:top w:type="dxa" w:w="90"/>
              <w:left w:type="dxa" w:w="130"/>
              <w:bottom w:type="dxa" w:w="90"/>
              <w:right w:type="dxa" w:w="130"/>
            </w:tcMar>
          </w:tcPr>
          <w:p>
            <w:pPr>
              <w:spacing w:after="0" w:line="250"/>
            </w:pPr>
            <w:r>
              <w:rPr>
                <w:rFonts w:ascii="Calibri" w:cs="Calibri" w:eastAsia="Calibri" w:hAnsi="Calibri"/>
                <w:i/>
                <w:iCs/>
                <w:color w:val="1A1A1A"/>
                <w:sz w:val="18"/>
                <w:szCs w:val="18"/>
              </w:rPr>
              <w:t xml:space="preserve">“No override path that bypasses this gate.” </w:t>
            </w:r>
            <w:r>
              <w:rPr>
                <w:rFonts w:ascii="Calibri" w:cs="Calibri" w:eastAsia="Calibri" w:hAnsi="Calibri"/>
                <w:color w:val="1A1A1A"/>
                <w:sz w:val="18"/>
                <w:szCs w:val="18"/>
              </w:rPr>
              <w:t xml:space="preserve">Enforced where the code commits, not where the UI renders — so it holds whichever protocol surface the request arrived through. A test asserts that a release approval alone cannot publish an unapproved resolution.</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6. Engineering depth — ten decisions, and why</w:t>
      </w:r>
    </w:p>
    <w:p>
      <w:pPr>
        <w:spacing w:after="120" w:line="276"/>
      </w:pPr>
      <w:r>
        <w:rPr>
          <w:rFonts w:ascii="Calibri" w:cs="Calibri" w:eastAsia="Calibri" w:hAnsi="Calibri"/>
          <w:color w:val="1A1A1A"/>
          <w:sz w:val="21"/>
          <w:szCs w:val="21"/>
        </w:rPr>
        <w:t xml:space="preserve">A reviewer is not impressed by technology. They are impressed by a choice with a reason behind it, and by the alternative you rejected. Each of these is one sentence of what, and one of why.</w:t>
      </w:r>
    </w:p>
    <w:p>
      <w:pPr>
        <w:pStyle w:val="Heading3"/>
        <w:spacing w:after="100" w:before="200"/>
      </w:pPr>
      <w:r>
        <w:rPr>
          <w:rFonts w:ascii="Calibri" w:cs="Calibri" w:eastAsia="Calibri" w:hAnsi="Calibri"/>
          <w:b/>
          <w:bCs/>
          <w:color w:val="1B2A4A"/>
          <w:sz w:val="21"/>
          <w:szCs w:val="21"/>
        </w:rPr>
        <w:t xml:space="preserve">1. Bitemporal facts — two clocks, not one</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Every fact records when it is true in the world and, separately, when we learned it. A correction never overwrites; it inserts a new row naming the one it replaces.</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Because the premise of the whole problem is a late correction. This is what lets us answer “what did the content team know when they wrote this bullet?” separately from “what is actually true?” — and that second question is what a supplier correction is.</w:t>
      </w:r>
    </w:p>
    <w:p>
      <w:pPr>
        <w:pStyle w:val="Heading3"/>
        <w:spacing w:after="100" w:before="200"/>
      </w:pPr>
      <w:r>
        <w:rPr>
          <w:rFonts w:ascii="Calibri" w:cs="Calibri" w:eastAsia="Calibri" w:hAnsi="Calibri"/>
          <w:b/>
          <w:bCs/>
          <w:color w:val="1B2A4A"/>
          <w:sz w:val="21"/>
          <w:szCs w:val="21"/>
        </w:rPr>
        <w:t xml:space="preserve">2. The blast radius comes from topology, never from a model</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Every content asset declares the attributes it was derived from, so tracing a correction is a graph walk.</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Because a judgement cannot be audited and a graph walk can. It also finds the case a human would miss — the base model's page, affected because a comparison table there quotes both variants.</w:t>
      </w:r>
    </w:p>
    <w:p>
      <w:pPr>
        <w:pStyle w:val="Heading3"/>
        <w:spacing w:after="100" w:before="200"/>
      </w:pPr>
      <w:r>
        <w:rPr>
          <w:rFonts w:ascii="Calibri" w:cs="Calibri" w:eastAsia="Calibri" w:hAnsi="Calibri"/>
          <w:b/>
          <w:bCs/>
          <w:color w:val="1B2A4A"/>
          <w:sz w:val="21"/>
          <w:szCs w:val="21"/>
        </w:rPr>
        <w:t xml:space="preserve">3. Fail closed on safety</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A safety-class attribute whose value was inferred by a model below 0.9 confidence, with no human override, blocks publication on every channel carrying that product.</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Not a warning banner — a hard stop naming the attribute, the confidence and the threshold. The cheapest possible way to be wrong about an allergen is to be slow about it.</w:t>
      </w:r>
    </w:p>
    <w:p>
      <w:pPr>
        <w:pStyle w:val="Heading3"/>
        <w:spacing w:after="100" w:before="200"/>
      </w:pPr>
      <w:r>
        <w:rPr>
          <w:rFonts w:ascii="Calibri" w:cs="Calibri" w:eastAsia="Calibri" w:hAnsi="Calibri"/>
          <w:b/>
          <w:bCs/>
          <w:color w:val="1B2A4A"/>
          <w:sz w:val="21"/>
          <w:szCs w:val="21"/>
        </w:rPr>
        <w:t xml:space="preserve">4. Rules as data, not code</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Channel requirements live in a table the validator reads and the corpus documents.</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So a reviewer can be shown the exact rule that stopped a publish, and adding a channel is data entry rather than a code change.</w:t>
      </w:r>
    </w:p>
    <w:p>
      <w:pPr>
        <w:pStyle w:val="Heading3"/>
        <w:spacing w:after="100" w:before="200"/>
      </w:pPr>
      <w:r>
        <w:rPr>
          <w:rFonts w:ascii="Calibri" w:cs="Calibri" w:eastAsia="Calibri" w:hAnsi="Calibri"/>
          <w:b/>
          <w:bCs/>
          <w:color w:val="1B2A4A"/>
          <w:sz w:val="21"/>
          <w:szCs w:val="21"/>
        </w:rPr>
        <w:t xml:space="preserve">5. A partial unique index for concurrency</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Publish locks are exclusive per channel, product and batch date, enforced by the database itself.</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Two runs republishing the same product to the same channel becomes impossible rather than unlikely — and the losing run is told which run holds the lock.</w:t>
      </w:r>
    </w:p>
    <w:p>
      <w:pPr>
        <w:pStyle w:val="Heading3"/>
        <w:spacing w:after="100" w:before="200"/>
      </w:pPr>
      <w:r>
        <w:rPr>
          <w:rFonts w:ascii="Calibri" w:cs="Calibri" w:eastAsia="Calibri" w:hAnsi="Calibri"/>
          <w:b/>
          <w:bCs/>
          <w:color w:val="1B2A4A"/>
          <w:sz w:val="21"/>
          <w:szCs w:val="21"/>
        </w:rPr>
        <w:t xml:space="preserve">6. Durable checkpoints</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The pipeline checkpoints to disk at every node.</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Kill the process mid-run and it resumes. A suspended approval survives a restart, which is what makes an overnight approval queue real rather than decorative.</w:t>
      </w:r>
    </w:p>
    <w:p>
      <w:pPr>
        <w:pStyle w:val="Heading3"/>
        <w:spacing w:after="100" w:before="200"/>
      </w:pPr>
      <w:r>
        <w:rPr>
          <w:rFonts w:ascii="Calibri" w:cs="Calibri" w:eastAsia="Calibri" w:hAnsi="Calibri"/>
          <w:b/>
          <w:bCs/>
          <w:color w:val="1B2A4A"/>
          <w:sz w:val="21"/>
          <w:szCs w:val="21"/>
        </w:rPr>
        <w:t xml:space="preserve">7. BM25 alongside embeddings</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Retrieval fuses a keyword index and a dense vector index with weighted reciprocal rank fusion.</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Because reviewers search for identifiers, and embeddings place VAR-01A and VAR-01B almost on top of each other — despite their having opposite answers to the only question that matters about them.</w:t>
      </w:r>
    </w:p>
    <w:p>
      <w:pPr>
        <w:pStyle w:val="Heading3"/>
        <w:spacing w:after="100" w:before="200"/>
      </w:pPr>
      <w:r>
        <w:rPr>
          <w:rFonts w:ascii="Calibri" w:cs="Calibri" w:eastAsia="Calibri" w:hAnsi="Calibri"/>
          <w:b/>
          <w:bCs/>
          <w:color w:val="1B2A4A"/>
          <w:sz w:val="21"/>
          <w:szCs w:val="21"/>
        </w:rPr>
        <w:t xml:space="preserve">8. SQLite and numpy, not Postgres and a vector database</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One file, no server; retrieval is a single matrix multiply over a few hundred chunks.</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An approximate-nearest-neighbour index would add a dependency and an approximation to an operation that already takes under a millisecond. And the audit trail is inspectable with a shell during a demo.</w:t>
      </w:r>
    </w:p>
    <w:p>
      <w:pPr>
        <w:pStyle w:val="Heading3"/>
        <w:spacing w:after="100" w:before="200"/>
      </w:pPr>
      <w:r>
        <w:rPr>
          <w:rFonts w:ascii="Calibri" w:cs="Calibri" w:eastAsia="Calibri" w:hAnsi="Calibri"/>
          <w:b/>
          <w:bCs/>
          <w:color w:val="1B2A4A"/>
          <w:sz w:val="21"/>
          <w:szCs w:val="21"/>
        </w:rPr>
        <w:t xml:space="preserve">9. Nothing is written down twice</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The supplier templates, the launch checks, the categories and the branch rules all derive from one retailer profile and one attribute registry.</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Point the system at a different retailer profile and the templates, the checks and the assortment all change with it. Pointing this demo at another retailer is a new profile, not a refactor.</w:t>
      </w:r>
    </w:p>
    <w:p>
      <w:pPr>
        <w:pStyle w:val="Heading3"/>
        <w:spacing w:after="100" w:before="200"/>
      </w:pPr>
      <w:r>
        <w:rPr>
          <w:rFonts w:ascii="Calibri" w:cs="Calibri" w:eastAsia="Calibri" w:hAnsi="Calibri"/>
          <w:b/>
          <w:bCs/>
          <w:color w:val="1B2A4A"/>
          <w:sz w:val="21"/>
          <w:szCs w:val="21"/>
        </w:rPr>
        <w:t xml:space="preserve">10. No chart library, and no Pareto frontier</w:t>
      </w:r>
    </w:p>
    <w:p>
      <w:pPr>
        <w:spacing w:after="60" w:line="276"/>
      </w:pPr>
      <w:r>
        <w:rPr>
          <w:rFonts w:ascii="Calibri" w:cs="Calibri" w:eastAsia="Calibri" w:hAnsi="Calibri"/>
          <w:b/>
          <w:bCs/>
          <w:color w:val="0B5D8A"/>
          <w:sz w:val="21"/>
          <w:szCs w:val="21"/>
        </w:rPr>
        <w:t xml:space="preserve">What: </w:t>
      </w:r>
      <w:r>
        <w:rPr>
          <w:rFonts w:ascii="Calibri" w:cs="Calibri" w:eastAsia="Calibri" w:hAnsi="Calibri"/>
          <w:color w:val="1A1A1A"/>
          <w:sz w:val="21"/>
          <w:szCs w:val="21"/>
        </w:rPr>
        <w:t xml:space="preserve">Competing readings are shown as a ranked table with the deciding evidence beside each one.</w:t>
      </w:r>
    </w:p>
    <w:p>
      <w:pPr>
        <w:spacing w:after="140" w:line="276"/>
      </w:pPr>
      <w:r>
        <w:rPr>
          <w:rFonts w:ascii="Calibri" w:cs="Calibri" w:eastAsia="Calibri" w:hAnsi="Calibri"/>
          <w:b/>
          <w:bCs/>
          <w:color w:val="0B5D8A"/>
          <w:sz w:val="21"/>
          <w:szCs w:val="21"/>
        </w:rPr>
        <w:t xml:space="preserve">Why: </w:t>
      </w:r>
      <w:r>
        <w:rPr>
          <w:rFonts w:ascii="Calibri" w:cs="Calibri" w:eastAsia="Calibri" w:hAnsi="Calibri"/>
          <w:color w:val="1A1A1A"/>
          <w:sz w:val="21"/>
          <w:szCs w:val="21"/>
        </w:rPr>
        <w:t xml:space="preserve">Two or three readings of one document is not an efficient frontier, and drawing one would be a chart pretending to be an analysis.</w:t>
      </w:r>
    </w:p>
    <w:p>
      <w:pPr>
        <w:pStyle w:val="Heading2"/>
        <w:spacing w:after="130" w:before="280"/>
      </w:pPr>
      <w:r>
        <w:rPr>
          <w:rFonts w:ascii="Calibri" w:cs="Calibri" w:eastAsia="Calibri" w:hAnsi="Calibri"/>
          <w:b/>
          <w:bCs/>
          <w:color w:val="0B5D8A"/>
          <w:sz w:val="24"/>
          <w:szCs w:val="24"/>
        </w:rPr>
        <w:t xml:space="preserve">What the test suite is actually for</w:t>
      </w:r>
    </w:p>
    <w:p>
      <w:pPr>
        <w:spacing w:after="120" w:line="276"/>
      </w:pPr>
      <w:r>
        <w:rPr>
          <w:rFonts w:ascii="Calibri" w:cs="Calibri" w:eastAsia="Calibri" w:hAnsi="Calibri"/>
          <w:color w:val="1A1A1A"/>
          <w:sz w:val="21"/>
          <w:szCs w:val="21"/>
        </w:rPr>
        <w:t xml:space="preserve">789 tests, roughly eight and a half minutes, and no network needed. Three facts about them are worth saying out loud, because each one is a design decision.</w:t>
      </w:r>
    </w:p>
    <w:p>
      <w:pPr>
        <w:pStyle w:val="ListParagraph"/>
        <w:numPr>
          <w:ilvl w:val="0"/>
          <w:numId w:val="2"/>
        </w:numPr>
        <w:spacing w:after="70" w:line="270"/>
      </w:pPr>
      <w:r>
        <w:rPr>
          <w:rFonts w:ascii="Calibri" w:cs="Calibri" w:eastAsia="Calibri" w:hAnsi="Calibri"/>
          <w:b/>
          <w:bCs/>
          <w:color w:val="1A1A1A"/>
          <w:sz w:val="21"/>
          <w:szCs w:val="21"/>
        </w:rPr>
        <w:t xml:space="preserve">There is no LLM mocking anywhere. </w:t>
      </w:r>
      <w:r>
        <w:rPr>
          <w:rFonts w:ascii="Calibri" w:cs="Calibri" w:eastAsia="Calibri" w:hAnsi="Calibri"/>
          <w:color w:val="1A1A1A"/>
          <w:sz w:val="21"/>
          <w:szCs w:val="21"/>
        </w:rPr>
        <w:t xml:space="preserve">A mocked model tests the mock. Instead, the suite runs with the model gateway pinned to a closed port — so what continuous integration exercises is the deterministic fallback in every node. The entire demo, all six arcs, is reachable with no model at all.</w:t>
      </w:r>
    </w:p>
    <w:p>
      <w:pPr>
        <w:pStyle w:val="ListParagraph"/>
        <w:numPr>
          <w:ilvl w:val="0"/>
          <w:numId w:val="2"/>
        </w:numPr>
        <w:spacing w:after="70" w:line="270"/>
      </w:pPr>
      <w:r>
        <w:rPr>
          <w:rFonts w:ascii="Calibri" w:cs="Calibri" w:eastAsia="Calibri" w:hAnsi="Calibri"/>
          <w:b/>
          <w:bCs/>
          <w:color w:val="1A1A1A"/>
          <w:sz w:val="21"/>
          <w:szCs w:val="21"/>
        </w:rPr>
        <w:t xml:space="preserve">Four tests are load-bearing beyond their own subject. </w:t>
      </w:r>
      <w:r>
        <w:rPr>
          <w:rFonts w:ascii="Calibri" w:cs="Calibri" w:eastAsia="Calibri" w:hAnsi="Calibri"/>
          <w:color w:val="1A1A1A"/>
          <w:sz w:val="21"/>
          <w:szCs w:val="21"/>
        </w:rPr>
        <w:t xml:space="preserve">They guard failures that are silent: the system would go on reporting success while it stopped recording facts, or while a redaction erased a violation that was still live in 214,000 printed catalogues.</w:t>
      </w:r>
    </w:p>
    <w:p>
      <w:pPr>
        <w:pStyle w:val="ListParagraph"/>
        <w:numPr>
          <w:ilvl w:val="0"/>
          <w:numId w:val="2"/>
        </w:numPr>
        <w:spacing w:after="70" w:line="270"/>
      </w:pPr>
      <w:r>
        <w:rPr>
          <w:rFonts w:ascii="Calibri" w:cs="Calibri" w:eastAsia="Calibri" w:hAnsi="Calibri"/>
          <w:b/>
          <w:bCs/>
          <w:color w:val="1A1A1A"/>
          <w:sz w:val="21"/>
          <w:szCs w:val="21"/>
        </w:rPr>
        <w:t xml:space="preserve">One test greps for the return of hardcoded model names. </w:t>
      </w:r>
      <w:r>
        <w:rPr>
          <w:rFonts w:ascii="Calibri" w:cs="Calibri" w:eastAsia="Calibri" w:hAnsi="Calibri"/>
          <w:color w:val="1A1A1A"/>
          <w:sz w:val="21"/>
          <w:szCs w:val="21"/>
        </w:rPr>
        <w:t xml:space="preserve">Two stale alias lists had survived as an offline fallback, every one of them drifted from the shipped configuration — so a gateway outage, the exact case they existed for, produced a model picker the gateway would have refused.</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IF A REVIEWER ASKS HOW BIG IT IS</w:t>
            </w:r>
          </w:p>
          <w:p>
            <w:pPr>
              <w:spacing w:after="0" w:line="276"/>
            </w:pPr>
            <w:r>
              <w:rPr>
                <w:rFonts w:ascii="Calibri" w:cs="Calibri" w:eastAsia="Calibri" w:hAnsi="Calibri"/>
                <w:color w:val="1A1A1A"/>
                <w:sz w:val="21"/>
                <w:szCs w:val="21"/>
              </w:rPr>
              <w:t xml:space="preserve">About 36,000 lines of Python behind the platform, 24,000 lines of TypeScript in the interface, 13,000 lines of tests, and 12 capability specifications carrying 115 requirements and 276 acceptance scenarios. But lead with the specifications, not the line count — the specifications are the reason the line count is defensible.</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7. AI depth — four invitations and six fences</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FFF6E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LEAD WITH THE RESTRAINT, NOT THE REACH</w:t>
            </w:r>
          </w:p>
          <w:p>
            <w:pPr>
              <w:spacing w:after="0" w:line="276"/>
            </w:pPr>
            <w:r>
              <w:rPr>
                <w:rFonts w:ascii="Calibri" w:cs="Calibri" w:eastAsia="Calibri" w:hAnsi="Calibri"/>
                <w:color w:val="1A1A1A"/>
                <w:sz w:val="21"/>
                <w:szCs w:val="21"/>
              </w:rPr>
              <w:t xml:space="preserve">The BRD quotes Gartner: more than 40% of agentic AI projects are projected to be cancelled by 2027. The confident answer to that is not more autonomy. It is a smaller, better-defended surface. Say this first: “This problem does not need an autonomous multi-agent system, and building one would have been the wrong answer confidently delivered.”</w:t>
            </w:r>
          </w:p>
        </w:tc>
      </w:tr>
    </w:tbl>
    <w:p>
      <w:pPr>
        <w:pStyle w:val="Heading2"/>
        <w:spacing w:after="130" w:before="280"/>
      </w:pPr>
      <w:r>
        <w:rPr>
          <w:rFonts w:ascii="Calibri" w:cs="Calibri" w:eastAsia="Calibri" w:hAnsi="Calibri"/>
          <w:b/>
          <w:bCs/>
          <w:color w:val="0B5D8A"/>
          <w:sz w:val="24"/>
          <w:szCs w:val="24"/>
        </w:rPr>
        <w:t xml:space="preserve">The four places a model is invited in</w:t>
      </w:r>
    </w:p>
    <w:p>
      <w:pPr>
        <w:spacing w:after="120" w:line="276"/>
      </w:pPr>
      <w:r>
        <w:rPr>
          <w:rFonts w:ascii="Calibri" w:cs="Calibri" w:eastAsia="Calibri" w:hAnsi="Calibri"/>
          <w:color w:val="1A1A1A"/>
          <w:sz w:val="21"/>
          <w:szCs w:val="21"/>
        </w:rPr>
        <w:t xml:space="preserve">Each one is a job ordinary software genuinely cannot do. Learn the four; a reviewer will ask.</w:t>
      </w:r>
    </w:p>
    <w:tbl>
      <w:tblPr>
        <w:tblW w:type="dxa" w:w="9026"/>
        <w:tblBorders>
          <w:top w:val="single" w:color="1B2A4A" w:sz="4"/>
          <w:left w:val="none"/>
          <w:bottom w:val="single" w:color="1B2A4A" w:sz="4"/>
          <w:right w:val="none"/>
          <w:insideH w:val="single" w:color="C9D2DC" w:sz="2"/>
          <w:insideV w:val="single" w:color="C9D2DC" w:sz="2"/>
        </w:tblBorders>
      </w:tblPr>
      <w:tblGrid>
        <w:gridCol w:w="500"/>
        <w:gridCol w:w="2700"/>
        <w:gridCol w:w="2700"/>
        <w:gridCol w:w="3126"/>
      </w:tblGrid>
      <w:tr>
        <w:trPr>
          <w:tblHeader/>
        </w:trPr>
        <w:tc>
          <w:tcPr>
            <w:tcW w:type="dxa" w:w="5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t>
            </w:r>
          </w:p>
        </w:tc>
        <w:tc>
          <w:tcPr>
            <w:tcW w:type="dxa" w:w="27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the model does</w:t>
            </w:r>
          </w:p>
        </w:tc>
        <w:tc>
          <w:tcPr>
            <w:tcW w:type="dxa" w:w="27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Why software cannot do it</w:t>
            </w:r>
          </w:p>
        </w:tc>
        <w:tc>
          <w:tcPr>
            <w:tcW w:type="dxa" w:w="31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The fence around it</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w:t>
            </w:r>
          </w:p>
        </w:tc>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Reads a corrected value out of unstructured supplier prose — a PDF, an email, a specification revision.</w:t>
            </w:r>
          </w:p>
        </w:tc>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value is in a sentence, not a field. There is no schema to parse.</w:t>
            </w:r>
          </w:p>
        </w:tc>
        <w:tc>
          <w:tcPr>
            <w:tcW w:type="dxa" w:w="31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Whatever it extracts is checked against the catalogue before it is written, and it is written as INFERRED with the document version it came from.</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2</w:t>
            </w:r>
          </w:p>
        </w:tc>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Argues which product variant a document meant, when the document does not say.</w:t>
            </w:r>
          </w:p>
        </w:tc>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This is genuinely ambiguous. A rule would have to invent an answer.</w:t>
            </w:r>
          </w:p>
        </w:tc>
        <w:tc>
          <w:tcPr>
            <w:tcW w:type="dxa" w:w="31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closed evidence desk of seven read-only lookups and a hard cap on rounds. Nothing on the desk writes a fact or publishes anything.</w:t>
            </w:r>
          </w:p>
        </w:tc>
      </w:tr>
      <w:tr>
        <w:tc>
          <w:tcPr>
            <w:tcW w:type="dxa" w:w="5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3</w:t>
            </w:r>
          </w:p>
        </w:tc>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Notices that a sentence has quietly become untrue for reasons no rule encodes.</w:t>
            </w:r>
          </w:p>
        </w:tc>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“Ultra-quiet 45W operation” is not false in any way a schema can see. It is false because a number moved.</w:t>
            </w:r>
          </w:p>
        </w:tc>
        <w:tc>
          <w:tcPr>
            <w:tcW w:type="dxa" w:w="31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model finds and must cite. A candidate citing nothing retrievable is dropped, and a rule — not the model — decides the verdict.</w:t>
            </w:r>
          </w:p>
        </w:tc>
      </w:tr>
      <w:tr>
        <w:tc>
          <w:tcPr>
            <w:tcW w:type="dxa" w:w="5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4</w:t>
            </w:r>
          </w:p>
        </w:tc>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Rewrites the affected copy so it says the true thing in the brand's voice.</w:t>
            </w:r>
          </w:p>
        </w:tc>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Generation. Software can template; it cannot write.</w:t>
            </w:r>
          </w:p>
        </w:tc>
        <w:tc>
          <w:tcPr>
            <w:tcW w:type="dxa" w:w="31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Rewrites only run over copy the lineage already proved was derived from the changed attribute, and the result is validated against channel rules before publication.</w:t>
            </w:r>
          </w:p>
        </w:tc>
      </w:tr>
    </w:tbl>
    <w:p>
      <w:pPr>
        <w:pStyle w:val="Heading2"/>
        <w:spacing w:after="130" w:before="280"/>
      </w:pPr>
      <w:r>
        <w:rPr>
          <w:rFonts w:ascii="Calibri" w:cs="Calibri" w:eastAsia="Calibri" w:hAnsi="Calibri"/>
          <w:b/>
          <w:bCs/>
          <w:color w:val="0B5D8A"/>
          <w:sz w:val="24"/>
          <w:szCs w:val="24"/>
        </w:rPr>
        <w:t xml:space="preserve">The six fences, and the failure each one prevents</w:t>
      </w:r>
    </w:p>
    <w:tbl>
      <w:tblPr>
        <w:tblW w:type="dxa" w:w="9026"/>
        <w:tblBorders>
          <w:top w:val="single" w:color="1B2A4A" w:sz="4"/>
          <w:left w:val="none"/>
          <w:bottom w:val="single" w:color="1B2A4A" w:sz="4"/>
          <w:right w:val="none"/>
          <w:insideH w:val="single" w:color="C9D2DC" w:sz="2"/>
          <w:insideV w:val="single" w:color="C9D2DC" w:sz="2"/>
        </w:tblBorders>
      </w:tblPr>
      <w:tblGrid>
        <w:gridCol w:w="2900"/>
        <w:gridCol w:w="6126"/>
      </w:tblGrid>
      <w:tr>
        <w:trPr>
          <w:tblHeader/>
        </w:trPr>
        <w:tc>
          <w:tcPr>
            <w:tcW w:type="dxa" w:w="29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Fence</w:t>
            </w:r>
          </w:p>
        </w:tc>
        <w:tc>
          <w:tcPr>
            <w:tcW w:type="dxa" w:w="61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it stops</w:t>
            </w:r>
          </w:p>
        </w:tc>
      </w:tr>
      <w:tr>
        <w:tc>
          <w:tcPr>
            <w:tcW w:type="dxa" w:w="29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Cite or be dropped</w:t>
            </w:r>
          </w:p>
        </w:tc>
        <w:tc>
          <w:tcPr>
            <w:tcW w:type="dxa" w:w="61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model producing a fluent, plausible finding with nothing behind it. If the citation is not retrievable, the candidate is discarded and the deterministic answer is used instead.</w:t>
            </w:r>
          </w:p>
        </w:tc>
      </w:tr>
      <w:tr>
        <w:tc>
          <w:tcPr>
            <w:tcW w:type="dxa" w:w="29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A closed evidence desk, not open tool use</w:t>
            </w:r>
          </w:p>
        </w:tc>
        <w:tc>
          <w:tcPr>
            <w:tcW w:type="dxa" w:w="61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one step where a model picks an action gets an allowlist of seven read-only lookups and a round cap. Two questions are answered from the catalogue before the model is asked anything — because left to its own judgement it reliably prefers a retrieved postmortem that was true last year.</w:t>
            </w:r>
          </w:p>
        </w:tc>
      </w:tr>
      <w:tr>
        <w:tc>
          <w:tcPr>
            <w:tcW w:type="dxa" w:w="29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Safety-class gaps are never AI-fillable</w:t>
            </w:r>
          </w:p>
        </w:tc>
        <w:tc>
          <w:tcPr>
            <w:tcW w:type="dxa" w:w="61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plausible allergen list is not an allergen list, and it gets printed on a label and read by somebody who needs it to be right. These gaps are counted and named, so the exclusion is visible rather than silent.</w:t>
            </w:r>
          </w:p>
        </w:tc>
      </w:tr>
      <w:tr>
        <w:tc>
          <w:tcPr>
            <w:tcW w:type="dxa" w:w="29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Deterministic routing; the model only phrases</w:t>
            </w:r>
          </w:p>
        </w:tc>
        <w:tc>
          <w:tcPr>
            <w:tcW w:type="dxa" w:w="61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In the Ask panel, a closed keyword table picks what to look up. A model choosing what to look up is a model that can choose to look up nothing and answer anyway. The phrasing model has no retrieval tool at all.</w:t>
            </w:r>
          </w:p>
        </w:tc>
      </w:tr>
      <w:tr>
        <w:tc>
          <w:tcPr>
            <w:tcW w:type="dxa" w:w="29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No model is named anywhere in code</w:t>
            </w:r>
          </w:p>
        </w:tc>
        <w:tc>
          <w:tcPr>
            <w:tcW w:type="dxa" w:w="61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pipeline asks for a tier — fast or reasoning — and one gateway resolves it against what the deployment actually serves, checked at startup. Vendor lock-in, and a stale alias failing as a 404 from inside a run.</w:t>
            </w:r>
          </w:p>
        </w:tc>
      </w:tr>
      <w:tr>
        <w:tc>
          <w:tcPr>
            <w:tcW w:type="dxa" w:w="29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A deterministic fallback behind every model step</w:t>
            </w:r>
          </w:p>
        </w:tc>
        <w:tc>
          <w:tcPr>
            <w:tcW w:type="dxa" w:w="61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gateway outage becoming an outage. Extraction falls back to structured hints, triage to measured severity, scope resolution to the widest reading flagged low-confidence, copy to a template. A circuit breaker opens after two failures so the fallbacks run at full speed.</w:t>
            </w:r>
          </w:p>
        </w:tc>
      </w:tr>
    </w:tbl>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THE SINGLE SHARPEST DETAIL IN THE AI DESIGN</w:t>
            </w:r>
          </w:p>
          <w:p>
            <w:pPr>
              <w:spacing w:after="0" w:line="276"/>
            </w:pPr>
            <w:r>
              <w:rPr>
                <w:rFonts w:ascii="Calibri" w:cs="Calibri" w:eastAsia="Calibri" w:hAnsi="Calibri"/>
                <w:color w:val="1A1A1A"/>
                <w:sz w:val="21"/>
                <w:szCs w:val="21"/>
              </w:rPr>
              <w:t xml:space="preserve">The scope fallback is deliberately the widest reading, not the narrowest. With no model available, the safe assumption is that a correction affects more than you can prove — not less. That one line tells a reviewer everything about how the failure modes were reasoned about.</w:t>
            </w:r>
          </w:p>
        </w:tc>
      </w:tr>
    </w:tbl>
    <w:p>
      <w:pPr>
        <w:pStyle w:val="Heading2"/>
        <w:spacing w:after="130" w:before="280"/>
      </w:pPr>
      <w:r>
        <w:rPr>
          <w:rFonts w:ascii="Calibri" w:cs="Calibri" w:eastAsia="Calibri" w:hAnsi="Calibri"/>
          <w:b/>
          <w:bCs/>
          <w:color w:val="0B5D8A"/>
          <w:sz w:val="24"/>
          <w:szCs w:val="24"/>
        </w:rPr>
        <w:t xml:space="preserve">Did we measure whether the model is right?</w:t>
      </w:r>
    </w:p>
    <w:p>
      <w:pPr>
        <w:spacing w:after="120" w:line="276"/>
      </w:pPr>
      <w:r>
        <w:rPr>
          <w:rFonts w:ascii="Calibri" w:cs="Calibri" w:eastAsia="Calibri" w:hAnsi="Calibri"/>
          <w:color w:val="1A1A1A"/>
          <w:sz w:val="21"/>
          <w:szCs w:val="21"/>
        </w:rPr>
        <w:t xml:space="preserve">Yes, and be ready for this question because it separates a demo from a product. Every test asserts that the pipeline runs, deliberately with the gateway closed. That leaves a gap: nothing said whether a model reading a supplier document gets the answer right.</w:t>
      </w:r>
    </w:p>
    <w:p>
      <w:pPr>
        <w:spacing w:after="120" w:line="276"/>
      </w:pPr>
      <w:r>
        <w:rPr>
          <w:rFonts w:ascii="Calibri" w:cs="Calibri" w:eastAsia="Calibri" w:hAnsi="Calibri"/>
          <w:color w:val="1A1A1A"/>
          <w:sz w:val="21"/>
          <w:szCs w:val="21"/>
        </w:rPr>
        <w:t xml:space="preserve">So there is an evaluation harness graded against a golden answer key, generated reproducibly with the seed pack. It matters here more than elsewhere because the system gates on a stated confidence: an inferred value on a safety-class attribute below 0.9 withholds every listing of that product. A model that says 0.8 and is right 40% of the time is a different system from one that says 0.8 and is right 80% of the time — and until you measure it, you do not know which one you shipped.</w:t>
      </w:r>
    </w:p>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8. Value beyond what the ask required</w:t>
      </w:r>
    </w:p>
    <w:p>
      <w:pPr>
        <w:spacing w:after="120" w:line="276"/>
      </w:pPr>
      <w:r>
        <w:rPr>
          <w:rFonts w:ascii="Calibri" w:cs="Calibri" w:eastAsia="Calibri" w:hAnsi="Calibri"/>
          <w:color w:val="1A1A1A"/>
          <w:sz w:val="21"/>
          <w:szCs w:val="21"/>
        </w:rPr>
        <w:t xml:space="preserve">The BRD asks for a correction engine. Eight things in this build go past that. Present them as answers to questions the business would ask next — not as extra features.</w:t>
      </w:r>
    </w:p>
    <w:p>
      <w:pPr>
        <w:pStyle w:val="Heading3"/>
        <w:spacing w:after="100" w:before="200"/>
      </w:pPr>
      <w:r>
        <w:rPr>
          <w:rFonts w:ascii="Calibri" w:cs="Calibri" w:eastAsia="Calibri" w:hAnsi="Calibri"/>
          <w:b/>
          <w:bCs/>
          <w:color w:val="1B2A4A"/>
          <w:sz w:val="21"/>
          <w:szCs w:val="21"/>
        </w:rPr>
        <w:t xml:space="preserve">1. The question that comes first</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“A supplier has forty new lines — how many are fit to sell?”</w:t>
      </w:r>
    </w:p>
    <w:p>
      <w:pPr>
        <w:spacing w:after="160" w:line="276"/>
      </w:pPr>
      <w:r>
        <w:rPr>
          <w:rFonts w:ascii="Calibri" w:cs="Calibri" w:eastAsia="Calibri" w:hAnsi="Calibri"/>
          <w:color w:val="1A1A1A"/>
          <w:sz w:val="21"/>
          <w:szCs w:val="21"/>
        </w:rPr>
        <w:t xml:space="preserve">The BRD's premise is a product already live. Before that, somebody has to onboard it. So there is a supplier data pack — generated from the same rules the system applies, in five formats — a bulk upload that takes one archive of forty rows and an images folder, and a report saying how many went through clean, how many went back to the source, how many are blocked, and, counted apart from all three, how many were proposed lines nobody has decided on yet.</w:t>
      </w:r>
    </w:p>
    <w:p>
      <w:pPr>
        <w:pStyle w:val="Heading3"/>
        <w:spacing w:after="100" w:before="200"/>
      </w:pPr>
      <w:r>
        <w:rPr>
          <w:rFonts w:ascii="Calibri" w:cs="Calibri" w:eastAsia="Calibri" w:hAnsi="Calibri"/>
          <w:b/>
          <w:bCs/>
          <w:color w:val="1B2A4A"/>
          <w:sz w:val="21"/>
          <w:szCs w:val="21"/>
        </w:rPr>
        <w:t xml:space="preserve">2. Refusal at the right scale</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“What happens when a supplier's file is a bit wrong?”</w:t>
      </w:r>
    </w:p>
    <w:p>
      <w:pPr>
        <w:spacing w:after="160" w:line="276"/>
      </w:pPr>
      <w:r>
        <w:rPr>
          <w:rFonts w:ascii="Calibri" w:cs="Calibri" w:eastAsia="Calibri" w:hAnsi="Calibri"/>
          <w:color w:val="1A1A1A"/>
          <w:sz w:val="21"/>
          <w:szCs w:val="21"/>
        </w:rPr>
        <w:t xml:space="preserve">Three deliberately different scales. A malformed archive refuses the whole bundle. An unrecognised column is reported and the bundle continues. A bad cell loses the cell and not the row — because twelve good values discarded to punish one typo is how a portal stops being used.</w:t>
      </w:r>
    </w:p>
    <w:p>
      <w:pPr>
        <w:pStyle w:val="Heading3"/>
        <w:spacing w:after="100" w:before="200"/>
      </w:pPr>
      <w:r>
        <w:rPr>
          <w:rFonts w:ascii="Calibri" w:cs="Calibri" w:eastAsia="Calibri" w:hAnsi="Calibri"/>
          <w:b/>
          <w:bCs/>
          <w:color w:val="1B2A4A"/>
          <w:sz w:val="21"/>
          <w:szCs w:val="21"/>
        </w:rPr>
        <w:t xml:space="preserve">3. Two counts, not one, for “AI can fix it”</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“How much can be automated?”</w:t>
      </w:r>
    </w:p>
    <w:p>
      <w:pPr>
        <w:spacing w:after="160" w:line="276"/>
      </w:pPr>
      <w:r>
        <w:rPr>
          <w:rFonts w:ascii="Calibri" w:cs="Calibri" w:eastAsia="Calibri" w:hAnsi="Calibri"/>
          <w:color w:val="1A1A1A"/>
          <w:sz w:val="21"/>
          <w:szCs w:val="21"/>
        </w:rPr>
        <w:t xml:space="preserve">“A source passage exists for this gap” is deterministic and provable. “That passage actually states the value” is a reading question. The screen counts them separately and says “could be” until the sources have been read. The difference between the two numbers is the interesting figure, and most systems quietly report only the optimistic one.</w:t>
      </w:r>
    </w:p>
    <w:p>
      <w:pPr>
        <w:pStyle w:val="Heading3"/>
        <w:spacing w:after="100" w:before="200"/>
      </w:pPr>
      <w:r>
        <w:rPr>
          <w:rFonts w:ascii="Calibri" w:cs="Calibri" w:eastAsia="Calibri" w:hAnsi="Calibri"/>
          <w:b/>
          <w:bCs/>
          <w:color w:val="1B2A4A"/>
          <w:sz w:val="21"/>
          <w:szCs w:val="21"/>
        </w:rPr>
        <w:t xml:space="preserve">4. Redaction separated from republication</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“What happens between knowing it is wrong and having a fix?”</w:t>
      </w:r>
    </w:p>
    <w:p>
      <w:pPr>
        <w:spacing w:after="160" w:line="276"/>
      </w:pPr>
      <w:r>
        <w:rPr>
          <w:rFonts w:ascii="Calibri" w:cs="Calibri" w:eastAsia="Calibri" w:hAnsi="Calibri"/>
          <w:color w:val="1A1A1A"/>
          <w:sz w:val="21"/>
          <w:szCs w:val="21"/>
        </w:rPr>
        <w:t xml:space="preserve">A late correction lands against copy that is already live. In the gap between the two, the wrong value is still on sale. So hiding is authorised by the approval that already agreed the value was wrong and happens at once; republishing needs its own release decision. Copy is redacted with the value it quotes — a bullet reading “may contain milk” above a row saying the allergen statement is being checked would make the page worse than before it was corrected.</w:t>
      </w:r>
    </w:p>
    <w:p>
      <w:pPr>
        <w:pStyle w:val="Heading3"/>
        <w:spacing w:after="100" w:before="200"/>
      </w:pPr>
      <w:r>
        <w:rPr>
          <w:rFonts w:ascii="Calibri" w:cs="Calibri" w:eastAsia="Calibri" w:hAnsi="Calibri"/>
          <w:b/>
          <w:bCs/>
          <w:color w:val="1B2A4A"/>
          <w:sz w:val="21"/>
          <w:szCs w:val="21"/>
        </w:rPr>
        <w:t xml:space="preserve">5. A second reading of the same catalogue</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“What is this product connected to?”</w:t>
      </w:r>
    </w:p>
    <w:p>
      <w:pPr>
        <w:spacing w:after="160" w:line="276"/>
      </w:pPr>
      <w:r>
        <w:rPr>
          <w:rFonts w:ascii="Calibri" w:cs="Calibri" w:eastAsia="Calibri" w:hAnsi="Calibri"/>
          <w:color w:val="1A1A1A"/>
          <w:sz w:val="21"/>
          <w:szCs w:val="21"/>
        </w:rPr>
        <w:t xml:space="preserve">A knowledge graph over seven domains, where the interesting queries cross two of them at a shared node: stock held in a depot that cannot lawfully ship to a market that depot serves; best sellers with no primary image; everything sharing a certificate that lapses in ninety days. None of those is answerable from any single screen, which is the argument for building it.</w:t>
      </w:r>
    </w:p>
    <w:p>
      <w:pPr>
        <w:pStyle w:val="Heading3"/>
        <w:spacing w:after="100" w:before="200"/>
      </w:pPr>
      <w:r>
        <w:rPr>
          <w:rFonts w:ascii="Calibri" w:cs="Calibri" w:eastAsia="Calibri" w:hAnsi="Calibri"/>
          <w:b/>
          <w:bCs/>
          <w:color w:val="1B2A4A"/>
          <w:sz w:val="21"/>
          <w:szCs w:val="21"/>
        </w:rPr>
        <w:t xml:space="preserve">6. Synthetic data marked as synthetic</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“Is that revenue figure real?”</w:t>
      </w:r>
    </w:p>
    <w:p>
      <w:pPr>
        <w:spacing w:after="160" w:line="276"/>
      </w:pPr>
      <w:r>
        <w:rPr>
          <w:rFonts w:ascii="Calibri" w:cs="Calibri" w:eastAsia="Calibri" w:hAnsi="Calibri"/>
          <w:color w:val="1A1A1A"/>
          <w:sz w:val="21"/>
          <w:szCs w:val="21"/>
        </w:rPr>
        <w:t xml:space="preserve">Two of the seven graph domains are the retailer's own data and four are not. Every node the simulated back-office systems produce is stamped synthetic, drawn with a dashed stroke, and named in the legend. An invented revenue figure rendered beside a genuine regulatory finding, with nothing to tell them apart, is a claim this system has not earned.</w:t>
      </w:r>
    </w:p>
    <w:p>
      <w:pPr>
        <w:pStyle w:val="Heading3"/>
        <w:spacing w:after="100" w:before="200"/>
      </w:pPr>
      <w:r>
        <w:rPr>
          <w:rFonts w:ascii="Calibri" w:cs="Calibri" w:eastAsia="Calibri" w:hAnsi="Calibri"/>
          <w:b/>
          <w:bCs/>
          <w:color w:val="1B2A4A"/>
          <w:sz w:val="21"/>
          <w:szCs w:val="21"/>
        </w:rPr>
        <w:t xml:space="preserve">7. Built to be talked to by other systems</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“How does this fit our estate?”</w:t>
      </w:r>
    </w:p>
    <w:p>
      <w:pPr>
        <w:spacing w:after="160" w:line="276"/>
      </w:pPr>
      <w:r>
        <w:rPr>
          <w:rFonts w:ascii="Calibri" w:cs="Calibri" w:eastAsia="Calibri" w:hAnsi="Calibri"/>
          <w:color w:val="1A1A1A"/>
          <w:sz w:val="21"/>
          <w:szCs w:val="21"/>
        </w:rPr>
        <w:t xml:space="preserve">Toolsets partitioned by the system that would own them, so an operator can hand out the read-only servers and withhold the one that can change a live listing. Peer agents with published cards another organisation could discover. And one directory listing them, built from the same cards it lists — keeping capabilities this system implements apart from ones it merely knows how to reach, and stating what each may not do.</w:t>
      </w:r>
    </w:p>
    <w:p>
      <w:pPr>
        <w:pStyle w:val="Heading3"/>
        <w:spacing w:after="100" w:before="200"/>
      </w:pPr>
      <w:r>
        <w:rPr>
          <w:rFonts w:ascii="Calibri" w:cs="Calibri" w:eastAsia="Calibri" w:hAnsi="Calibri"/>
          <w:b/>
          <w:bCs/>
          <w:color w:val="1B2A4A"/>
          <w:sz w:val="21"/>
          <w:szCs w:val="21"/>
        </w:rPr>
        <w:t xml:space="preserve">8. We audited ourselves and published the result</w:t>
      </w:r>
    </w:p>
    <w:p>
      <w:pPr>
        <w:spacing w:after="60" w:line="276"/>
      </w:pPr>
      <w:r>
        <w:rPr>
          <w:rFonts w:ascii="Calibri" w:cs="Calibri" w:eastAsia="Calibri" w:hAnsi="Calibri"/>
          <w:b/>
          <w:bCs/>
          <w:color w:val="0B5D8A"/>
          <w:sz w:val="21"/>
          <w:szCs w:val="21"/>
        </w:rPr>
        <w:t xml:space="preserve">The question it answers: </w:t>
      </w:r>
      <w:r>
        <w:rPr>
          <w:rFonts w:ascii="Calibri" w:cs="Calibri" w:eastAsia="Calibri" w:hAnsi="Calibri"/>
          <w:i/>
          <w:iCs/>
          <w:color w:val="1A1A1A"/>
          <w:sz w:val="21"/>
          <w:szCs w:val="21"/>
        </w:rPr>
        <w:t xml:space="preserve">“How do you know it works?”</w:t>
      </w:r>
    </w:p>
    <w:p>
      <w:pPr>
        <w:spacing w:after="160" w:line="276"/>
      </w:pPr>
      <w:r>
        <w:rPr>
          <w:rFonts w:ascii="Calibri" w:cs="Calibri" w:eastAsia="Calibri" w:hAnsi="Calibri"/>
          <w:color w:val="1A1A1A"/>
          <w:sz w:val="21"/>
          <w:szCs w:val="21"/>
        </w:rPr>
        <w:t xml:space="preserve">A read-only sweep of four applications, eleven screens and all 88 API endpoints. One Critical, seven High, eleven Medium, fourteen Low, nine capability gaps — and nine of our own findings retracted because they did not survive verification. The Critical was a human-in-the-loop gate a second human could not see. It was fixed in the next version.</w:t>
      </w:r>
    </w:p>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9. The numbers to have ready</w:t>
      </w:r>
    </w:p>
    <w:p>
      <w:pPr>
        <w:spacing w:after="120" w:line="276"/>
      </w:pPr>
      <w:r>
        <w:rPr>
          <w:rFonts w:ascii="Calibri" w:cs="Calibri" w:eastAsia="Calibri" w:hAnsi="Calibri"/>
          <w:color w:val="1A1A1A"/>
          <w:sz w:val="21"/>
          <w:szCs w:val="21"/>
        </w:rPr>
        <w:t xml:space="preserve">Every figure here is checkable in the repository. Do not round them upward, and do not quote one you have not seen.</w:t>
      </w:r>
    </w:p>
    <w:p>
      <w:pPr>
        <w:pStyle w:val="Heading2"/>
        <w:spacing w:after="130" w:before="280"/>
      </w:pPr>
      <w:r>
        <w:rPr>
          <w:rFonts w:ascii="Calibri" w:cs="Calibri" w:eastAsia="Calibri" w:hAnsi="Calibri"/>
          <w:b/>
          <w:bCs/>
          <w:color w:val="0B5D8A"/>
          <w:sz w:val="24"/>
          <w:szCs w:val="24"/>
        </w:rPr>
        <w:t xml:space="preserve">The world the system runs on</w:t>
      </w:r>
    </w:p>
    <w:tbl>
      <w:tblPr>
        <w:tblW w:type="dxa" w:w="9026"/>
        <w:tblBorders>
          <w:top w:val="single" w:color="1B2A4A" w:sz="4"/>
          <w:left w:val="none"/>
          <w:bottom w:val="single" w:color="1B2A4A" w:sz="4"/>
          <w:right w:val="none"/>
          <w:insideH w:val="single" w:color="C9D2DC" w:sz="2"/>
          <w:insideV w:val="single" w:color="C9D2DC" w:sz="2"/>
        </w:tblBorders>
      </w:tblPr>
      <w:tblGrid>
        <w:gridCol w:w="2700"/>
        <w:gridCol w:w="6326"/>
      </w:tblGrid>
      <w:tr>
        <w:trPr>
          <w:tblHeader/>
        </w:trPr>
        <w:tc>
          <w:tcPr>
            <w:tcW w:type="dxa" w:w="27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Figure</w:t>
            </w:r>
          </w:p>
        </w:tc>
        <w:tc>
          <w:tcPr>
            <w:tcW w:type="dxa" w:w="63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it is</w:t>
            </w:r>
          </w:p>
        </w:tc>
      </w:tr>
      <w:tr>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150 products, 281 variants</w:t>
            </w:r>
          </w:p>
        </w:tc>
        <w:tc>
          <w:tcPr>
            <w:tcW w:type="dxa" w:w="6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catalogue. Six are hand-authored for the story; the other 144 are generated background, so every population question has a real population to answer from.</w:t>
            </w:r>
          </w:p>
        </w:tc>
      </w:tr>
      <w:tr>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8 branches</w:t>
            </w:r>
          </w:p>
        </w:tc>
        <w:tc>
          <w:tcPr>
            <w:tcW w:type="dxa" w:w="6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Grocery, Home &amp; Kitchen, Clothing &amp; Footwear, Electricals, Household &amp; Personal Care, Baby &amp; Child, Health &amp; Pharmacy, General Merchandise. None of it hardcoded — it lives in a retailer profile.</w:t>
            </w:r>
          </w:p>
        </w:tc>
      </w:tr>
      <w:tr>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730 listings, 705 media assets, 6 channels</w:t>
            </w:r>
          </w:p>
        </w:tc>
        <w:tc>
          <w:tcPr>
            <w:tcW w:type="dxa" w:w="6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Own website, two marketplaces with incompatible schemas, the printed catalogue, shelf-edge labels, and search facets.</w:t>
            </w:r>
          </w:p>
        </w:tc>
      </w:tr>
      <w:tr>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5,211 events over 62 simulated days</w:t>
            </w:r>
          </w:p>
        </w:tc>
        <w:tc>
          <w:tcPr>
            <w:tcW w:type="dxa" w:w="6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1 July to 31 August 2026, carrying thirteen arcs. Six are the story; seven more happen to the rest of the catalogue.</w:t>
            </w:r>
          </w:p>
        </w:tc>
      </w:tr>
      <w:tr>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11 external systems</w:t>
            </w:r>
          </w:p>
        </w:tc>
        <w:tc>
          <w:tcPr>
            <w:tcW w:type="dxa" w:w="6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Each its own server, dialled at startup by a real protocol handshake.</w:t>
            </w:r>
          </w:p>
        </w:tc>
      </w:tr>
      <w:tr>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26 attributes, 18 channel rules, 29 corpus documents</w:t>
            </w:r>
          </w:p>
        </w:tc>
        <w:tc>
          <w:tcPr>
            <w:tcW w:type="dxa" w:w="6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attribute registry, the rules table the validator reads, and the written standards a citation can point at.</w:t>
            </w:r>
          </w:p>
        </w:tc>
      </w:tr>
    </w:tbl>
    <w:p>
      <w:pPr>
        <w:pStyle w:val="Heading2"/>
        <w:spacing w:after="130" w:before="280"/>
      </w:pPr>
      <w:r>
        <w:rPr>
          <w:rFonts w:ascii="Calibri" w:cs="Calibri" w:eastAsia="Calibri" w:hAnsi="Calibri"/>
          <w:b/>
          <w:bCs/>
          <w:color w:val="0B5D8A"/>
          <w:sz w:val="24"/>
          <w:szCs w:val="24"/>
        </w:rPr>
        <w:t xml:space="preserve">The build</w:t>
      </w:r>
    </w:p>
    <w:tbl>
      <w:tblPr>
        <w:tblW w:type="dxa" w:w="9026"/>
        <w:tblBorders>
          <w:top w:val="single" w:color="1B2A4A" w:sz="4"/>
          <w:left w:val="none"/>
          <w:bottom w:val="single" w:color="1B2A4A" w:sz="4"/>
          <w:right w:val="none"/>
          <w:insideH w:val="single" w:color="C9D2DC" w:sz="2"/>
          <w:insideV w:val="single" w:color="C9D2DC" w:sz="2"/>
        </w:tblBorders>
      </w:tblPr>
      <w:tblGrid>
        <w:gridCol w:w="2700"/>
        <w:gridCol w:w="6326"/>
      </w:tblGrid>
      <w:tr>
        <w:trPr>
          <w:tblHeader/>
        </w:trPr>
        <w:tc>
          <w:tcPr>
            <w:tcW w:type="dxa" w:w="27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Figure</w:t>
            </w:r>
          </w:p>
        </w:tc>
        <w:tc>
          <w:tcPr>
            <w:tcW w:type="dxa" w:w="63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it is</w:t>
            </w:r>
          </w:p>
        </w:tc>
      </w:tr>
      <w:tr>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12 capability specifications</w:t>
            </w:r>
          </w:p>
        </w:tc>
        <w:tc>
          <w:tcPr>
            <w:tcW w:type="dxa" w:w="6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115 requirements and 276 acceptance scenarios, spec-driven rather than written after the fact.</w:t>
            </w:r>
          </w:p>
        </w:tc>
      </w:tr>
      <w:tr>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789 tests, ~8.5 minutes</w:t>
            </w:r>
          </w:p>
        </w:tc>
        <w:tc>
          <w:tcPr>
            <w:tcW w:type="dxa" w:w="6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No network needed. No LLM mocking anywhere — the gateway is pinned to a closed port so continuous integration exercises the deterministic fallbacks.</w:t>
            </w:r>
          </w:p>
        </w:tc>
      </w:tr>
      <w:tr>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88 API endpoints</w:t>
            </w:r>
          </w:p>
        </w:tc>
        <w:tc>
          <w:tcPr>
            <w:tcW w:type="dxa" w:w="6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Enumerated from the OpenAPI document and all exercised in the end-to-end sweep.</w:t>
            </w:r>
          </w:p>
        </w:tc>
      </w:tr>
      <w:tr>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6 owned MCP toolsets, 4 peer agents</w:t>
            </w:r>
          </w:p>
        </w:tc>
        <w:tc>
          <w:tcPr>
            <w:tcW w:type="dxa" w:w="6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One toolset can publish; the other five cannot. The approval gate is deliberately not a peer — a human decision is not a capability to delegate.</w:t>
            </w:r>
          </w:p>
        </w:tc>
      </w:tr>
      <w:tr>
        <w:tc>
          <w:tcPr>
            <w:tcW w:type="dxa" w:w="2700"/>
            <w:shd w:fill="FFFFFF"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5 applications, 5 ports</w:t>
            </w:r>
          </w:p>
        </w:tc>
        <w:tc>
          <w:tcPr>
            <w:tcW w:type="dxa" w:w="6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platform plus vendor portal, storefront, ops console and back office. None of the four imports the platform's package, and a test proves it.</w:t>
            </w:r>
          </w:p>
        </w:tc>
      </w:tr>
      <w:tr>
        <w:tc>
          <w:tcPr>
            <w:tcW w:type="dxa" w:w="2700"/>
            <w:shd w:fill="F7F9FC" w:color="auto" w:val="clear"/>
            <w:tcMar>
              <w:top w:type="dxa" w:w="90"/>
              <w:left w:type="dxa" w:w="130"/>
              <w:bottom w:type="dxa" w:w="90"/>
              <w:right w:type="dxa" w:w="130"/>
            </w:tcMar>
          </w:tcPr>
          <w:p>
            <w:pPr>
              <w:spacing w:after="0" w:line="250"/>
            </w:pPr>
            <w:r>
              <w:rPr>
                <w:rFonts w:ascii="Calibri" w:cs="Calibri" w:eastAsia="Calibri" w:hAnsi="Calibri"/>
                <w:b/>
                <w:bCs/>
                <w:color w:val="1A1A1A"/>
                <w:sz w:val="18"/>
                <w:szCs w:val="18"/>
              </w:rPr>
              <w:t xml:space="preserve">~36k Python · ~24k TypeScript · ~13k test lines</w:t>
            </w:r>
          </w:p>
        </w:tc>
        <w:tc>
          <w:tcPr>
            <w:tcW w:type="dxa" w:w="6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Quote this last, if at all. The specifications are the better answer to “how much work was this”.</w:t>
            </w:r>
          </w:p>
        </w:tc>
      </w:tr>
    </w:tbl>
    <w:p>
      <w:pPr>
        <w:pStyle w:val="Heading2"/>
        <w:spacing w:after="130" w:before="280"/>
      </w:pPr>
      <w:r>
        <w:rPr>
          <w:rFonts w:ascii="Calibri" w:cs="Calibri" w:eastAsia="Calibri" w:hAnsi="Calibri"/>
          <w:b/>
          <w:bCs/>
          <w:color w:val="0B5D8A"/>
          <w:sz w:val="24"/>
          <w:szCs w:val="24"/>
        </w:rPr>
        <w:t xml:space="preserve">The demo's headline figures</w:t>
      </w:r>
    </w:p>
    <w:tbl>
      <w:tblPr>
        <w:tblW w:type="dxa" w:w="9026"/>
        <w:tblBorders>
          <w:top w:val="single" w:color="1B2A4A" w:sz="4"/>
          <w:left w:val="none"/>
          <w:bottom w:val="single" w:color="1B2A4A" w:sz="4"/>
          <w:right w:val="none"/>
          <w:insideH w:val="single" w:color="C9D2DC" w:sz="2"/>
          <w:insideV w:val="single" w:color="C9D2DC" w:sz="2"/>
        </w:tblBorders>
      </w:tblPr>
      <w:tblGrid>
        <w:gridCol w:w="3000"/>
        <w:gridCol w:w="6026"/>
      </w:tblGrid>
      <w:tr>
        <w:trPr>
          <w:tblHeader/>
        </w:trPr>
        <w:tc>
          <w:tcPr>
            <w:tcW w:type="dxa" w:w="30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Figure</w:t>
            </w:r>
          </w:p>
        </w:tc>
        <w:tc>
          <w:tcPr>
            <w:tcW w:type="dxa" w:w="60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Where it comes from</w:t>
            </w:r>
          </w:p>
        </w:tc>
      </w:tr>
      <w:tr>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1 field → 15 assets → 5 listings → 4 channels</w:t>
            </w:r>
          </w:p>
        </w:tc>
        <w:tc>
          <w:tcPr>
            <w:tcW w:type="dxa" w:w="60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blast radius of the Day 33 inject. The number that makes the case.</w:t>
            </w:r>
          </w:p>
        </w:tc>
      </w:tr>
      <w:tr>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45W → 65W → 45W</w:t>
            </w:r>
          </w:p>
        </w:tc>
        <w:tc>
          <w:tcPr>
            <w:tcW w:type="dxa" w:w="60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Three revisions across four days. The third narrows the second, on the same thread, without losing the first.</w:t>
            </w:r>
          </w:p>
        </w:tc>
      </w:tr>
      <w:tr>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214,000 catalogues</w:t>
            </w:r>
          </w:p>
        </w:tc>
        <w:tc>
          <w:tcPr>
            <w:tcW w:type="dxa" w:w="60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Cannot be recalled. So the print channel is owed an erratum rather than told it was redacted.</w:t>
            </w:r>
          </w:p>
        </w:tc>
      </w:tr>
      <w:tr>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5 channels, 5 different right answers</w:t>
            </w:r>
          </w:p>
        </w:tc>
        <w:tc>
          <w:tcPr>
            <w:tcW w:type="dxa" w:w="60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Withheld, withdrawn, facet dropped, reprint queued, erratum owed. One correction.</w:t>
            </w:r>
          </w:p>
        </w:tc>
      </w:tr>
      <w:tr>
        <w:tc>
          <w:tcPr>
            <w:tcW w:type="dxa" w:w="3000"/>
            <w:shd w:fill="FFFFFF"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~21 seconds</w:t>
            </w:r>
          </w:p>
        </w:tc>
        <w:tc>
          <w:tcPr>
            <w:tcW w:type="dxa" w:w="60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correction run against a live gateway, down from three to four minutes — by making the per-field rewrites and per-document readings concurrent while keeping the extraction writes strictly sequential.</w:t>
            </w:r>
          </w:p>
        </w:tc>
      </w:tr>
      <w:tr>
        <w:tc>
          <w:tcPr>
            <w:tcW w:type="dxa" w:w="3000"/>
            <w:shd w:fill="F7F9FC" w:color="auto" w:val="clear"/>
            <w:tcMar>
              <w:top w:type="dxa" w:w="90"/>
              <w:left w:type="dxa" w:w="130"/>
              <w:bottom w:type="dxa" w:w="90"/>
              <w:right w:type="dxa" w:w="130"/>
            </w:tcMar>
          </w:tcPr>
          <w:p>
            <w:pPr>
              <w:spacing w:after="0" w:line="250"/>
            </w:pPr>
            <w:r>
              <w:rPr>
                <w:rFonts w:ascii="Calibri" w:cs="Calibri" w:eastAsia="Calibri" w:hAnsi="Calibri"/>
                <w:b/>
                <w:bCs/>
                <w:color w:val="0B5D8A"/>
                <w:sz w:val="18"/>
                <w:szCs w:val="18"/>
              </w:rPr>
              <w:t xml:space="preserve">0.9</w:t>
            </w:r>
          </w:p>
        </w:tc>
        <w:tc>
          <w:tcPr>
            <w:tcW w:type="dxa" w:w="60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confidence below which an inferred safety-class value withholds every listing of the product.</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10. Hard questions, and how to answer them</w:t>
      </w:r>
    </w:p>
    <w:p>
      <w:pPr>
        <w:spacing w:after="120" w:line="276"/>
      </w:pPr>
      <w:r>
        <w:rPr>
          <w:rFonts w:ascii="Calibri" w:cs="Calibri" w:eastAsia="Calibri" w:hAnsi="Calibri"/>
          <w:color w:val="1A1A1A"/>
          <w:sz w:val="21"/>
          <w:szCs w:val="21"/>
        </w:rPr>
        <w:t xml:space="preserve">Each answer has three parts: the short answer, the reason, and somewhere to click. Never give the first two without the third.</w:t>
      </w:r>
    </w:p>
    <w:p>
      <w:pPr>
        <w:pStyle w:val="Heading3"/>
        <w:spacing w:after="100" w:before="200"/>
      </w:pPr>
      <w:r>
        <w:rPr>
          <w:rFonts w:ascii="Calibri" w:cs="Calibri" w:eastAsia="Calibri" w:hAnsi="Calibri"/>
          <w:b/>
          <w:bCs/>
          <w:color w:val="1B2A4A"/>
          <w:sz w:val="21"/>
          <w:szCs w:val="21"/>
        </w:rPr>
        <w:t xml:space="preserve">“Where is the AI? This looks like a rules engine.”</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That is the design, and it is deliberate. AI is invited to exactly four places, each a job software genuinely cannot do — reading a value out of prose, arguing which variant a document meant, noticing a sentence has become untrue, and rewriting copy. Everything that decides what publishes is deterministic, because propagation, versioning, taxonomy and channel rules have correct answers and an audit trail depends on them being reproducible.</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Open Readings after a run — that is model output, ranked, with the deciding evidence beside it. Then open Blast Radius, and say: this one is a graph walk, and it would be wrong to let a model do it.</w:t>
      </w:r>
    </w:p>
    <w:p>
      <w:pPr>
        <w:pStyle w:val="Heading3"/>
        <w:spacing w:after="100" w:before="200"/>
      </w:pPr>
      <w:r>
        <w:rPr>
          <w:rFonts w:ascii="Calibri" w:cs="Calibri" w:eastAsia="Calibri" w:hAnsi="Calibri"/>
          <w:b/>
          <w:bCs/>
          <w:color w:val="1B2A4A"/>
          <w:sz w:val="21"/>
          <w:szCs w:val="21"/>
        </w:rPr>
        <w:t xml:space="preserve">“How do I know the model did not make that up?”</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It cannot reach a fact that was not gathered for it. Retrieval is done first by deterministic code; the phrasing model has no lookup tool. And in the checks that read prose, a candidate citing nothing retrievable is dropped before a verdict is reached.</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In the Ask panel, ask something the system has no evidence for. It refuses and names what could be asked instead — rendered in a visibly different treatment from prose.</w:t>
      </w:r>
    </w:p>
    <w:p>
      <w:pPr>
        <w:pStyle w:val="Heading3"/>
        <w:spacing w:after="100" w:before="200"/>
      </w:pPr>
      <w:r>
        <w:rPr>
          <w:rFonts w:ascii="Calibri" w:cs="Calibri" w:eastAsia="Calibri" w:hAnsi="Calibri"/>
          <w:b/>
          <w:bCs/>
          <w:color w:val="1B2A4A"/>
          <w:sz w:val="21"/>
          <w:szCs w:val="21"/>
        </w:rPr>
        <w:t xml:space="preserve">“What happens if the model provider goes down?”</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Everything still works. Every model step has a deterministic fallback, and a circuit breaker opens after two connection failures so the fallbacks run at full speed rather than paying a connect timeout per call. The entire six-arc demo is reachable with no model at all.</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Run with the --no-gateway flag. The pipeline still resolves a scope, measures the blast radius, writes a cited change summary and suspends at the reviewer.</w:t>
      </w:r>
    </w:p>
    <w:p>
      <w:pPr>
        <w:pStyle w:val="Heading3"/>
        <w:spacing w:after="100" w:before="200"/>
      </w:pPr>
      <w:r>
        <w:rPr>
          <w:rFonts w:ascii="Calibri" w:cs="Calibri" w:eastAsia="Calibri" w:hAnsi="Calibri"/>
          <w:b/>
          <w:bCs/>
          <w:color w:val="1B2A4A"/>
          <w:sz w:val="21"/>
          <w:szCs w:val="21"/>
        </w:rPr>
        <w:t xml:space="preserve">“Is this locked to one AI vendor?”</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No. Every model and embedding call leaves through one gateway, and nothing names a model in code — the pipeline asks for a tier and the gateway resolves it against what the deployment actually serves, checked at startup. A test greps for the return of hardcoded aliases.</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Point the configuration at a different gateway. The model picker in the interface repopulates from that gateway's own model list.</w:t>
      </w:r>
    </w:p>
    <w:p>
      <w:pPr>
        <w:pStyle w:val="Heading3"/>
        <w:spacing w:after="100" w:before="200"/>
      </w:pPr>
      <w:r>
        <w:rPr>
          <w:rFonts w:ascii="Calibri" w:cs="Calibri" w:eastAsia="Calibri" w:hAnsi="Calibri"/>
          <w:b/>
          <w:bCs/>
          <w:color w:val="1B2A4A"/>
          <w:sz w:val="21"/>
          <w:szCs w:val="21"/>
        </w:rPr>
        <w:t xml:space="preserve">“Could somebody bypass the approval gate?”</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The gate is enforced where the code commits, not where the interface renders — so it holds whichever protocol surface the request arrived through. There are four separate refusals, and republishing after a redaction needs its own release decision recorded in its own table.</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A test asserts that a release approval alone cannot publish an unapproved resolution. That separation exists because putting the release in the approvals table would have let it satisfy the first gate by itself.</w:t>
      </w:r>
    </w:p>
    <w:p>
      <w:pPr>
        <w:pStyle w:val="Heading3"/>
        <w:spacing w:after="100" w:before="200"/>
      </w:pPr>
      <w:r>
        <w:rPr>
          <w:rFonts w:ascii="Calibri" w:cs="Calibri" w:eastAsia="Calibri" w:hAnsi="Calibri"/>
          <w:b/>
          <w:bCs/>
          <w:color w:val="1B2A4A"/>
          <w:sz w:val="21"/>
          <w:szCs w:val="21"/>
        </w:rPr>
        <w:t xml:space="preserve">“Why SQLite? Would this scale?”</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SQLite is the right answer for a single-node governance layer with an audit trail you want inspectable during a demo, and the schema is ordinary relational SQL — the migration path to Postgres is a connection string and a dialect, not a redesign. The concurrency control we depend on is a partial unique index, which Postgres also has.</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Say what would actually need to change at scale: the event tape becomes a real broker, the numpy retrieval matrix becomes a vector index. Both are behind interfaces already.</w:t>
      </w:r>
    </w:p>
    <w:p>
      <w:pPr>
        <w:pStyle w:val="Heading3"/>
        <w:spacing w:after="100" w:before="200"/>
      </w:pPr>
      <w:r>
        <w:rPr>
          <w:rFonts w:ascii="Calibri" w:cs="Calibri" w:eastAsia="Calibri" w:hAnsi="Calibri"/>
          <w:b/>
          <w:bCs/>
          <w:color w:val="1B2A4A"/>
          <w:sz w:val="21"/>
          <w:szCs w:val="21"/>
        </w:rPr>
        <w:t xml:space="preserve">“You are using synthetic data. Does that not undermine it?”</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The BRD's own assumptions call for it, and there is a stronger point: we mark it. Every node produced by a simulated back-office system is stamped synthetic, drawn with a dashed stroke, and named in the legend. Systems that quietly mix invented figures with real findings are the ones to worry about.</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Open the knowledge graph and point at the dashed nodes and the legend.</w:t>
      </w:r>
    </w:p>
    <w:p>
      <w:pPr>
        <w:pStyle w:val="Heading3"/>
        <w:spacing w:after="100" w:before="200"/>
      </w:pPr>
      <w:r>
        <w:rPr>
          <w:rFonts w:ascii="Calibri" w:cs="Calibri" w:eastAsia="Calibri" w:hAnsi="Calibri"/>
          <w:b/>
          <w:bCs/>
          <w:color w:val="1B2A4A"/>
          <w:sz w:val="21"/>
          <w:szCs w:val="21"/>
        </w:rPr>
        <w:t xml:space="preserve">“What is broken?”</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We ran a read-only sweep of every screen and all 88 endpoints and wrote up 33 defects against ourselves: one Critical, seven High, eleven Medium, fourteen Low, plus nine capability gaps. The Critical was an approval queue a second reviewer could not see. It was fixed in the next version. Nine further findings were retracted because they did not survive verification.</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Open the end-to-end test register. Lead with the retractions — a register you can trust is one that shows its own corrections.</w:t>
      </w:r>
    </w:p>
    <w:p>
      <w:pPr>
        <w:pStyle w:val="Heading3"/>
        <w:spacing w:after="100" w:before="200"/>
      </w:pPr>
      <w:r>
        <w:rPr>
          <w:rFonts w:ascii="Calibri" w:cs="Calibri" w:eastAsia="Calibri" w:hAnsi="Calibri"/>
          <w:b/>
          <w:bCs/>
          <w:color w:val="1B2A4A"/>
          <w:sz w:val="21"/>
          <w:szCs w:val="21"/>
        </w:rPr>
        <w:t xml:space="preserve">“Does it replace our PIM?”</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No, and it is out of scope in the BRD for good reason. It deploys alongside an existing PIM, ERP and channel stack as a governance and orchestration layer. That is also the honest answer to vendor lock-in: it sits beside what you have rather than asking you to move.</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The eleven external systems on the Ingest Fabric include a PIM and an ERP. We talk to them; we are not them.</w:t>
      </w:r>
    </w:p>
    <w:p>
      <w:pPr>
        <w:pStyle w:val="Heading3"/>
        <w:spacing w:after="100" w:before="200"/>
      </w:pPr>
      <w:r>
        <w:rPr>
          <w:rFonts w:ascii="Calibri" w:cs="Calibri" w:eastAsia="Calibri" w:hAnsi="Calibri"/>
          <w:b/>
          <w:bCs/>
          <w:color w:val="1B2A4A"/>
          <w:sz w:val="21"/>
          <w:szCs w:val="21"/>
        </w:rPr>
        <w:t xml:space="preserve">“What would you do next?”</w:t>
      </w:r>
    </w:p>
    <w:p>
      <w:pPr>
        <w:spacing w:after="60" w:line="276"/>
      </w:pPr>
      <w:r>
        <w:rPr>
          <w:rFonts w:ascii="Calibri" w:cs="Calibri" w:eastAsia="Calibri" w:hAnsi="Calibri"/>
          <w:b/>
          <w:bCs/>
          <w:color w:val="0B5D8A"/>
          <w:sz w:val="21"/>
          <w:szCs w:val="21"/>
        </w:rPr>
        <w:t xml:space="preserve">Answer: </w:t>
      </w:r>
      <w:r>
        <w:rPr>
          <w:rFonts w:ascii="Calibri" w:cs="Calibri" w:eastAsia="Calibri" w:hAnsi="Calibri"/>
          <w:color w:val="1A1A1A"/>
          <w:sz w:val="21"/>
          <w:szCs w:val="21"/>
        </w:rPr>
        <w:t xml:space="preserve">Three things, in order. Measure the extraction accuracy against the golden set on every build, not on demand. Take microphone input locally rather than through a browser API that streams audio to a third party. And put the readiness reading checks on a schedule so a product that quietly goes stale is found before somebody asks.</w:t>
      </w:r>
    </w:p>
    <w:p>
      <w:pPr>
        <w:spacing w:after="160" w:line="276"/>
      </w:pPr>
      <w:r>
        <w:rPr>
          <w:rFonts w:ascii="Calibri" w:cs="Calibri" w:eastAsia="Calibri" w:hAnsi="Calibri"/>
          <w:b/>
          <w:bCs/>
          <w:color w:val="0B5D8A"/>
          <w:sz w:val="21"/>
          <w:szCs w:val="21"/>
        </w:rPr>
        <w:t xml:space="preserve">Show them: </w:t>
      </w:r>
      <w:r>
        <w:rPr>
          <w:rFonts w:ascii="Calibri" w:cs="Calibri" w:eastAsia="Calibri" w:hAnsi="Calibri"/>
          <w:color w:val="1A1A1A"/>
          <w:sz w:val="21"/>
          <w:szCs w:val="21"/>
        </w:rPr>
        <w:t xml:space="preserve">Say the reason for the ordering: the first one is the only one that changes what you are allowed to trust.</w:t>
      </w:r>
    </w:p>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11. What we deliberately did not do</w:t>
      </w:r>
    </w:p>
    <w:p>
      <w:pPr>
        <w:spacing w:after="120" w:line="276"/>
      </w:pPr>
      <w:r>
        <w:rPr>
          <w:rFonts w:ascii="Calibri" w:cs="Calibri" w:eastAsia="Calibri" w:hAnsi="Calibri"/>
          <w:color w:val="1A1A1A"/>
          <w:sz w:val="21"/>
          <w:szCs w:val="21"/>
        </w:rPr>
        <w:t xml:space="preserve">Say this section out loud. A build that draws its own boundary is more credible than one that does not, and every item here is a decision with a reason — not an omission.</w:t>
      </w:r>
    </w:p>
    <w:tbl>
      <w:tblPr>
        <w:tblW w:type="dxa" w:w="9026"/>
        <w:tblBorders>
          <w:top w:val="single" w:color="1B2A4A" w:sz="4"/>
          <w:left w:val="none"/>
          <w:bottom w:val="single" w:color="1B2A4A" w:sz="4"/>
          <w:right w:val="none"/>
          <w:insideH w:val="single" w:color="C9D2DC" w:sz="2"/>
          <w:insideV w:val="single" w:color="C9D2DC" w:sz="2"/>
        </w:tblBorders>
      </w:tblPr>
      <w:tblGrid>
        <w:gridCol w:w="3100"/>
        <w:gridCol w:w="5926"/>
      </w:tblGrid>
      <w:tr>
        <w:trPr>
          <w:tblHeader/>
        </w:trPr>
        <w:tc>
          <w:tcPr>
            <w:tcW w:type="dxa" w:w="31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We did not…</w:t>
            </w:r>
          </w:p>
        </w:tc>
        <w:tc>
          <w:tcPr>
            <w:tcW w:type="dxa" w:w="59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Because</w:t>
            </w:r>
          </w:p>
        </w:tc>
      </w:tr>
      <w:tr>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Build an autonomous multi-agent system.</w:t>
            </w:r>
          </w:p>
        </w:tc>
        <w:tc>
          <w:tcPr>
            <w:tcW w:type="dxa" w:w="59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This problem does not need one. Propagation, versioning, taxonomy mapping and channel rules are ordinary software with correct answers, and an audit trail depends on those answers being reproducible.</w:t>
            </w:r>
          </w:p>
        </w:tc>
      </w:tr>
      <w:tr>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Give the system a readiness score.</w:t>
            </w:r>
          </w:p>
        </w:tc>
        <w:tc>
          <w:tcPr>
            <w:tcW w:type="dxa" w:w="59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product with three open findings is not seventy per cent ready. A number invites a threshold, and a threshold invites launching at ninety.</w:t>
            </w:r>
          </w:p>
        </w:tc>
      </w:tr>
      <w:tr>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Let AI fill a safety-class gap.</w:t>
            </w:r>
          </w:p>
        </w:tc>
        <w:tc>
          <w:tcPr>
            <w:tcW w:type="dxa" w:w="59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plausible allergen list is not an allergen list. It gets printed on a label and read by somebody who needs it to be right.</w:t>
            </w:r>
          </w:p>
        </w:tc>
      </w:tr>
      <w:tr>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Make the approval gate a delegatable capability.</w:t>
            </w:r>
          </w:p>
        </w:tc>
        <w:tc>
          <w:tcPr>
            <w:tcW w:type="dxa" w:w="59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human decision is not a capability to delegate, and a peer that could publish is a peer that could publish.</w:t>
            </w:r>
          </w:p>
        </w:tc>
      </w:tr>
      <w:tr>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Auto-admit tools a connected system declares read-only.</w:t>
            </w:r>
          </w:p>
        </w:tc>
        <w:tc>
          <w:tcPr>
            <w:tcW w:type="dxa" w:w="59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“Read-only” is the connecting system's claim about itself, and a tool's self-description is not a control. Discovery is not admission.</w:t>
            </w:r>
          </w:p>
        </w:tc>
      </w:tr>
      <w:tr>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Mock the model in the test suite.</w:t>
            </w:r>
          </w:p>
        </w:tc>
        <w:tc>
          <w:tcPr>
            <w:tcW w:type="dxa" w:w="59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mocked model tests the mock. The suite runs against a closed port instead, so what is exercised is the fallback that has to work when the gateway is down.</w:t>
            </w:r>
          </w:p>
        </w:tc>
      </w:tr>
      <w:tr>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Draw a chart of competing readings.</w:t>
            </w:r>
          </w:p>
        </w:tc>
        <w:tc>
          <w:tcPr>
            <w:tcW w:type="dxa" w:w="59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Two or three readings of one document is not an efficient frontier. A ranked table with the deciding evidence beside it is the honest form.</w:t>
            </w:r>
          </w:p>
        </w:tc>
      </w:tr>
      <w:tr>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Take microphone input in this pass.</w:t>
            </w:r>
          </w:p>
        </w:tc>
        <w:tc>
          <w:tcPr>
            <w:tcW w:type="dxa" w:w="59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obvious route streams audio to a third party's servers. The local alternative is the right one, and it is not done yet — so it is not claimed.</w:t>
            </w:r>
          </w:p>
        </w:tc>
      </w:tr>
      <w:tr>
        <w:tc>
          <w:tcPr>
            <w:tcW w:type="dxa" w:w="31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Connect to live enterprise systems.</w:t>
            </w:r>
          </w:p>
        </w:tc>
        <w:tc>
          <w:tcPr>
            <w:tcW w:type="dxa" w:w="59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BRD scopes this out and requires representative synthetic data. What we did instead was mark every synthetic value as synthetic.</w:t>
            </w:r>
          </w:p>
        </w:tc>
      </w:tr>
      <w:tr>
        <w:tc>
          <w:tcPr>
            <w:tcW w:type="dxa" w:w="31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Replace the PIM, ERP or commerce platform.</w:t>
            </w:r>
          </w:p>
        </w:tc>
        <w:tc>
          <w:tcPr>
            <w:tcW w:type="dxa" w:w="59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Explicitly out of scope in the BRD, and the correct commercial answer: a governance layer beside the stack is adoptable, a replacement is a two-year programme.</w:t>
            </w:r>
          </w:p>
        </w:tc>
      </w:tr>
    </w:tbl>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HOW TO CLOSE THE WHOLE TALK</w:t>
            </w:r>
          </w:p>
          <w:p>
            <w:pPr>
              <w:spacing w:after="0" w:line="276"/>
            </w:pPr>
            <w:r>
              <w:rPr>
                <w:rFonts w:ascii="Calibri" w:cs="Calibri" w:eastAsia="Calibri" w:hAnsi="Calibri"/>
                <w:color w:val="1A1A1A"/>
                <w:sz w:val="21"/>
                <w:szCs w:val="21"/>
              </w:rPr>
              <w:t xml:space="preserve">“The BRD asks for a system that keeps uncertainty visible and every action accountable. So the test we set ourselves was not ‘can it do the impressive thing’ — it was ‘can it ever quietly do the wrong thing and report success’. Four of our tests exist only to guard failures that would be silent. That is what we built, and it is why so little of it is a model.”</w:t>
            </w:r>
          </w:p>
        </w:tc>
      </w:tr>
    </w:tbl>
    <w:p>
      <w:r>
        <w:br w:type="page"/>
      </w:r>
    </w:p>
    <w:p>
      <w:pPr>
        <w:pStyle w:val="Heading1"/>
        <w:pBdr>
          <w:bottom w:val="single" w:color="1B2A4A" w:sz="10" w:space="6"/>
        </w:pBdr>
        <w:spacing w:after="200" w:before="360"/>
      </w:pPr>
      <w:r>
        <w:rPr>
          <w:rFonts w:ascii="Calibri" w:cs="Calibri" w:eastAsia="Calibri" w:hAnsi="Calibri"/>
          <w:b/>
          <w:bCs/>
          <w:color w:val="1B2A4A"/>
          <w:sz w:val="30"/>
          <w:szCs w:val="30"/>
        </w:rPr>
        <w:t xml:space="preserve">12. Run sheet</w:t>
      </w:r>
    </w:p>
    <w:p>
      <w:pPr>
        <w:pStyle w:val="Heading2"/>
        <w:spacing w:after="130" w:before="280"/>
      </w:pPr>
      <w:r>
        <w:rPr>
          <w:rFonts w:ascii="Calibri" w:cs="Calibri" w:eastAsia="Calibri" w:hAnsi="Calibri"/>
          <w:b/>
          <w:bCs/>
          <w:color w:val="0B5D8A"/>
          <w:sz w:val="24"/>
          <w:szCs w:val="24"/>
        </w:rPr>
        <w:t xml:space="preserve">Starting everything</w:t>
      </w:r>
    </w:p>
    <w:tbl>
      <w:tblPr>
        <w:tblW w:type="dxa" w:w="9026"/>
        <w:tblBorders>
          <w:top w:val="single" w:color="C9D2DC" w:sz="2"/>
          <w:left w:val="single" w:color="C9D2DC" w:sz="2"/>
          <w:bottom w:val="single" w:color="C9D2DC" w:sz="2"/>
          <w:right w:val="single" w:color="C9D2DC" w:sz="2"/>
          <w:insideH w:val="none"/>
          <w:insideV w:val="none"/>
        </w:tblBorders>
      </w:tblPr>
      <w:tblGrid>
        <w:gridCol w:w="9026"/>
      </w:tblGrid>
      <w:tr>
        <w:tc>
          <w:tcPr>
            <w:tcW w:type="dxa" w:w="9026"/>
            <w:shd w:fill="F2F4F7" w:color="auto" w:val="clear"/>
            <w:tcMar>
              <w:top w:type="dxa" w:w="120"/>
              <w:left w:type="dxa" w:w="160"/>
              <w:bottom w:type="dxa" w:w="120"/>
              <w:right w:type="dxa" w:w="160"/>
            </w:tcMar>
          </w:tcPr>
          <w:p>
            <w:pPr>
              <w:spacing w:after="20" w:line="240"/>
            </w:pPr>
            <w:r>
              <w:rPr>
                <w:rFonts w:ascii="Consolas" w:cs="Consolas" w:eastAsia="Consolas" w:hAnsi="Consolas"/>
                <w:color w:val="24303F"/>
                <w:sz w:val="18"/>
                <w:szCs w:val="18"/>
              </w:rPr>
              <w:t xml:space="preserve">pip install -r requirements.txt</w:t>
            </w:r>
          </w:p>
          <w:p>
            <w:pPr>
              <w:spacing w:after="20" w:line="240"/>
            </w:pPr>
            <w:r>
              <w:rPr>
                <w:rFonts w:ascii="Consolas" w:cs="Consolas" w:eastAsia="Consolas" w:hAnsi="Consolas"/>
                <w:color w:val="24303F"/>
                <w:sz w:val="18"/>
                <w:szCs w:val="18"/>
              </w:rPr>
              <w:t xml:space="preserve">copy .env.example .env</w:t>
            </w:r>
          </w:p>
          <w:p>
            <w:pPr>
              <w:spacing w:after="20" w:line="240"/>
            </w:pPr>
            <w:r>
              <w:rPr>
                <w:rFonts w:ascii="Consolas" w:cs="Consolas" w:eastAsia="Consolas" w:hAnsi="Consolas"/>
                <w:color w:val="24303F"/>
                <w:sz w:val="18"/>
                <w:szCs w:val="18"/>
              </w:rPr>
              <w:t xml:space="preserve">python scripts/generate_data.py</w:t>
            </w:r>
          </w:p>
          <w:p>
            <w:pPr>
              <w:spacing w:after="20" w:line="240"/>
            </w:pPr>
            <w:r>
              <w:rPr>
                <w:rFonts w:ascii="Consolas" w:cs="Consolas" w:eastAsia="Consolas" w:hAnsi="Consolas"/>
                <w:color w:val="24303F"/>
                <w:sz w:val="18"/>
                <w:szCs w:val="18"/>
              </w:rPr>
              <w:t xml:space="preserve">python scripts/build_datapack.py</w:t>
            </w:r>
          </w:p>
          <w:p>
            <w:pPr>
              <w:spacing w:after="20" w:line="240"/>
            </w:pPr>
            <w:r>
              <w:rPr>
                <w:rFonts w:ascii="Consolas" w:cs="Consolas" w:eastAsia="Consolas" w:hAnsi="Consolas"/>
                <w:color w:val="24303F"/>
                <w:sz w:val="18"/>
                <w:szCs w:val="18"/>
              </w:rPr>
              <w:t xml:space="preserve">startup.bat stage</w:t>
            </w:r>
          </w:p>
        </w:tc>
      </w:tr>
    </w:tbl>
    <w:p>
      <w:pPr>
        <w:spacing w:after="200" w:line="276"/>
      </w:pPr>
      <w:r>
        <w:rPr>
          <w:rFonts w:ascii="Calibri" w:cs="Calibri" w:eastAsia="Calibri" w:hAnsi="Calibri"/>
          <w:color w:val="1A1A1A"/>
          <w:sz w:val="21"/>
          <w:szCs w:val="21"/>
        </w:rPr>
        <w:t xml:space="preserve">startup.bat stage puts two products on sale first, so a late change has something to be late for. startup.bat solo runs the platform alone. Add startup.bat graph once, beforehand, if you want the knowledge graph backed by a real Neo4j — it works without one.</w:t>
      </w:r>
    </w:p>
    <w:p>
      <w:pPr>
        <w:pStyle w:val="Heading2"/>
        <w:spacing w:after="130" w:before="280"/>
      </w:pPr>
      <w:r>
        <w:rPr>
          <w:rFonts w:ascii="Calibri" w:cs="Calibri" w:eastAsia="Calibri" w:hAnsi="Calibri"/>
          <w:b/>
          <w:bCs/>
          <w:color w:val="0B5D8A"/>
          <w:sz w:val="24"/>
          <w:szCs w:val="24"/>
        </w:rPr>
        <w:t xml:space="preserve">The five addresses</w:t>
      </w:r>
    </w:p>
    <w:tbl>
      <w:tblPr>
        <w:tblW w:type="dxa" w:w="9026"/>
        <w:tblBorders>
          <w:top w:val="single" w:color="1B2A4A" w:sz="4"/>
          <w:left w:val="none"/>
          <w:bottom w:val="single" w:color="1B2A4A" w:sz="4"/>
          <w:right w:val="none"/>
          <w:insideH w:val="single" w:color="C9D2DC" w:sz="2"/>
          <w:insideV w:val="single" w:color="C9D2DC" w:sz="2"/>
        </w:tblBorders>
      </w:tblPr>
      <w:tblGrid>
        <w:gridCol w:w="2100"/>
        <w:gridCol w:w="4600"/>
        <w:gridCol w:w="2326"/>
      </w:tblGrid>
      <w:tr>
        <w:trPr>
          <w:tblHeader/>
        </w:trPr>
        <w:tc>
          <w:tcPr>
            <w:tcW w:type="dxa" w:w="21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Address</w:t>
            </w:r>
          </w:p>
        </w:tc>
        <w:tc>
          <w:tcPr>
            <w:tcW w:type="dxa" w:w="46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What it is</w:t>
            </w:r>
          </w:p>
        </w:tc>
        <w:tc>
          <w:tcPr>
            <w:tcW w:type="dxa" w:w="23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Use it in</w:t>
            </w:r>
          </w:p>
        </w:tc>
      </w:tr>
      <w:tr>
        <w:tc>
          <w:tcPr>
            <w:tcW w:type="dxa" w:w="2100"/>
            <w:shd w:fill="FFFFFF" w:color="auto" w:val="clear"/>
            <w:tcMar>
              <w:top w:type="dxa" w:w="90"/>
              <w:left w:type="dxa" w:w="130"/>
              <w:bottom w:type="dxa" w:w="90"/>
              <w:right w:type="dxa" w:w="130"/>
            </w:tcMar>
          </w:tcPr>
          <w:p>
            <w:pPr>
              <w:spacing w:after="0" w:line="250"/>
            </w:pPr>
            <w:r>
              <w:rPr>
                <w:rFonts w:ascii="Consolas" w:cs="Consolas" w:eastAsia="Consolas" w:hAnsi="Consolas"/>
                <w:color w:val="1A1A1A"/>
                <w:sz w:val="18"/>
                <w:szCs w:val="18"/>
              </w:rPr>
              <w:t xml:space="preserve">127.0.0.1:8000</w:t>
            </w:r>
          </w:p>
        </w:tc>
        <w:tc>
          <w:tcPr>
            <w:tcW w:type="dxa" w:w="46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platform — API, interface, and every MCP server</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Steps 1–8, 10</w:t>
            </w:r>
          </w:p>
        </w:tc>
      </w:tr>
      <w:tr>
        <w:tc>
          <w:tcPr>
            <w:tcW w:type="dxa" w:w="2100"/>
            <w:shd w:fill="F7F9FC" w:color="auto" w:val="clear"/>
            <w:tcMar>
              <w:top w:type="dxa" w:w="90"/>
              <w:left w:type="dxa" w:w="130"/>
              <w:bottom w:type="dxa" w:w="90"/>
              <w:right w:type="dxa" w:w="130"/>
            </w:tcMar>
          </w:tcPr>
          <w:p>
            <w:pPr>
              <w:spacing w:after="0" w:line="250"/>
            </w:pPr>
            <w:r>
              <w:rPr>
                <w:rFonts w:ascii="Consolas" w:cs="Consolas" w:eastAsia="Consolas" w:hAnsi="Consolas"/>
                <w:color w:val="1A1A1A"/>
                <w:sz w:val="18"/>
                <w:szCs w:val="18"/>
              </w:rPr>
              <w:t xml:space="preserve">127.0.0.1:8110</w:t>
            </w:r>
          </w:p>
        </w:tc>
        <w:tc>
          <w:tcPr>
            <w:tcW w:type="dxa" w:w="46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Vendor Portal — upstream, where suppliers push corrections in</w:t>
            </w:r>
          </w:p>
        </w:tc>
        <w:tc>
          <w:tcPr>
            <w:tcW w:type="dxa" w:w="2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Step 9</w:t>
            </w:r>
          </w:p>
        </w:tc>
      </w:tr>
      <w:tr>
        <w:tc>
          <w:tcPr>
            <w:tcW w:type="dxa" w:w="2100"/>
            <w:shd w:fill="FFFFFF" w:color="auto" w:val="clear"/>
            <w:tcMar>
              <w:top w:type="dxa" w:w="90"/>
              <w:left w:type="dxa" w:w="130"/>
              <w:bottom w:type="dxa" w:w="90"/>
              <w:right w:type="dxa" w:w="130"/>
            </w:tcMar>
          </w:tcPr>
          <w:p>
            <w:pPr>
              <w:spacing w:after="0" w:line="250"/>
            </w:pPr>
            <w:r>
              <w:rPr>
                <w:rFonts w:ascii="Consolas" w:cs="Consolas" w:eastAsia="Consolas" w:hAnsi="Consolas"/>
                <w:color w:val="1A1A1A"/>
                <w:sz w:val="18"/>
                <w:szCs w:val="18"/>
              </w:rPr>
              <w:t xml:space="preserve">127.0.0.1:8120</w:t>
            </w:r>
          </w:p>
        </w:tc>
        <w:tc>
          <w:tcPr>
            <w:tcW w:type="dxa" w:w="46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Storefront — downstream, what a shopper sees</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Step 9</w:t>
            </w:r>
          </w:p>
        </w:tc>
      </w:tr>
      <w:tr>
        <w:tc>
          <w:tcPr>
            <w:tcW w:type="dxa" w:w="2100"/>
            <w:shd w:fill="F7F9FC" w:color="auto" w:val="clear"/>
            <w:tcMar>
              <w:top w:type="dxa" w:w="90"/>
              <w:left w:type="dxa" w:w="130"/>
              <w:bottom w:type="dxa" w:w="90"/>
              <w:right w:type="dxa" w:w="130"/>
            </w:tcMar>
          </w:tcPr>
          <w:p>
            <w:pPr>
              <w:spacing w:after="0" w:line="250"/>
            </w:pPr>
            <w:r>
              <w:rPr>
                <w:rFonts w:ascii="Consolas" w:cs="Consolas" w:eastAsia="Consolas" w:hAnsi="Consolas"/>
                <w:color w:val="1A1A1A"/>
                <w:sz w:val="18"/>
                <w:szCs w:val="18"/>
              </w:rPr>
              <w:t xml:space="preserve">127.0.0.1:8130</w:t>
            </w:r>
          </w:p>
        </w:tc>
        <w:tc>
          <w:tcPr>
            <w:tcW w:type="dxa" w:w="46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Ops Console — print, shelf, search, errata</w:t>
            </w:r>
          </w:p>
        </w:tc>
        <w:tc>
          <w:tcPr>
            <w:tcW w:type="dxa" w:w="23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Steps 6 and 9</w:t>
            </w:r>
          </w:p>
        </w:tc>
      </w:tr>
      <w:tr>
        <w:tc>
          <w:tcPr>
            <w:tcW w:type="dxa" w:w="2100"/>
            <w:shd w:fill="FFFFFF" w:color="auto" w:val="clear"/>
            <w:tcMar>
              <w:top w:type="dxa" w:w="90"/>
              <w:left w:type="dxa" w:w="130"/>
              <w:bottom w:type="dxa" w:w="90"/>
              <w:right w:type="dxa" w:w="130"/>
            </w:tcMar>
          </w:tcPr>
          <w:p>
            <w:pPr>
              <w:spacing w:after="0" w:line="250"/>
            </w:pPr>
            <w:r>
              <w:rPr>
                <w:rFonts w:ascii="Consolas" w:cs="Consolas" w:eastAsia="Consolas" w:hAnsi="Consolas"/>
                <w:color w:val="1A1A1A"/>
                <w:sz w:val="18"/>
                <w:szCs w:val="18"/>
              </w:rPr>
              <w:t xml:space="preserve">127.0.0.1:8140</w:t>
            </w:r>
          </w:p>
        </w:tc>
        <w:tc>
          <w:tcPr>
            <w:tcW w:type="dxa" w:w="46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Back Office — stock, trading, campaigns, certificates</w:t>
            </w:r>
          </w:p>
        </w:tc>
        <w:tc>
          <w:tcPr>
            <w:tcW w:type="dxa" w:w="23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Optional, with the knowledge graph</w:t>
            </w:r>
          </w:p>
        </w:tc>
      </w:tr>
    </w:tbl>
    <w:p>
      <w:pPr>
        <w:pStyle w:val="Heading2"/>
        <w:spacing w:after="130" w:before="280"/>
      </w:pPr>
      <w:r>
        <w:rPr>
          <w:rFonts w:ascii="Calibri" w:cs="Calibri" w:eastAsia="Calibri" w:hAnsi="Calibri"/>
          <w:b/>
          <w:bCs/>
          <w:color w:val="0B5D8A"/>
          <w:sz w:val="24"/>
          <w:szCs w:val="24"/>
        </w:rPr>
        <w:t xml:space="preserve">If something goes wrong mid-demo</w:t>
      </w:r>
    </w:p>
    <w:tbl>
      <w:tblPr>
        <w:tblW w:type="dxa" w:w="9026"/>
        <w:tblBorders>
          <w:top w:val="single" w:color="1B2A4A" w:sz="4"/>
          <w:left w:val="none"/>
          <w:bottom w:val="single" w:color="1B2A4A" w:sz="4"/>
          <w:right w:val="none"/>
          <w:insideH w:val="single" w:color="C9D2DC" w:sz="2"/>
          <w:insideV w:val="single" w:color="C9D2DC" w:sz="2"/>
        </w:tblBorders>
      </w:tblPr>
      <w:tblGrid>
        <w:gridCol w:w="2000"/>
        <w:gridCol w:w="2800"/>
        <w:gridCol w:w="4226"/>
      </w:tblGrid>
      <w:tr>
        <w:trPr>
          <w:tblHeader/>
        </w:trPr>
        <w:tc>
          <w:tcPr>
            <w:tcW w:type="dxa" w:w="20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Symptom</w:t>
            </w:r>
          </w:p>
        </w:tc>
        <w:tc>
          <w:tcPr>
            <w:tcW w:type="dxa" w:w="2800"/>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Do this</w:t>
            </w:r>
          </w:p>
        </w:tc>
        <w:tc>
          <w:tcPr>
            <w:tcW w:type="dxa" w:w="4226"/>
            <w:shd w:fill="1B2A4A" w:color="auto" w:val="clear"/>
            <w:tcMar>
              <w:top w:type="dxa" w:w="90"/>
              <w:left w:type="dxa" w:w="130"/>
              <w:bottom w:type="dxa" w:w="90"/>
              <w:right w:type="dxa" w:w="130"/>
            </w:tcMar>
          </w:tcPr>
          <w:p>
            <w:pPr>
              <w:spacing w:after="0" w:line="276"/>
            </w:pPr>
            <w:r>
              <w:rPr>
                <w:rFonts w:ascii="Calibri" w:cs="Calibri" w:eastAsia="Calibri" w:hAnsi="Calibri"/>
                <w:b/>
                <w:bCs/>
                <w:color w:val="FFFFFF"/>
                <w:sz w:val="18"/>
                <w:szCs w:val="18"/>
              </w:rPr>
              <w:t xml:space="preserve">And say</w:t>
            </w:r>
          </w:p>
        </w:tc>
      </w:tr>
      <w:tr>
        <w:tc>
          <w:tcPr>
            <w:tcW w:type="dxa" w:w="2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gateway is unreachable or slow.</w:t>
            </w:r>
          </w:p>
        </w:tc>
        <w:tc>
          <w:tcPr>
            <w:tcW w:type="dxa" w:w="28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Restart with </w:t>
            </w:r>
            <w:r>
              <w:rPr>
                <w:rFonts w:ascii="Consolas" w:cs="Consolas" w:eastAsia="Consolas" w:hAnsi="Consolas"/>
                <w:color w:val="1A1A1A"/>
                <w:sz w:val="18"/>
                <w:szCs w:val="18"/>
              </w:rPr>
              <w:t xml:space="preserve">--no-gateway</w:t>
            </w:r>
            <w:r>
              <w:rPr>
                <w:rFonts w:ascii="Calibri" w:cs="Calibri" w:eastAsia="Calibri" w:hAnsi="Calibri"/>
                <w:color w:val="1A1A1A"/>
                <w:sz w:val="18"/>
                <w:szCs w:val="18"/>
              </w:rPr>
              <w:t xml:space="preserve">. Everything still runs.</w:t>
            </w:r>
          </w:p>
        </w:tc>
        <w:tc>
          <w:tcPr>
            <w:tcW w:type="dxa" w:w="42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“Every model step has a deterministic fallback — this is that path, and it is what our tests exercise.”</w:t>
            </w:r>
          </w:p>
        </w:tc>
      </w:tr>
      <w:tr>
        <w:tc>
          <w:tcPr>
            <w:tcW w:type="dxa" w:w="2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run is taking too long.</w:t>
            </w:r>
          </w:p>
        </w:tc>
        <w:tc>
          <w:tcPr>
            <w:tcW w:type="dxa" w:w="28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Let it. Say what it is doing.</w:t>
            </w:r>
          </w:p>
        </w:tc>
        <w:tc>
          <w:tcPr>
            <w:tcW w:type="dxa" w:w="42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per-field rewrites run concurrently; the extraction writes stay strictly sequential, because the watermark advances as each document is persisted.”</w:t>
            </w:r>
          </w:p>
        </w:tc>
      </w:tr>
      <w:tr>
        <w:tc>
          <w:tcPr>
            <w:tcW w:type="dxa" w:w="2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The approval queue is empty.</w:t>
            </w:r>
          </w:p>
        </w:tc>
        <w:tc>
          <w:tcPr>
            <w:tcW w:type="dxa" w:w="28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Advance the transport to the inject and run the loop first.</w:t>
            </w:r>
          </w:p>
        </w:tc>
        <w:tc>
          <w:tcPr>
            <w:tcW w:type="dxa" w:w="42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“It is empty because nothing is pending — which is the correct empty state, and it says so in different words from the one that means the screen cannot see the queue.”</w:t>
            </w:r>
          </w:p>
        </w:tc>
      </w:tr>
      <w:tr>
        <w:tc>
          <w:tcPr>
            <w:tcW w:type="dxa" w:w="20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A product image is missing.</w:t>
            </w:r>
          </w:p>
        </w:tc>
        <w:tc>
          <w:tcPr>
            <w:tcW w:type="dxa" w:w="2800"/>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Point at it deliberately.</w:t>
            </w:r>
          </w:p>
        </w:tc>
        <w:tc>
          <w:tcPr>
            <w:tcW w:type="dxa" w:w="4226"/>
            <w:shd w:fill="F7F9FC"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“That is a 404 and not a broken shell, on purpose — ‘the imaging system has not sent this' needs a different person to fix it than ‘this page is falling over'.”</w:t>
            </w:r>
          </w:p>
        </w:tc>
      </w:tr>
      <w:tr>
        <w:tc>
          <w:tcPr>
            <w:tcW w:type="dxa" w:w="20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Neo4j is not running.</w:t>
            </w:r>
          </w:p>
        </w:tc>
        <w:tc>
          <w:tcPr>
            <w:tcW w:type="dxa" w:w="2800"/>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Nothing. Open the graph anyway.</w:t>
            </w:r>
          </w:p>
        </w:tc>
        <w:tc>
          <w:tcPr>
            <w:tcW w:type="dxa" w:w="4226"/>
            <w:shd w:fill="FFFFFF" w:color="auto" w:val="clear"/>
            <w:tcMar>
              <w:top w:type="dxa" w:w="90"/>
              <w:left w:type="dxa" w:w="130"/>
              <w:bottom w:type="dxa" w:w="90"/>
              <w:right w:type="dxa" w:w="130"/>
            </w:tcMar>
          </w:tcPr>
          <w:p>
            <w:pPr>
              <w:spacing w:after="0" w:line="250"/>
            </w:pPr>
            <w:r>
              <w:rPr>
                <w:rFonts w:ascii="Calibri" w:cs="Calibri" w:eastAsia="Calibri" w:hAnsi="Calibri"/>
                <w:color w:val="1A1A1A"/>
                <w:sz w:val="18"/>
                <w:szCs w:val="18"/>
              </w:rPr>
              <w:t xml:space="preserve">“With no graph database anywhere the tab works — the same projection is walked in process, and every response says which engine answered.”</w:t>
            </w:r>
          </w:p>
        </w:tc>
      </w:tr>
    </w:tbl>
    <w:p>
      <w:pPr>
        <w:pStyle w:val="Heading2"/>
        <w:keepNext/>
        <w:keepLines/>
        <w:spacing w:after="130" w:before="280"/>
      </w:pPr>
      <w:r>
        <w:rPr>
          <w:rFonts w:ascii="Calibri" w:cs="Calibri" w:eastAsia="Calibri" w:hAnsi="Calibri"/>
          <w:b/>
          <w:bCs/>
          <w:color w:val="0B5D8A"/>
          <w:sz w:val="24"/>
          <w:szCs w:val="24"/>
        </w:rPr>
        <w:t xml:space="preserve">The three sentences to memorise</w:t>
      </w:r>
    </w:p>
    <w:p>
      <w:pPr>
        <w:keepNext/>
        <w:keepLines/>
        <w:spacing w:after="90" w:line="276"/>
      </w:pPr>
      <w:r>
        <w:rPr>
          <w:rFonts w:ascii="Calibri" w:cs="Calibri" w:eastAsia="Calibri" w:hAnsi="Calibri"/>
          <w:b/>
          <w:bCs/>
          <w:color w:val="0B5D8A"/>
          <w:sz w:val="21"/>
          <w:szCs w:val="21"/>
        </w:rPr>
        <w:t xml:space="preserve">1.  </w:t>
      </w:r>
      <w:r>
        <w:rPr>
          <w:rFonts w:ascii="Calibri" w:cs="Calibri" w:eastAsia="Calibri" w:hAnsi="Calibri"/>
          <w:b/>
          <w:bCs/>
          <w:color w:val="1A1A1A"/>
          <w:sz w:val="23"/>
          <w:szCs w:val="23"/>
        </w:rPr>
        <w:t xml:space="preserve">“The LLM interprets; deterministic code decides.”</w:t>
      </w:r>
    </w:p>
    <w:p>
      <w:pPr>
        <w:keepNext/>
        <w:keepLines/>
        <w:spacing w:after="90" w:line="276"/>
      </w:pPr>
      <w:r>
        <w:rPr>
          <w:rFonts w:ascii="Calibri" w:cs="Calibri" w:eastAsia="Calibri" w:hAnsi="Calibri"/>
          <w:b/>
          <w:bCs/>
          <w:color w:val="0B5D8A"/>
          <w:sz w:val="21"/>
          <w:szCs w:val="21"/>
        </w:rPr>
        <w:t xml:space="preserve">2.  </w:t>
      </w:r>
      <w:r>
        <w:rPr>
          <w:rFonts w:ascii="Calibri" w:cs="Calibri" w:eastAsia="Calibri" w:hAnsi="Calibri"/>
          <w:b/>
          <w:bCs/>
          <w:color w:val="1A1A1A"/>
          <w:sz w:val="23"/>
          <w:szCs w:val="23"/>
        </w:rPr>
        <w:t xml:space="preserve">“The blast radius comes from the topology, never from a model.”</w:t>
      </w:r>
    </w:p>
    <w:p>
      <w:pPr>
        <w:keepNext w:val="false"/>
        <w:keepLines/>
        <w:spacing w:after="200" w:line="276"/>
      </w:pPr>
      <w:r>
        <w:rPr>
          <w:rFonts w:ascii="Calibri" w:cs="Calibri" w:eastAsia="Calibri" w:hAnsi="Calibri"/>
          <w:b/>
          <w:bCs/>
          <w:color w:val="0B5D8A"/>
          <w:sz w:val="21"/>
          <w:szCs w:val="21"/>
        </w:rPr>
        <w:t xml:space="preserve">3.  </w:t>
      </w:r>
      <w:r>
        <w:rPr>
          <w:rFonts w:ascii="Calibri" w:cs="Calibri" w:eastAsia="Calibri" w:hAnsi="Calibri"/>
          <w:b/>
          <w:bCs/>
          <w:color w:val="1A1A1A"/>
          <w:sz w:val="23"/>
          <w:szCs w:val="23"/>
        </w:rPr>
        <w:t xml:space="preserve">“A human-in-the-loop gate that a second human cannot see is not a gate.”</w:t>
      </w:r>
    </w:p>
    <w:tbl>
      <w:tblPr>
        <w:tblW w:type="dxa" w:w="9026"/>
        <w:tblBorders>
          <w:top w:val="single" w:color="C9D2DC" w:sz="2"/>
          <w:left w:val="single" w:color="0B5D8A" w:sz="18"/>
          <w:bottom w:val="single" w:color="C9D2DC" w:sz="2"/>
          <w:right w:val="single" w:color="C9D2DC" w:sz="2"/>
          <w:insideH w:val="none"/>
          <w:insideV w:val="none"/>
        </w:tblBorders>
      </w:tblPr>
      <w:tblGrid>
        <w:gridCol w:w="9026"/>
      </w:tblGrid>
      <w:tr>
        <w:tc>
          <w:tcPr>
            <w:tcW w:type="dxa" w:w="9026"/>
            <w:shd w:fill="EEF3F8" w:color="auto" w:val="clear"/>
            <w:tcMar>
              <w:top w:type="dxa" w:w="140"/>
              <w:left w:type="dxa" w:w="180"/>
              <w:bottom w:type="dxa" w:w="140"/>
              <w:right w:type="dxa" w:w="180"/>
            </w:tcMar>
          </w:tcPr>
          <w:p>
            <w:pPr>
              <w:spacing w:after="60" w:line="276"/>
            </w:pPr>
            <w:r>
              <w:rPr>
                <w:rFonts w:ascii="Calibri" w:cs="Calibri" w:eastAsia="Calibri" w:hAnsi="Calibri"/>
                <w:b/>
                <w:bCs/>
                <w:color w:val="0B5D8A"/>
                <w:sz w:val="17"/>
                <w:szCs w:val="17"/>
              </w:rPr>
              <w:t xml:space="preserve">LAST THING</w:t>
            </w:r>
          </w:p>
          <w:p>
            <w:pPr>
              <w:spacing w:after="0" w:line="276"/>
            </w:pPr>
            <w:r>
              <w:rPr>
                <w:rFonts w:ascii="Calibri" w:cs="Calibri" w:eastAsia="Calibri" w:hAnsi="Calibri"/>
                <w:color w:val="1A1A1A"/>
                <w:sz w:val="21"/>
                <w:szCs w:val="21"/>
              </w:rPr>
              <w:t xml:space="preserve">If you are asked only one question and have only one answer left, make it this: every claim in this guide has a screen, a file or a test behind it. Ask for any of them.</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tabs>
        <w:tab w:val="right" w:pos="9026"/>
      </w:tabs>
      <w:spacing w:after="60"/>
    </w:pPr>
    <w:r>
      <w:rPr>
        <w:rFonts w:ascii="Calibri" w:cs="Calibri" w:eastAsia="Calibri" w:hAnsi="Calibri"/>
        <w:color w:val="4A5568"/>
        <w:sz w:val="16"/>
        <w:szCs w:val="16"/>
      </w:rPr>
      <w:t xml:space="preserve">Veriflow — Solution Walkthrough &amp; Traceability Guide</w:t>
    </w:r>
    <w:r>
      <w:rPr>
        <w:rFonts w:ascii="Calibri" w:cs="Calibri" w:eastAsia="Calibri" w:hAnsi="Calibri"/>
        <w:color w:val="4A5568"/>
        <w:sz w:val="16"/>
        <w:szCs w:val="16"/>
      </w:rPr>
      <w:t xml:space="preserve">	Problem Statement 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A"/>
      <w:sz w:val="30"/>
      <w:szCs w:val="30"/>
    </w:rPr>
  </w:style>
  <w:style w:type="paragraph" w:styleId="Heading2">
    <w:name w:val="Heading 2"/>
    <w:basedOn w:val="Normal"/>
    <w:next w:val="Normal"/>
    <w:qFormat/>
    <w:rPr>
      <w:rFonts w:ascii="Calibri" w:cs="Calibri" w:eastAsia="Calibri" w:hAnsi="Calibri"/>
      <w:b/>
      <w:bCs/>
      <w:color w:val="0B5D8A"/>
      <w:sz w:val="24"/>
      <w:szCs w:val="24"/>
    </w:rPr>
  </w:style>
  <w:style w:type="paragraph" w:styleId="Heading3">
    <w:name w:val="Heading 3"/>
    <w:basedOn w:val="Normal"/>
    <w:next w:val="Normal"/>
    <w:qFormat/>
    <w:rPr>
      <w:rFonts w:ascii="Calibri" w:cs="Calibri" w:eastAsia="Calibri" w:hAnsi="Calibri"/>
      <w:b/>
      <w:bCs/>
      <w:color w:val="1B2A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Veriflow — How to Explain the Build Against the Original Ask</dc:title>
  <dc:creator>Product &amp; Engineering Team</dc:creator>
  <dc:description>Step-by-step walkthrough and BRD traceability guide for the Autonomous Product Intelligence Factory.</dc:description>
  <cp:lastModifiedBy>Un-named</cp:lastModifiedBy>
  <cp:revision>1</cp:revision>
  <dcterms:created xsi:type="dcterms:W3CDTF">2026-09-01T07:11:37.115Z</dcterms:created>
  <dcterms:modified xsi:type="dcterms:W3CDTF">2026-09-01T07:11:37.117Z</dcterms:modified>
</cp:coreProperties>
</file>

<file path=docProps/custom.xml><?xml version="1.0" encoding="utf-8"?>
<Properties xmlns="http://schemas.openxmlformats.org/officeDocument/2006/custom-properties" xmlns:vt="http://schemas.openxmlformats.org/officeDocument/2006/docPropsVTypes"/>
</file>