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C6E"/>
        </w:rPr>
        <w:t>Knuct Blockchain Integration</w:t>
      </w:r>
    </w:p>
    <w:p>
      <w:pPr>
        <w:pStyle w:val="Heading1"/>
      </w:pPr>
      <w:r>
        <w:rPr>
          <w:color w:val="1A3C6E"/>
        </w:rPr>
        <w:t>Technical Understanding &amp; Architecture Report (v2 — Enhanced)</w:t>
      </w:r>
    </w:p>
    <w:p>
      <w:r>
        <w:rPr>
          <w:b/>
        </w:rPr>
        <w:t>Project:</w:t>
      </w:r>
      <w:r>
        <w:t xml:space="preserve"> JNTUH SCMS (Smart Campus Management System)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sz w:val="18"/>
        </w:rPr>
        <w:t>atms</w:t>
      </w:r>
    </w:p>
    <w:p>
      <w:r>
        <w:rPr>
          <w:b/>
        </w:rPr>
        <w:t>Document type:</w:t>
      </w:r>
      <w:r>
        <w:t xml:space="preserve"> Integration assessment (vendor API in development)</w:t>
      </w:r>
    </w:p>
    <w:p>
      <w:r>
        <w:rPr>
          <w:b/>
        </w:rPr>
        <w:t>Version:</w:t>
      </w:r>
      <w:r>
        <w:t xml:space="preserve"> 2.0 (Enhanced)</w:t>
      </w:r>
    </w:p>
    <w:p>
      <w:r>
        <w:rPr>
          <w:b/>
        </w:rPr>
        <w:t>Author:</w:t>
      </w:r>
      <w:r>
        <w:t xml:space="preserve"> SCMS Architecture Team</w:t>
      </w:r>
    </w:p>
    <w:p>
      <w:r>
        <w:rPr>
          <w:b/>
        </w:rPr>
        <w:t>Approval status:</w:t>
      </w:r>
      <w:r>
        <w:t xml:space="preserve"> Draft — for stakeholder review</w:t>
      </w:r>
    </w:p>
    <w:p>
      <w:r>
        <w:rPr>
          <w:b/>
        </w:rPr>
        <w:t>Date:</w:t>
      </w:r>
      <w:r>
        <w:t xml:space="preserve"> July 2026</w:t>
      </w:r>
    </w:p>
    <w:p>
      <w:r>
        <w:rPr>
          <w:b/>
        </w:rPr>
        <w:t>Status:</w:t>
      </w:r>
      <w:r>
        <w:t xml:space="preserve"> Pre-diligence — no vendor commercial/technical commitment made yet</w:t>
      </w:r>
    </w:p>
    <w:p/>
    <w:p>
      <w:pPr>
        <w:pStyle w:val="Heading1"/>
      </w:pPr>
      <w:r>
        <w:rPr>
          <w:color w:val="1A3C6E"/>
        </w:rPr>
        <w:t>1. Executive Summary</w:t>
      </w:r>
    </w:p>
    <w:p>
      <w:r>
        <w:t xml:space="preserve">This report maps the </w:t>
      </w:r>
      <w:r>
        <w:rPr>
          <w:b/>
        </w:rPr>
        <w:t>Knuct</w:t>
      </w:r>
      <w:r>
        <w:t xml:space="preserve"> proprietary blockchain protocol and its documented Wallet/DID creation API to the </w:t>
      </w:r>
      <w:r>
        <w:rPr>
          <w:b/>
        </w:rPr>
        <w:t>JNTUH SCMS</w:t>
      </w:r>
      <w:r>
        <w:t xml:space="preserve"> application. SCMS is an Attendance Management System (AMS) plus Learning Management System (LMS) built on Next.js, PostgreSQL (Neon), Prisma, next-auth, and role-based APIs. </w:t>
      </w:r>
      <w:r>
        <w:rPr>
          <w:b/>
        </w:rPr>
        <w:t>There is no blockchain integration in the codebase today.</w:t>
      </w:r>
    </w:p>
    <w:p>
      <w:r>
        <w:rPr>
          <w:b/>
        </w:rPr>
        <w:t>Recommendation:</w:t>
      </w:r>
      <w:r>
        <w:t xml:space="preserve"> Treat Knuct as a third-party vendor dependency in active development — not a stable production core. Wrap all Knuct calls behind an internal adapter (mirroring the existing </w:t>
      </w:r>
      <w:r>
        <w:rPr>
          <w:rFonts w:ascii="Consolas" w:hAnsi="Consolas"/>
          <w:sz w:val="18"/>
        </w:rPr>
        <w:t>face-verification.ts</w:t>
      </w:r>
      <w:r>
        <w:t xml:space="preserve"> stub pattern). Keep PostgreSQL as the system of record; use Knuct for decentralized identity (DID), optional tamper-evident anchoring, and future verifiable credentials once certificate APIs are documented.</w:t>
      </w:r>
    </w:p>
    <w:p>
      <w:r>
        <w:rPr>
          <w:b/>
        </w:rPr>
        <w:t>Rough sequencing:</w:t>
      </w:r>
      <w:r>
        <w:t xml:space="preserve"> Phase 0 (vendor diligence) and Phase 1 (wallet/DID PoC) are the only phases that can start today — everything downstream is blocked on Knuct producing certificate/credential APIs. Treat Phase 1 as a bounded, reversible pilot (e.g., one college / one cohort) rather than a campus-wide rollout, until Phase 0 questions (Section 14) are answered in writing by the vendor.</w:t>
      </w:r>
    </w:p>
    <w:p>
      <w:r>
        <w:rPr>
          <w:b/>
        </w:rPr>
        <w:t>Commercial framing:</w:t>
      </w:r>
      <w:r>
        <w:t xml:space="preserve"> Given the vendor's own documentation describes the wallet service as "in development mode," burden of proof that this is production-viable for a real student population should sit with Knuct — request a written SLA, a staging tenant separate from the public dev sandbox, and a sample of the certificate/mint APIs before Phase 2 scoping begins.</w:t>
      </w:r>
    </w:p>
    <w:p/>
    <w:p>
      <w:pPr>
        <w:pStyle w:val="Heading1"/>
      </w:pPr>
      <w:r>
        <w:rPr>
          <w:color w:val="1A3C6E"/>
        </w:rPr>
        <w:t>2. What Knuct Is (Vendor Summary)</w:t>
      </w:r>
    </w:p>
    <w:p>
      <w:r>
        <w:t>Knuct is positioned as a Java-based blockchain alternative to Ethereum/Bitcoin-style chains.</w:t>
      </w:r>
    </w:p>
    <w:p>
      <w:r>
        <w:rPr>
          <w:b/>
        </w:rPr>
        <w:t>Claimed architecture layers (top to bottom):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-------</w:t>
            </w:r>
          </w:p>
        </w:tc>
        <w:tc>
          <w:tcPr>
            <w:tcW w:type="dxa" w:w="4680"/>
          </w:tcPr>
          <w:p>
            <w:r/>
            <w:r>
              <w:t>-------------</w:t>
            </w:r>
          </w:p>
        </w:tc>
      </w:tr>
      <w:tr>
        <w:tc>
          <w:tcPr>
            <w:tcW w:type="dxa" w:w="4680"/>
          </w:tcPr>
          <w:p>
            <w:r/>
            <w:r>
              <w:t>Application Layer</w:t>
            </w:r>
          </w:p>
        </w:tc>
        <w:tc>
          <w:tcPr>
            <w:tcW w:type="dxa" w:w="4680"/>
          </w:tcPr>
          <w:p>
            <w:r/>
            <w:r>
              <w:t>DApps and smart contracts</w:t>
            </w:r>
          </w:p>
        </w:tc>
      </w:tr>
      <w:tr>
        <w:tc>
          <w:tcPr>
            <w:tcW w:type="dxa" w:w="4680"/>
          </w:tcPr>
          <w:p>
            <w:r/>
            <w:r>
              <w:t>Wallet Layer</w:t>
            </w:r>
          </w:p>
        </w:tc>
        <w:tc>
          <w:tcPr>
            <w:tcW w:type="dxa" w:w="4680"/>
          </w:tcPr>
          <w:p>
            <w:r/>
            <w:r>
              <w:t>Mobile, PC, USB, smart card wallets</w:t>
            </w:r>
          </w:p>
        </w:tc>
      </w:tr>
      <w:tr>
        <w:tc>
          <w:tcPr>
            <w:tcW w:type="dxa" w:w="4680"/>
          </w:tcPr>
          <w:p>
            <w:r/>
            <w:r>
              <w:t>Consensus Layer</w:t>
            </w:r>
          </w:p>
        </w:tc>
        <w:tc>
          <w:tcPr>
            <w:tcW w:type="dxa" w:w="4680"/>
          </w:tcPr>
          <w:p>
            <w:r/>
            <w:r>
              <w:t>Rapid Multi Party Consensus (PBFT variant)</w:t>
            </w:r>
          </w:p>
        </w:tc>
      </w:tr>
      <w:tr>
        <w:tc>
          <w:tcPr>
            <w:tcW w:type="dxa" w:w="4680"/>
          </w:tcPr>
          <w:p>
            <w:r/>
            <w:r>
              <w:t>Tokens Layer</w:t>
            </w:r>
          </w:p>
        </w:tc>
        <w:tc>
          <w:tcPr>
            <w:tcW w:type="dxa" w:w="4680"/>
          </w:tcPr>
          <w:p>
            <w:r/>
            <w:r>
              <w:t>Identity, Utility, and Asset tokens</w:t>
            </w:r>
          </w:p>
        </w:tc>
      </w:tr>
      <w:tr>
        <w:tc>
          <w:tcPr>
            <w:tcW w:type="dxa" w:w="4680"/>
          </w:tcPr>
          <w:p>
            <w:r/>
            <w:r>
              <w:t>Network Layer</w:t>
            </w:r>
          </w:p>
        </w:tc>
        <w:tc>
          <w:tcPr>
            <w:tcW w:type="dxa" w:w="4680"/>
          </w:tcPr>
          <w:p>
            <w:r/>
            <w:r>
              <w:t>Knuct Tokenchain (per-token ledgers)</w:t>
            </w:r>
          </w:p>
        </w:tc>
      </w:tr>
      <w:tr>
        <w:tc>
          <w:tcPr>
            <w:tcW w:type="dxa" w:w="4680"/>
          </w:tcPr>
          <w:p>
            <w:r/>
            <w:r>
              <w:t>Storage Layer</w:t>
            </w:r>
          </w:p>
        </w:tc>
        <w:tc>
          <w:tcPr>
            <w:tcW w:type="dxa" w:w="4680"/>
          </w:tcPr>
          <w:p>
            <w:r/>
            <w:r>
              <w:t>IPFS-based distributed storage</w:t>
            </w:r>
          </w:p>
        </w:tc>
      </w:tr>
    </w:tbl>
    <w:p/>
    <w:p>
      <w:r>
        <w:t xml:space="preserve">Marketing claims (1M TPS, post-quantum immunity via NLSS, proof-of-publish consensus) are </w:t>
      </w:r>
      <w:r>
        <w:rPr>
          <w:b/>
        </w:rPr>
        <w:t>not independently verified</w:t>
      </w:r>
      <w:r>
        <w:t xml:space="preserve"> in the materials reviewed. Patent references are applications, not confirmed grants. External-facing SCMS materials should avoid unverified security claims.</w:t>
      </w:r>
    </w:p>
    <w:p>
      <w:pPr>
        <w:pStyle w:val="Heading2"/>
      </w:pPr>
      <w:r>
        <w:rPr>
          <w:color w:val="1A3C6E"/>
        </w:rPr>
        <w:t>2.1 Standards-conformance flag</w:t>
      </w:r>
    </w:p>
    <w:p>
      <w:r>
        <w:t xml:space="preserve">Knuct's "DID" is returned as an IPFS-style CID string (e.g. </w:t>
      </w:r>
      <w:r>
        <w:rPr>
          <w:rFonts w:ascii="Consolas" w:hAnsi="Consolas"/>
          <w:sz w:val="18"/>
        </w:rPr>
        <w:t>QmXksoHVjTpfX9a7...</w:t>
      </w:r>
      <w:r>
        <w:t xml:space="preserve">), not a W3C-conformant </w:t>
      </w:r>
      <w:r>
        <w:rPr>
          <w:rFonts w:ascii="Consolas" w:hAnsi="Consolas"/>
          <w:sz w:val="18"/>
        </w:rPr>
        <w:t>did:</w:t>
      </w:r>
      <w:r>
        <w:t xml:space="preserve"> URI (no DID method prefix, no resolvable DID Document, no documented </w:t>
      </w:r>
      <w:r>
        <w:rPr>
          <w:rFonts w:ascii="Consolas" w:hAnsi="Consolas"/>
          <w:sz w:val="18"/>
        </w:rPr>
        <w:t>did:knuct:*</w:t>
      </w:r>
      <w:r>
        <w:t xml:space="preserve"> method spec). This matters for SCMS because:</w:t>
      </w:r>
    </w:p>
    <w:p>
      <w:pPr>
        <w:pStyle w:val="ListBullet"/>
      </w:pPr>
      <w:r>
        <w:t>If SCMS ever needs to interoperate with external verifiers (UGC/AICTE systems, other universities, employer verification portals), a non-standard identifier is a real integration cost later.</w:t>
      </w:r>
    </w:p>
    <w:p>
      <w:pPr>
        <w:pStyle w:val="ListBullet"/>
      </w:pPr>
      <w:r>
        <w:t>Ask the vendor directly whether a W3C DID Document / resolver exists or is planned. If not, budget for an internal mapping layer (</w:t>
      </w:r>
      <w:r>
        <w:rPr>
          <w:rFonts w:ascii="Consolas" w:hAnsi="Consolas"/>
          <w:sz w:val="18"/>
        </w:rPr>
        <w:t>KnuctWallet.did</w:t>
      </w:r>
      <w:r>
        <w:t xml:space="preserve"> → an internally-issued </w:t>
      </w:r>
      <w:r>
        <w:rPr>
          <w:rFonts w:ascii="Consolas" w:hAnsi="Consolas"/>
          <w:sz w:val="18"/>
        </w:rPr>
        <w:t>did:web:</w:t>
      </w:r>
      <w:r>
        <w:t xml:space="preserve"> or </w:t>
      </w:r>
      <w:r>
        <w:rPr>
          <w:rFonts w:ascii="Consolas" w:hAnsi="Consolas"/>
          <w:sz w:val="18"/>
        </w:rPr>
        <w:t>did:key:</w:t>
      </w:r>
      <w:r>
        <w:t xml:space="preserve"> identifier that SCMS controls and that </w:t>
      </w:r>
      <w:r>
        <w:rPr>
          <w:i/>
        </w:rPr>
        <w:t>references</w:t>
      </w:r>
      <w:r>
        <w:t xml:space="preserve"> the Knuct CID as an attribute) so SCMS isn't structurally locked into a single vendor's identifier format.</w:t>
      </w:r>
    </w:p>
    <w:p/>
    <w:p>
      <w:pPr>
        <w:pStyle w:val="Heading1"/>
      </w:pPr>
      <w:r>
        <w:rPr>
          <w:color w:val="1A3C6E"/>
        </w:rPr>
        <w:t>3. Documented Knuct API (Wallet + DID Only)</w:t>
      </w:r>
    </w:p>
    <w:p>
      <w:r>
        <w:rPr>
          <w:b/>
        </w:rPr>
        <w:t>Base host:</w:t>
      </w:r>
      <w:r>
        <w:t xml:space="preserve"> </w:t>
      </w:r>
      <w:r>
        <w:rPr>
          <w:rFonts w:ascii="Consolas" w:hAnsi="Consolas"/>
          <w:sz w:val="18"/>
        </w:rPr>
        <w:t>https://webwallet.knuct.com</w:t>
      </w:r>
      <w:r>
        <w:t xml:space="preserve"> (development/test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Critical constraint</w:t>
            </w:r>
          </w:p>
        </w:tc>
      </w:tr>
      <w:tr>
        <w:tc>
          <w:tcPr>
            <w:tcW w:type="dxa" w:w="2340"/>
          </w:tcPr>
          <w:p>
            <w:r/>
            <w:r>
              <w:t>------</w:t>
            </w:r>
          </w:p>
        </w:tc>
        <w:tc>
          <w:tcPr>
            <w:tcW w:type="dxa" w:w="2340"/>
          </w:tcPr>
          <w:p>
            <w:r/>
            <w:r>
              <w:t>----------</w:t>
            </w:r>
          </w:p>
        </w:tc>
        <w:tc>
          <w:tcPr>
            <w:tcW w:type="dxa" w:w="2340"/>
          </w:tcPr>
          <w:p>
            <w:r/>
            <w:r>
              <w:t>---------</w:t>
            </w:r>
          </w:p>
        </w:tc>
        <w:tc>
          <w:tcPr>
            <w:tcW w:type="dxa" w:w="2340"/>
          </w:tcPr>
          <w:p>
            <w:r/>
            <w:r>
              <w:t>---------------------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GET /sapi/starttempnode</w:t>
            </w:r>
          </w:p>
        </w:tc>
        <w:tc>
          <w:tcPr>
            <w:tcW w:type="dxa" w:w="2340"/>
          </w:tcPr>
          <w:p>
            <w:r/>
            <w:r>
              <w:t>Spin up temp node/IPFS for client</w:t>
            </w:r>
          </w:p>
        </w:tc>
        <w:tc>
          <w:tcPr>
            <w:tcW w:type="dxa" w:w="2340"/>
          </w:tcPr>
          <w:p>
            <w:r/>
            <w:r>
              <w:t>Must succeed (204) before step 2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POST /sapi/createwallet</w:t>
            </w:r>
          </w:p>
        </w:tc>
        <w:tc>
          <w:tcPr>
            <w:tcW w:type="dxa" w:w="2340"/>
          </w:tcPr>
          <w:p>
            <w:r/>
            <w:r>
              <w:t>Create wallet + DID</w:t>
            </w:r>
          </w:p>
        </w:tc>
        <w:tc>
          <w:tcPr>
            <w:tcW w:type="dxa" w:w="2340"/>
          </w:tcPr>
          <w:p>
            <w:r/>
            <w:r>
              <w:t>Body: passphrase + 4 seed words from fixed 16-word list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GET /sapi/{privshare}</w:t>
            </w:r>
          </w:p>
        </w:tc>
        <w:tc>
          <w:tcPr>
            <w:tcW w:type="dxa" w:w="2340"/>
          </w:tcPr>
          <w:p>
            <w:r/>
            <w:r>
              <w:t>Download private key share</w:t>
            </w:r>
          </w:p>
        </w:tc>
        <w:tc>
          <w:tcPr>
            <w:tcW w:type="dxa" w:w="2340"/>
          </w:tcPr>
          <w:p>
            <w:r/>
            <w:r>
              <w:t xml:space="preserve">Expires in </w:t>
            </w:r>
            <w:r>
              <w:rPr>
                <w:b/>
              </w:rPr>
              <w:t>2 minutes</w:t>
            </w:r>
            <w:r>
              <w:t>; single session; fetch immediately</w:t>
            </w:r>
          </w:p>
        </w:tc>
      </w:tr>
    </w:tbl>
    <w:p/>
    <w:p>
      <w:r>
        <w:rPr>
          <w:b/>
        </w:rPr>
        <w:t>Integration requirement:</w:t>
      </w:r>
      <w:r>
        <w:t xml:space="preserve"> Persist the downloaded private share blob (encrypted) mapped to the SCMS user record — not the transient </w:t>
      </w:r>
      <w:r>
        <w:rPr>
          <w:rFonts w:ascii="Consolas" w:hAnsi="Consolas"/>
          <w:sz w:val="18"/>
        </w:rPr>
        <w:t>privshare</w:t>
      </w:r>
      <w:r>
        <w:t xml:space="preserve"> URL. No certificate mint, verify, or publish endpoints were included in the reviewed documentation.</w:t>
      </w:r>
    </w:p>
    <w:p>
      <w:r>
        <w:rPr>
          <w:b/>
        </w:rPr>
        <w:t>No documented auth mechanism.</w:t>
      </w:r>
      <w:r>
        <w:t xml:space="preserve"> There is no API key, bearer token, or tenant header in the spec reviewed. Until the vendor clarifies multi-tenant client identification, assume this sandbox is shared/rate-limited and </w:t>
      </w:r>
      <w:r>
        <w:rPr>
          <w:b/>
        </w:rPr>
        <w:t>do not point production traffic at it</w:t>
      </w:r>
      <w:r>
        <w:t>.</w:t>
      </w:r>
    </w:p>
    <w:p/>
    <w:p>
      <w:pPr>
        <w:pStyle w:val="Heading1"/>
      </w:pPr>
      <w:r>
        <w:rPr>
          <w:color w:val="1A3C6E"/>
        </w:rPr>
        <w:t>4. Current SCMS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Key paths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Blockchain today</w:t>
            </w:r>
          </w:p>
        </w:tc>
      </w:tr>
      <w:tr>
        <w:tc>
          <w:tcPr>
            <w:tcW w:type="dxa" w:w="3120"/>
          </w:tcPr>
          <w:p>
            <w:r/>
            <w:r>
              <w:t>--------</w:t>
            </w:r>
          </w:p>
        </w:tc>
        <w:tc>
          <w:tcPr>
            <w:tcW w:type="dxa" w:w="3120"/>
          </w:tcPr>
          <w:p>
            <w:r/>
            <w:r>
              <w:t>-----------</w:t>
            </w:r>
          </w:p>
        </w:tc>
        <w:tc>
          <w:tcPr>
            <w:tcW w:type="dxa" w:w="3120"/>
          </w:tcPr>
          <w:p>
            <w:r/>
            <w:r>
              <w:t>------------------</w:t>
            </w:r>
          </w:p>
        </w:tc>
      </w:tr>
      <w:tr>
        <w:tc>
          <w:tcPr>
            <w:tcW w:type="dxa" w:w="3120"/>
          </w:tcPr>
          <w:p>
            <w:r/>
            <w:r>
              <w:t>Auth &amp; RBAC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src/lib/auth.ts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src/lib/store.ts</w:t>
            </w:r>
          </w:p>
        </w:tc>
        <w:tc>
          <w:tcPr>
            <w:tcW w:type="dxa" w:w="3120"/>
          </w:tcPr>
          <w:p>
            <w:r/>
            <w:r>
              <w:t>None (next-auth credentials + JWT)</w:t>
            </w:r>
          </w:p>
        </w:tc>
      </w:tr>
      <w:tr>
        <w:tc>
          <w:tcPr>
            <w:tcW w:type="dxa" w:w="3120"/>
          </w:tcPr>
          <w:p>
            <w:r/>
            <w:r>
              <w:t>Attendance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src/app/api/attendance/*</w:t>
            </w:r>
          </w:p>
        </w:tc>
        <w:tc>
          <w:tcPr>
            <w:tcW w:type="dxa" w:w="3120"/>
          </w:tcPr>
          <w:p>
            <w:r/>
            <w:r>
              <w:t>None (sessions, geofence, face stub, violations)</w:t>
            </w:r>
          </w:p>
        </w:tc>
      </w:tr>
      <w:tr>
        <w:tc>
          <w:tcPr>
            <w:tcW w:type="dxa" w:w="3120"/>
          </w:tcPr>
          <w:p>
            <w:r/>
            <w:r>
              <w:t>LMS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src/app/api/lms/*</w:t>
            </w:r>
          </w:p>
        </w:tc>
        <w:tc>
          <w:tcPr>
            <w:tcW w:type="dxa" w:w="3120"/>
          </w:tcPr>
          <w:p>
            <w:r/>
            <w:r>
              <w:t>None (courses, assignments, quizzes, gradebook)</w:t>
            </w:r>
          </w:p>
        </w:tc>
      </w:tr>
      <w:tr>
        <w:tc>
          <w:tcPr>
            <w:tcW w:type="dxa" w:w="3120"/>
          </w:tcPr>
          <w:p>
            <w:r/>
            <w:r>
              <w:t>Reports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src/app/api/reports/route.ts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src/lib/report-export.ts</w:t>
            </w:r>
          </w:p>
        </w:tc>
        <w:tc>
          <w:tcPr>
            <w:tcW w:type="dxa" w:w="3120"/>
          </w:tcPr>
          <w:p>
            <w:r/>
            <w:r>
              <w:t>None (analytics + CSV)</w:t>
            </w:r>
          </w:p>
        </w:tc>
      </w:tr>
      <w:tr>
        <w:tc>
          <w:tcPr>
            <w:tcW w:type="dxa" w:w="3120"/>
          </w:tcPr>
          <w:p>
            <w:r/>
            <w:r>
              <w:t>Audit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src/lib/audit.ts</w:t>
            </w:r>
            <w:r>
              <w:t>, AuditLog model</w:t>
            </w:r>
          </w:p>
        </w:tc>
        <w:tc>
          <w:tcPr>
            <w:tcW w:type="dxa" w:w="3120"/>
          </w:tcPr>
          <w:p>
            <w:r/>
            <w:r>
              <w:t>PostgreSQL only</w:t>
            </w:r>
          </w:p>
        </w:tc>
      </w:tr>
      <w:tr>
        <w:tc>
          <w:tcPr>
            <w:tcW w:type="dxa" w:w="3120"/>
          </w:tcPr>
          <w:p>
            <w:r/>
            <w:r>
              <w:t>Users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src/app/api/users/route.ts</w:t>
            </w:r>
          </w:p>
        </w:tc>
        <w:tc>
          <w:tcPr>
            <w:tcW w:type="dxa" w:w="3120"/>
          </w:tcPr>
          <w:p>
            <w:r/>
            <w:r>
              <w:t>None</w:t>
            </w:r>
          </w:p>
        </w:tc>
      </w:tr>
    </w:tbl>
    <w:p/>
    <w:p/>
    <w:p>
      <w:pPr>
        <w:pStyle w:val="Heading1"/>
      </w:pPr>
      <w:r>
        <w:rPr>
          <w:color w:val="1A3C6E"/>
        </w:rPr>
        <w:t>5. Where Knuct Can Be Applied in SCMS</w:t>
      </w:r>
    </w:p>
    <w:p>
      <w:pPr>
        <w:pStyle w:val="Heading2"/>
      </w:pPr>
      <w:r>
        <w:rPr>
          <w:color w:val="1A3C6E"/>
        </w:rPr>
        <w:t>5.1 High-value application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SCMS domain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capability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Readiness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Trigger / hook point</w:t>
            </w:r>
          </w:p>
        </w:tc>
      </w:tr>
      <w:tr>
        <w:tc>
          <w:tcPr>
            <w:tcW w:type="dxa" w:w="2340"/>
          </w:tcPr>
          <w:p>
            <w:r/>
            <w:r>
              <w:t>-------------</w:t>
            </w:r>
          </w:p>
        </w:tc>
        <w:tc>
          <w:tcPr>
            <w:tcW w:type="dxa" w:w="2340"/>
          </w:tcPr>
          <w:p>
            <w:r/>
            <w:r>
              <w:t>------------------</w:t>
            </w:r>
          </w:p>
        </w:tc>
        <w:tc>
          <w:tcPr>
            <w:tcW w:type="dxa" w:w="2340"/>
          </w:tcPr>
          <w:p>
            <w:r/>
            <w:r>
              <w:t>-----------</w:t>
            </w:r>
          </w:p>
        </w:tc>
        <w:tc>
          <w:tcPr>
            <w:tcW w:type="dxa" w:w="2340"/>
          </w:tcPr>
          <w:p>
            <w:r/>
            <w:r>
              <w:t>----------------------</w:t>
            </w:r>
          </w:p>
        </w:tc>
      </w:tr>
      <w:tr>
        <w:tc>
          <w:tcPr>
            <w:tcW w:type="dxa" w:w="2340"/>
          </w:tcPr>
          <w:p>
            <w:r/>
            <w:r>
              <w:t>User identity</w:t>
            </w:r>
          </w:p>
        </w:tc>
        <w:tc>
          <w:tcPr>
            <w:tcW w:type="dxa" w:w="2340"/>
          </w:tcPr>
          <w:p>
            <w:r/>
            <w:r>
              <w:t>DID + wallet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API documented now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POST /api/users</w:t>
            </w:r>
            <w:r>
              <w:t xml:space="preserve"> (user registration)</w:t>
            </w:r>
          </w:p>
        </w:tc>
      </w:tr>
      <w:tr>
        <w:tc>
          <w:tcPr>
            <w:tcW w:type="dxa" w:w="2340"/>
          </w:tcPr>
          <w:p>
            <w:r/>
            <w:r>
              <w:t>Attendance certificate</w:t>
            </w:r>
          </w:p>
        </w:tc>
        <w:tc>
          <w:tcPr>
            <w:tcW w:type="dxa" w:w="2340"/>
          </w:tcPr>
          <w:p>
            <w:r/>
            <w:r>
              <w:t>Asset / identity token</w:t>
            </w:r>
          </w:p>
        </w:tc>
        <w:tc>
          <w:tcPr>
            <w:tcW w:type="dxa" w:w="2340"/>
          </w:tcPr>
          <w:p>
            <w:r/>
            <w:r>
              <w:t>API missing</w:t>
            </w:r>
          </w:p>
        </w:tc>
        <w:tc>
          <w:tcPr>
            <w:tcW w:type="dxa" w:w="2340"/>
          </w:tcPr>
          <w:p>
            <w:r/>
            <w:r>
              <w:t>Reports: 75% compliance threshold</w:t>
            </w:r>
          </w:p>
        </w:tc>
      </w:tr>
      <w:tr>
        <w:tc>
          <w:tcPr>
            <w:tcW w:type="dxa" w:w="2340"/>
          </w:tcPr>
          <w:p>
            <w:r/>
            <w:r>
              <w:t>Grade transcript</w:t>
            </w:r>
          </w:p>
        </w:tc>
        <w:tc>
          <w:tcPr>
            <w:tcW w:type="dxa" w:w="2340"/>
          </w:tcPr>
          <w:p>
            <w:r/>
            <w:r>
              <w:t>Asset token</w:t>
            </w:r>
          </w:p>
        </w:tc>
        <w:tc>
          <w:tcPr>
            <w:tcW w:type="dxa" w:w="2340"/>
          </w:tcPr>
          <w:p>
            <w:r/>
            <w:r>
              <w:t>API missing</w:t>
            </w:r>
          </w:p>
        </w:tc>
        <w:tc>
          <w:tcPr>
            <w:tcW w:type="dxa" w:w="2340"/>
          </w:tcPr>
          <w:p>
            <w:r/>
            <w:r>
              <w:t>LMS gradebook after final grades</w:t>
            </w:r>
          </w:p>
        </w:tc>
      </w:tr>
      <w:tr>
        <w:tc>
          <w:tcPr>
            <w:tcW w:type="dxa" w:w="2340"/>
          </w:tcPr>
          <w:p>
            <w:r/>
            <w:r>
              <w:t>Exam eligibility</w:t>
            </w:r>
          </w:p>
        </w:tc>
        <w:tc>
          <w:tcPr>
            <w:tcW w:type="dxa" w:w="2340"/>
          </w:tcPr>
          <w:p>
            <w:r/>
            <w:r>
              <w:t>Identity attestation</w:t>
            </w:r>
          </w:p>
        </w:tc>
        <w:tc>
          <w:tcPr>
            <w:tcW w:type="dxa" w:w="2340"/>
          </w:tcPr>
          <w:p>
            <w:r/>
            <w:r>
              <w:t>API missing</w:t>
            </w:r>
          </w:p>
        </w:tc>
        <w:tc>
          <w:tcPr>
            <w:tcW w:type="dxa" w:w="2340"/>
          </w:tcPr>
          <w:p>
            <w:r/>
            <w:r>
              <w:t>Dashboard/reports attendance ≥ 75%</w:t>
            </w:r>
          </w:p>
        </w:tc>
      </w:tr>
      <w:tr>
        <w:tc>
          <w:tcPr>
            <w:tcW w:type="dxa" w:w="2340"/>
          </w:tcPr>
          <w:p>
            <w:r/>
            <w:r>
              <w:t>Audit integrity</w:t>
            </w:r>
          </w:p>
        </w:tc>
        <w:tc>
          <w:tcPr>
            <w:tcW w:type="dxa" w:w="2340"/>
          </w:tcPr>
          <w:p>
            <w:r/>
            <w:r>
              <w:t>Proof-of-publish / hash anchor</w:t>
            </w:r>
          </w:p>
        </w:tc>
        <w:tc>
          <w:tcPr>
            <w:tcW w:type="dxa" w:w="2340"/>
          </w:tcPr>
          <w:p>
            <w:r/>
            <w:r>
              <w:t>Partial (hash-only feasible)</w:t>
            </w:r>
          </w:p>
        </w:tc>
        <w:tc>
          <w:tcPr>
            <w:tcW w:type="dxa" w:w="2340"/>
          </w:tcPr>
          <w:p>
            <w:r/>
            <w:r>
              <w:t>Session complete, grade publish, violation review</w:t>
            </w:r>
          </w:p>
        </w:tc>
      </w:tr>
      <w:tr>
        <w:tc>
          <w:tcPr>
            <w:tcW w:type="dxa" w:w="2340"/>
          </w:tcPr>
          <w:p>
            <w:r/>
            <w:r>
              <w:t>Evidence storage</w:t>
            </w:r>
          </w:p>
        </w:tc>
        <w:tc>
          <w:tcPr>
            <w:tcW w:type="dxa" w:w="2340"/>
          </w:tcPr>
          <w:p>
            <w:r/>
            <w:r>
              <w:t>IPFS</w:t>
            </w:r>
          </w:p>
        </w:tc>
        <w:tc>
          <w:tcPr>
            <w:tcW w:type="dxa" w:w="2340"/>
          </w:tcPr>
          <w:p>
            <w:r/>
            <w:r>
              <w:t xml:space="preserve">Via </w:t>
            </w:r>
            <w:r>
              <w:rPr>
                <w:rFonts w:ascii="Consolas" w:hAnsi="Consolas"/>
                <w:sz w:val="18"/>
              </w:rPr>
              <w:t>starttempnode</w:t>
            </w:r>
          </w:p>
        </w:tc>
        <w:tc>
          <w:tcPr>
            <w:tcW w:type="dxa" w:w="2340"/>
          </w:tcPr>
          <w:p>
            <w:r/>
            <w:r>
              <w:t>Selfies, profile images (optional CID reference)</w:t>
            </w:r>
          </w:p>
        </w:tc>
      </w:tr>
    </w:tbl>
    <w:p/>
    <w:p>
      <w:pPr>
        <w:pStyle w:val="Heading2"/>
      </w:pPr>
      <w:r>
        <w:rPr>
          <w:color w:val="1A3C6E"/>
        </w:rPr>
        <w:t>5.2 Areas not aligned (defer)</w:t>
      </w:r>
    </w:p>
    <w:p>
      <w:pPr>
        <w:pStyle w:val="ListBullet"/>
      </w:pPr>
      <w:r>
        <w:t>Replacing PostgreSQL as primary database — SCMS needs relational queries and RBAC</w:t>
      </w:r>
    </w:p>
    <w:p>
      <w:pPr>
        <w:pStyle w:val="ListBullet"/>
      </w:pPr>
      <w:r>
        <w:t>Replacing next-auth login in production — Knuct challenge-response auth not documented; API unstable</w:t>
      </w:r>
    </w:p>
    <w:p>
      <w:pPr>
        <w:pStyle w:val="ListBullet"/>
      </w:pPr>
      <w:r>
        <w:t>Knuct Talk P2P chat — out of SCMS scope</w:t>
      </w:r>
    </w:p>
    <w:p>
      <w:pPr>
        <w:pStyle w:val="ListBullet"/>
      </w:pPr>
      <w:r>
        <w:t xml:space="preserve">Per-request </w:t>
      </w:r>
      <w:r>
        <w:rPr>
          <w:rFonts w:ascii="Consolas" w:hAnsi="Consolas"/>
          <w:sz w:val="18"/>
        </w:rPr>
        <w:t>starttempnode</w:t>
      </w:r>
      <w:r>
        <w:t xml:space="preserve"> at campus scale — concurrency/cost unknown; requires vendor clarification</w:t>
      </w:r>
    </w:p>
    <w:p>
      <w:pPr>
        <w:pStyle w:val="ListBullet"/>
      </w:pPr>
      <w:r>
        <w:t>Marketing claims (1M TPS, post-quantum) in JNTUH UI — unverified</w:t>
      </w:r>
    </w:p>
    <w:p/>
    <w:p>
      <w:pPr>
        <w:pStyle w:val="Heading1"/>
      </w:pPr>
      <w:r>
        <w:rPr>
          <w:color w:val="1A3C6E"/>
        </w:rPr>
        <w:t>6. Proposed Architecture</w:t>
      </w:r>
    </w:p>
    <w:p>
      <w:r>
        <w:t xml:space="preserve">The integration follows an </w:t>
      </w:r>
      <w:r>
        <w:rPr>
          <w:b/>
        </w:rPr>
        <w:t>adapter pattern</w:t>
      </w:r>
      <w:r>
        <w:t xml:space="preserve"> already used for face verification (</w:t>
      </w:r>
      <w:r>
        <w:rPr>
          <w:rFonts w:ascii="Consolas" w:hAnsi="Consolas"/>
          <w:sz w:val="18"/>
        </w:rPr>
        <w:t>src/lib/face-verification.ts</w:t>
      </w:r>
      <w:r>
        <w:t>): core SCMS logic never calls Knuct directly.</w:t>
      </w:r>
    </w:p>
    <w:p>
      <w:pPr>
        <w:pStyle w:val="Heading2"/>
      </w:pPr>
      <w:r>
        <w:rPr>
          <w:color w:val="1A3C6E"/>
        </w:rPr>
        <w:t>6.1 Logical architecture</w:t>
      </w:r>
    </w:p>
    <w:p>
      <w:r>
        <w:rPr>
          <w:i/>
          <w:color w:val="666666"/>
          <w:sz w:val="18"/>
        </w:rPr>
        <w:t>[Architecture diagram — see markdown source for mermaid rendering]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flowchart TB</w:t>
        <w:br/>
        <w:t xml:space="preserve">    subgraph client [Client]</w:t>
        <w:br/>
        <w:t xml:space="preserve">        UI[JNTUH_SCMS_NextJS_UI]</w:t>
        <w:br/>
        <w:t xml:space="preserve">    end</w:t>
        <w:br/>
        <w:br/>
        <w:t xml:space="preserve">    subgraph api [Application]</w:t>
        <w:br/>
        <w:t xml:space="preserve">        Routes[API_Routes]</w:t>
        <w:br/>
        <w:t xml:space="preserve">        PG[(PostgreSQL_System_of_Record)]</w:t>
        <w:br/>
        <w:t xml:space="preserve">        Queue[Job_Queue]</w:t>
        <w:br/>
        <w:t xml:space="preserve">        Breaker[Circuit_Breaker]</w:t>
        <w:br/>
        <w:t xml:space="preserve">        Adapter[Knuct_Adapter]</w:t>
        <w:br/>
        <w:t xml:space="preserve">        Mock[Mock_Adapter]</w:t>
        <w:br/>
        <w:t xml:space="preserve">    end</w:t>
        <w:br/>
        <w:br/>
        <w:t xml:space="preserve">    subgraph vendor [Knuct_Vendor]</w:t>
        <w:br/>
        <w:t xml:space="preserve">        WW[webwallet.knuct.com]</w:t>
        <w:br/>
        <w:t xml:space="preserve">        STN[starttempnode]</w:t>
        <w:br/>
        <w:t xml:space="preserve">        CW[createwallet]</w:t>
        <w:br/>
        <w:t xml:space="preserve">        PS[privshare_2min]</w:t>
        <w:br/>
        <w:t xml:space="preserve">        Future[future_cert_APIs]</w:t>
        <w:br/>
        <w:t xml:space="preserve">    end</w:t>
        <w:br/>
        <w:br/>
        <w:t xml:space="preserve">    UI --&gt; Routes</w:t>
        <w:br/>
        <w:t xml:space="preserve">    Routes --&gt; PG</w:t>
        <w:br/>
        <w:t xml:space="preserve">    Routes --&gt; Queue</w:t>
        <w:br/>
        <w:t xml:space="preserve">    Queue --&gt; Breaker</w:t>
        <w:br/>
        <w:t xml:space="preserve">    Breaker --&gt;|"KNUCT_ENABLED=true, closed"| Adapter</w:t>
        <w:br/>
        <w:t xml:space="preserve">    Breaker --&gt;|"open / disabled"| Mock</w:t>
        <w:br/>
        <w:t xml:space="preserve">    Adapter --&gt; WW</w:t>
        <w:br/>
        <w:t xml:space="preserve">    WW --&gt; STN</w:t>
        <w:br/>
        <w:t xml:space="preserve">    WW --&gt; CW</w:t>
        <w:br/>
        <w:t xml:space="preserve">    WW --&gt; PS</w:t>
        <w:br/>
        <w:t xml:space="preserve">    WW --&gt; Future</w:t>
      </w:r>
    </w:p>
    <w:p>
      <w:pPr>
        <w:pStyle w:val="Heading2"/>
      </w:pPr>
      <w:r>
        <w:rPr>
          <w:color w:val="1A3C6E"/>
        </w:rPr>
        <w:t>6.2 Proposed code structure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src/lib/knuct/</w:t>
        <w:br/>
        <w:t>├── types.ts                 # Shared interfaces</w:t>
        <w:br/>
        <w:t>├── adapter.ts               # KnuctAdapter interface</w:t>
        <w:br/>
        <w:t>├── knuct-client.ts          # HTTP client for vendor API</w:t>
        <w:br/>
        <w:t>├── mock-adapter.ts          # Dev/CI when KNUCT_ENABLED=false</w:t>
        <w:br/>
        <w:t>├── circuit-breaker.ts       # Trip on repeated vendor failures</w:t>
        <w:br/>
        <w:t>├── wallet-service.ts        # provisionWallet(userId)</w:t>
        <w:br/>
        <w:t>├── anchor-service.ts        # anchorHash(resource, payload)</w:t>
        <w:br/>
        <w:t>├── credential-service.ts    # Stub until vendor cert APIs exist</w:t>
        <w:br/>
        <w:t>└── __tests__/</w:t>
        <w:br/>
        <w:t xml:space="preserve">    ├── mock-adapter.test.ts</w:t>
        <w:br/>
        <w:t xml:space="preserve">    └── wallet-service.test.ts</w:t>
      </w:r>
    </w:p>
    <w:p>
      <w:pPr>
        <w:pStyle w:val="Heading2"/>
      </w:pPr>
      <w:r>
        <w:rPr>
          <w:color w:val="1A3C6E"/>
        </w:rPr>
        <w:t>6.3 Adapter interface (concrete, drop into `types.ts` / `adapter.ts`)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// src/lib/knuct/types.ts</w:t>
        <w:br/>
        <w:br/>
        <w:t>export interface KnuctWalletResult {</w:t>
        <w:br/>
        <w:t xml:space="preserve">  did: string;              // vendor CID-style identifier</w:t>
        <w:br/>
        <w:t xml:space="preserve">  privShareUrl: string;     // transient, must be fetched within 2 min</w:t>
        <w:br/>
        <w:t>}</w:t>
        <w:br/>
        <w:br/>
        <w:t>export interface KnuctPrivShare {</w:t>
        <w:br/>
        <w:t xml:space="preserve">  raw: Buffer;               // exact bytes as returned by vendor — format TBC (see Section 3)</w:t>
        <w:br/>
        <w:t xml:space="preserve">  fetchedAt: Date;</w:t>
        <w:br/>
        <w:t>}</w:t>
        <w:br/>
        <w:br/>
        <w:t>export interface KnuctAdapter {</w:t>
        <w:br/>
        <w:t xml:space="preserve">  /** Step 1: warm up a temp node/IPFS instance. Must resolve before createWallet(). */</w:t>
        <w:br/>
        <w:t xml:space="preserve">  startTempNode(): Promise&lt;void&gt;;</w:t>
        <w:br/>
        <w:br/>
        <w:t xml:space="preserve">  /** Step 2: create wallet + DID. Caller supplies passphrase + 4 seed words. */</w:t>
        <w:br/>
        <w:t xml:space="preserve">  createWallet(passphrase: string, seedWords: [string, string, string, string]): Promise&lt;KnuctWalletResult&gt;;</w:t>
        <w:br/>
        <w:br/>
        <w:t xml:space="preserve">  /** Step 3: fetch the private share. MUST be called within 2 minutes of createWallet(). */</w:t>
        <w:br/>
        <w:t xml:space="preserve">  fetchPrivateShare(privShareUrl: string): Promise&lt;KnuctPrivShare&gt;;</w:t>
        <w:br/>
        <w:t>}</w:t>
        <w:br/>
        <w:br/>
        <w:t>export const KNUCT_SEED_WORDS = [</w:t>
        <w:br/>
        <w:t xml:space="preserve">  "Hill", "Bull", "Bag", "Window", "Parrot", "Cloud", "Design", "Zebra",</w:t>
        <w:br/>
        <w:t xml:space="preserve">  "Book", "Cat", "Mobile", "Dog", "Tree", "Computer", "Bottle", "Water",</w:t>
        <w:br/>
        <w:t>] as const;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// src/lib/knuct/wallet-service.ts</w:t>
        <w:br/>
        <w:br/>
        <w:t>import type { KnuctAdapter } from "./types";</w:t>
        <w:br/>
        <w:t>import { randomUUID } from "crypto";</w:t>
        <w:br/>
        <w:t>import { encrypt } from "@/lib/crypto"; // Phase 1: add src/lib/crypto.ts (AES-256-GCM) if not present</w:t>
        <w:br/>
        <w:br/>
        <w:t>export async function provisionWallet(</w:t>
        <w:br/>
        <w:t xml:space="preserve">  adapter: KnuctAdapter,</w:t>
        <w:br/>
        <w:t xml:space="preserve">  userId: string,</w:t>
        <w:br/>
        <w:t xml:space="preserve">  db: PrismaClientLike,</w:t>
        <w:br/>
        <w:t>): Promise&lt;void&gt; {</w:t>
        <w:br/>
        <w:t xml:space="preserve">  try {</w:t>
        <w:br/>
        <w:t xml:space="preserve">    await adapter.startTempNode();</w:t>
        <w:br/>
        <w:br/>
        <w:t xml:space="preserve">    const passphrase = randomUUID();</w:t>
        <w:br/>
        <w:t xml:space="preserve">    const seedWords = pickRandomSeedWords(4); // helper, not shown</w:t>
        <w:br/>
        <w:br/>
        <w:t xml:space="preserve">    const { did, privShareUrl } = await adapter.createWallet(passphrase, seedWords);</w:t>
        <w:br/>
        <w:br/>
        <w:t xml:space="preserve">    // Fetch immediately — this is the 2-minute-critical step.</w:t>
        <w:br/>
        <w:t xml:space="preserve">    const share = await adapter.fetchPrivateShare(privShareUrl);</w:t>
        <w:br/>
        <w:t xml:space="preserve">    const encrypted = encrypt(share.raw, process.env.KNUCT_PRIVSHARE_ENC_KEY!);</w:t>
        <w:br/>
        <w:br/>
        <w:t xml:space="preserve">    await db.knuctWallet.create({</w:t>
        <w:br/>
        <w:t xml:space="preserve">      data: { userId, did, privShareEnc: encrypted, status: "active" },</w:t>
        <w:br/>
        <w:t xml:space="preserve">    });</w:t>
        <w:br/>
        <w:t xml:space="preserve">  } catch (err) {</w:t>
        <w:br/>
        <w:t xml:space="preserve">    await db.knuctWallet.upsert({</w:t>
        <w:br/>
        <w:t xml:space="preserve">      where: { userId },</w:t>
        <w:br/>
        <w:t xml:space="preserve">      update: { status: "failed" },</w:t>
        <w:br/>
        <w:t xml:space="preserve">      create: { userId, did: null, privShareEnc: null, status: "failed" },</w:t>
        <w:br/>
        <w:t xml:space="preserve">    });</w:t>
        <w:br/>
        <w:t xml:space="preserve">    // Never throw up into the user-creation request path — wallet provisioning</w:t>
        <w:br/>
        <w:t xml:space="preserve">    // is best-effort and must not block SCMS core functionality.</w:t>
        <w:br/>
        <w:t xml:space="preserve">    console.error("[knuct] wallet provisioning failed", { userId, err });</w:t>
        <w:br/>
        <w:t xml:space="preserve">  }</w:t>
        <w:br/>
        <w:t>}</w:t>
      </w:r>
    </w:p>
    <w:p>
      <w:pPr>
        <w:pStyle w:val="Heading2"/>
      </w:pPr>
      <w:r>
        <w:rPr>
          <w:color w:val="1A3C6E"/>
        </w:rPr>
        <w:t>6.4 Proposed data model extensions (Prisma)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model KnuctWallet {</w:t>
        <w:br/>
        <w:t xml:space="preserve">  id            String   @id @default(cuid())</w:t>
        <w:br/>
        <w:t xml:space="preserve">  userId        String   @unique</w:t>
        <w:br/>
        <w:t xml:space="preserve">  user          User     @relation(fields: [userId], references: [id])</w:t>
        <w:br/>
        <w:t xml:space="preserve">  did           String?  // vendor CID-style identifier; null if provisioning failed</w:t>
        <w:br/>
        <w:t xml:space="preserve">  privShareEnc  Bytes?   // AES-256-GCM encrypted private share; never expose to client</w:t>
        <w:br/>
        <w:t xml:space="preserve">  status        String   @default("pending") // pending | active | failed</w:t>
        <w:br/>
        <w:t xml:space="preserve">  createdAt     DateTime @default(now())</w:t>
        <w:br/>
        <w:t xml:space="preserve">  updatedAt     DateTime @updatedAt</w:t>
        <w:br/>
        <w:br/>
        <w:t xml:space="preserve">  @@index([status])</w:t>
        <w:br/>
        <w:t>}</w:t>
        <w:br/>
        <w:br/>
        <w:t>model BlockchainAnchor {</w:t>
        <w:br/>
        <w:t xml:space="preserve">  id           String   @id @default(cuid())</w:t>
        <w:br/>
        <w:t xml:space="preserve">  resourceType String   // "attendance_session" | "grade_publish" | "violation_review"</w:t>
        <w:br/>
        <w:t xml:space="preserve">  resourceId   String</w:t>
        <w:br/>
        <w:t xml:space="preserve">  payloadHash  String   // sha256 of the canonical resource payload</w:t>
        <w:br/>
        <w:t xml:space="preserve">  knuctTxRef   String?  // populated once vendor publish API exists; null = hash-only, pending anchor</w:t>
        <w:br/>
        <w:t xml:space="preserve">  status       String   @default("pending") // pending | anchored | unavailable</w:t>
        <w:br/>
        <w:t xml:space="preserve">  createdAt    DateTime @default(now())</w:t>
        <w:br/>
        <w:br/>
        <w:t xml:space="preserve">  @@index([resourceType, resourceId])</w:t>
        <w:br/>
        <w:t>}</w:t>
        <w:br/>
        <w:br/>
        <w:t>model BlockchainCredential {</w:t>
        <w:br/>
        <w:t xml:space="preserve">  id            String   @id @default(cuid())</w:t>
        <w:br/>
        <w:t xml:space="preserve">  studentId     String</w:t>
        <w:br/>
        <w:t xml:space="preserve">  type          String   // "attendance_compliance" | "grade_transcript"</w:t>
        <w:br/>
        <w:t xml:space="preserve">  knuctTokenRef String?</w:t>
        <w:br/>
        <w:t xml:space="preserve">  verifyUrl     String?</w:t>
        <w:br/>
        <w:t xml:space="preserve">  issuedAt      DateTime @default(now())</w:t>
        <w:br/>
        <w:t xml:space="preserve">  revokedAt     DateTime?</w:t>
        <w:br/>
        <w:br/>
        <w:t xml:space="preserve">  @@index([studentId, type])</w:t>
        <w:br/>
        <w:t>}</w:t>
      </w:r>
    </w:p>
    <w:p>
      <w:pPr>
        <w:pStyle w:val="Heading2"/>
      </w:pPr>
      <w:r>
        <w:rPr>
          <w:color w:val="1A3C6E"/>
        </w:rPr>
        <w:t>6.5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</w:tr>
      <w:tr>
        <w:tc>
          <w:tcPr>
            <w:tcW w:type="dxa" w:w="3120"/>
          </w:tcPr>
          <w:p>
            <w:r/>
            <w:r>
              <w:t>----------</w:t>
            </w:r>
          </w:p>
        </w:tc>
        <w:tc>
          <w:tcPr>
            <w:tcW w:type="dxa" w:w="3120"/>
          </w:tcPr>
          <w:p>
            <w:r/>
            <w:r>
              <w:t>---------</w:t>
            </w:r>
          </w:p>
        </w:tc>
        <w:tc>
          <w:tcPr>
            <w:tcW w:type="dxa" w:w="3120"/>
          </w:tcPr>
          <w:p>
            <w:r/>
            <w:r>
              <w:t>---------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KNUCT_ENABLED</w:t>
            </w:r>
          </w:p>
        </w:tc>
        <w:tc>
          <w:tcPr>
            <w:tcW w:type="dxa" w:w="3120"/>
          </w:tcPr>
          <w:p>
            <w:r/>
            <w:r>
              <w:t>Use real vs mock adapter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KNUCT_BASE_URL</w:t>
            </w:r>
          </w:p>
        </w:tc>
        <w:tc>
          <w:tcPr>
            <w:tcW w:type="dxa" w:w="3120"/>
          </w:tcPr>
          <w:p>
            <w:r/>
            <w:r>
              <w:t>Vendor host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https://webwallet.knuct.com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KNUCT_PRIVSHARE_ENC_KEY</w:t>
            </w:r>
          </w:p>
        </w:tc>
        <w:tc>
          <w:tcPr>
            <w:tcW w:type="dxa" w:w="3120"/>
          </w:tcPr>
          <w:p>
            <w:r/>
            <w:r>
              <w:t>Encrypt privshare at rest (32-byte key)</w:t>
            </w:r>
          </w:p>
        </w:tc>
        <w:tc>
          <w:tcPr>
            <w:tcW w:type="dxa" w:w="3120"/>
          </w:tcPr>
          <w:p>
            <w:r/>
            <w:r>
              <w:t>Required in prod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KNUCT_WALLET_ON_USER_CREATE</w:t>
            </w:r>
          </w:p>
        </w:tc>
        <w:tc>
          <w:tcPr>
            <w:tcW w:type="dxa" w:w="3120"/>
          </w:tcPr>
          <w:p>
            <w:r/>
            <w:r>
              <w:t>Auto-provision on user create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KNUCT_MAX_RETRIES</w:t>
            </w:r>
          </w:p>
        </w:tc>
        <w:tc>
          <w:tcPr>
            <w:tcW w:type="dxa" w:w="3120"/>
          </w:tcPr>
          <w:p>
            <w:r/>
            <w:r>
              <w:t xml:space="preserve">Retry attempts for </w:t>
            </w:r>
            <w:r>
              <w:rPr>
                <w:rFonts w:ascii="Consolas" w:hAnsi="Consolas"/>
                <w:sz w:val="18"/>
              </w:rPr>
              <w:t>startTempNode</w:t>
            </w:r>
            <w:r>
              <w:t>/</w:t>
            </w:r>
            <w:r>
              <w:rPr>
                <w:rFonts w:ascii="Consolas" w:hAnsi="Consolas"/>
                <w:sz w:val="18"/>
              </w:rPr>
              <w:t>createWallet</w:t>
            </w:r>
            <w:r>
              <w:t xml:space="preserve"> (not privshare fetch — that's time-boxed, not retry-safe)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KNUCT_CIRCUIT_BREAKER_THRESHOLD</w:t>
            </w:r>
          </w:p>
        </w:tc>
        <w:tc>
          <w:tcPr>
            <w:tcW w:type="dxa" w:w="3120"/>
          </w:tcPr>
          <w:p>
            <w:r/>
            <w:r>
              <w:t>Consecutive failures before disabling Knuct calls for a cooldown window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5</w:t>
            </w:r>
          </w:p>
        </w:tc>
      </w:tr>
    </w:tbl>
    <w:p/>
    <w:p/>
    <w:p>
      <w:pPr>
        <w:pStyle w:val="Heading1"/>
      </w:pPr>
      <w:r>
        <w:rPr>
          <w:color w:val="1A3C6E"/>
        </w:rPr>
        <w:t>7. Integration Flow — Wallet Provisioning</w:t>
      </w:r>
    </w:p>
    <w:p>
      <w:r>
        <w:t>Sequence for new user registration (server-side only):</w:t>
      </w:r>
    </w:p>
    <w:p>
      <w:pPr>
        <w:pStyle w:val="ListNumber"/>
      </w:pPr>
      <w:r>
        <w:t xml:space="preserve">Admin creates user via </w:t>
      </w:r>
      <w:r>
        <w:rPr>
          <w:rFonts w:ascii="Consolas" w:hAnsi="Consolas"/>
          <w:sz w:val="18"/>
        </w:rPr>
        <w:t>POST /api/users</w:t>
      </w:r>
      <w:r>
        <w:t>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18"/>
        </w:rPr>
        <w:t>KNUCT_WALLET_ON_USER_CREATE=true</w:t>
      </w:r>
      <w:r>
        <w:t xml:space="preserve">, enqueue a wallet job via an </w:t>
      </w:r>
      <w:r>
        <w:rPr>
          <w:b/>
        </w:rPr>
        <w:t>in-process async worker</w:t>
      </w:r>
      <w:r>
        <w:t xml:space="preserve"> for the Phase 1 pilot (do not block the HTTP response on the 2-minute window). A </w:t>
      </w:r>
      <w:r>
        <w:rPr>
          <w:b/>
        </w:rPr>
        <w:t>dedicated job queue</w:t>
      </w:r>
      <w:r>
        <w:t xml:space="preserve"> (e.g. BullMQ) is deferred to Phase 4 hardening.</w:t>
      </w:r>
    </w:p>
    <w:p>
      <w:pPr>
        <w:pStyle w:val="ListNumber"/>
      </w:pPr>
      <w:r>
        <w:t xml:space="preserve">Job worker calls </w:t>
      </w:r>
      <w:r>
        <w:rPr>
          <w:rFonts w:ascii="Consolas" w:hAnsi="Consolas"/>
          <w:sz w:val="18"/>
        </w:rPr>
        <w:t>startTempNode()</w:t>
      </w:r>
      <w:r>
        <w:t xml:space="preserve"> → waits for success.</w:t>
      </w:r>
    </w:p>
    <w:p>
      <w:pPr>
        <w:pStyle w:val="ListNumber"/>
      </w:pPr>
      <w:r>
        <w:t xml:space="preserve">Job worker calls </w:t>
      </w:r>
      <w:r>
        <w:rPr>
          <w:rFonts w:ascii="Consolas" w:hAnsi="Consolas"/>
          <w:sz w:val="18"/>
        </w:rPr>
        <w:t>createWallet()</w:t>
      </w:r>
      <w:r>
        <w:t xml:space="preserve"> with UUID passphrase + 4 seed words.</w:t>
      </w:r>
    </w:p>
    <w:p>
      <w:pPr>
        <w:pStyle w:val="ListNumber"/>
      </w:pPr>
      <w:r>
        <w:rPr>
          <w:b/>
        </w:rPr>
        <w:t>Immediately</w:t>
      </w:r>
      <w:r>
        <w:t xml:space="preserve"> (same job execution, no queue hop in between) fetches the privshare.</w:t>
      </w:r>
    </w:p>
    <w:p>
      <w:pPr>
        <w:pStyle w:val="ListNumber"/>
      </w:pPr>
      <w:r>
        <w:t xml:space="preserve">Encrypts privshare blob; stores in </w:t>
      </w:r>
      <w:r>
        <w:rPr>
          <w:rFonts w:ascii="Consolas" w:hAnsi="Consolas"/>
          <w:sz w:val="18"/>
        </w:rPr>
        <w:t>KnuctWallet</w:t>
      </w:r>
      <w:r>
        <w:t xml:space="preserve"> linked to </w:t>
      </w:r>
      <w:r>
        <w:rPr>
          <w:rFonts w:ascii="Consolas" w:hAnsi="Consolas"/>
          <w:sz w:val="18"/>
        </w:rPr>
        <w:t>userId</w:t>
      </w:r>
      <w:r>
        <w:t>.</w:t>
      </w:r>
    </w:p>
    <w:p>
      <w:pPr>
        <w:pStyle w:val="ListNumber"/>
      </w:pPr>
      <w:r>
        <w:t xml:space="preserve">Stores DID on </w:t>
      </w:r>
      <w:r>
        <w:rPr>
          <w:rFonts w:ascii="Consolas" w:hAnsi="Consolas"/>
          <w:sz w:val="18"/>
        </w:rPr>
        <w:t>KnuctWallet</w:t>
      </w:r>
      <w:r>
        <w:t>; never logs seed words or plaintext privshare (add an explicit lint/log-scrub rule for this).</w:t>
      </w:r>
    </w:p>
    <w:p>
      <w:pPr>
        <w:pStyle w:val="ListNumber"/>
      </w:pPr>
      <w:r>
        <w:t xml:space="preserve">On failure at any step: mark </w:t>
      </w:r>
      <w:r>
        <w:rPr>
          <w:rFonts w:ascii="Consolas" w:hAnsi="Consolas"/>
          <w:sz w:val="18"/>
        </w:rPr>
        <w:t>status=failed</w:t>
      </w:r>
      <w:r>
        <w:t>; SCMS user remains fully usable without blockchain features; surface a retry action in the admin UI rather than auto-retrying indefinitely.</w:t>
      </w:r>
    </w:p>
    <w:p>
      <w:r>
        <w:rPr>
          <w:i/>
          <w:color w:val="666666"/>
          <w:sz w:val="18"/>
        </w:rPr>
        <w:t>[Architecture diagram — see markdown source for mermaid rendering]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sequenceDiagram</w:t>
        <w:br/>
        <w:t xml:space="preserve">    participant Admin</w:t>
        <w:br/>
        <w:t xml:space="preserve">    participant UsersAPI as POST_api_users</w:t>
        <w:br/>
        <w:t xml:space="preserve">    participant Queue as job_queue</w:t>
        <w:br/>
        <w:t xml:space="preserve">    participant WalletSvc as wallet_service</w:t>
        <w:br/>
        <w:t xml:space="preserve">    participant Knuct as webwallet_knuct</w:t>
        <w:br/>
        <w:t xml:space="preserve">    participant DB as PostgreSQL</w:t>
        <w:br/>
        <w:br/>
        <w:t xml:space="preserve">    Admin-&gt;&gt;UsersAPI: Create user</w:t>
        <w:br/>
        <w:t xml:space="preserve">    UsersAPI-&gt;&gt;DB: Insert User</w:t>
        <w:br/>
        <w:t xml:space="preserve">    UsersAPI-&gt;&gt;Queue: enqueue provisionWallet(userId)</w:t>
        <w:br/>
        <w:t xml:space="preserve">    Queue-&gt;&gt;WalletSvc: run job</w:t>
        <w:br/>
        <w:t xml:space="preserve">    WalletSvc-&gt;&gt;Knuct: GET starttempnode</w:t>
        <w:br/>
        <w:t xml:space="preserve">    Knuct--&gt;&gt;WalletSvc: 204</w:t>
        <w:br/>
        <w:t xml:space="preserve">    WalletSvc-&gt;&gt;Knuct: POST createwallet</w:t>
        <w:br/>
        <w:t xml:space="preserve">    Knuct--&gt;&gt;WalletSvc: DID + privshare URL</w:t>
        <w:br/>
        <w:t xml:space="preserve">    WalletSvc-&gt;&gt;Knuct: GET privshare (within 2 min)</w:t>
        <w:br/>
        <w:t xml:space="preserve">    Knuct--&gt;&gt;WalletSvc: privshare blob</w:t>
        <w:br/>
        <w:t xml:space="preserve">    WalletSvc-&gt;&gt;DB: KnuctWallet (encrypted)</w:t>
        <w:br/>
        <w:t xml:space="preserve">    alt any step fails</w:t>
        <w:br/>
        <w:t xml:space="preserve">        WalletSvc-&gt;&gt;DB: KnuctWallet status=failed</w:t>
        <w:br/>
        <w:t xml:space="preserve">        WalletSvc--&gt;&gt;Admin: surface retry action (no hard failure)</w:t>
        <w:br/>
        <w:t xml:space="preserve">    end</w:t>
      </w:r>
    </w:p>
    <w:p/>
    <w:p>
      <w:pPr>
        <w:pStyle w:val="Heading1"/>
      </w:pPr>
      <w:r>
        <w:rPr>
          <w:color w:val="1A3C6E"/>
        </w:rPr>
        <w:t>8. Security &amp; Compliance</w:t>
      </w:r>
    </w:p>
    <w:p>
      <w:r>
        <w:t xml:space="preserve">SCMS handles student PII (attendance, grades, biometric-adjacent face-verification data) subject to India's </w:t>
      </w:r>
      <w:r>
        <w:rPr>
          <w:b/>
        </w:rPr>
        <w:t>Digital Personal Data Protection Act, 2023 (DPDP)</w:t>
      </w:r>
      <w:r>
        <w:t>. Blockchain adds specific considerations:</w:t>
      </w:r>
    </w:p>
    <w:p>
      <w:pPr>
        <w:pStyle w:val="ListBullet"/>
      </w:pPr>
      <w:r>
        <w:rPr>
          <w:b/>
        </w:rPr>
        <w:t>Right to erasure vs. immutability.</w:t>
      </w:r>
      <w:r>
        <w:t xml:space="preserve"> DPDP grants data-principal erasure rights; a blockchain anchor is, by design, not erasable. Anchor </w:t>
      </w:r>
      <w:r>
        <w:rPr>
          <w:i/>
        </w:rPr>
        <w:t>hashes</w:t>
      </w:r>
      <w:r>
        <w:t xml:space="preserve"> of resource payloads, never raw PII, so an erasure request only requires deleting the PostgreSQL row — the anchored hash becomes an orphaned, non-reversible fingerprint with no PII inside it.</w:t>
      </w:r>
    </w:p>
    <w:p>
      <w:pPr>
        <w:pStyle w:val="ListBullet"/>
      </w:pPr>
      <w:r>
        <w:rPr>
          <w:b/>
        </w:rPr>
        <w:t>Private share custody.</w:t>
      </w:r>
      <w:r>
        <w:t xml:space="preserve"> The privshare is effectively a private key. Encrypt at rest using AES-256-GCM, store the encryption key in a secrets manager (not </w:t>
      </w:r>
      <w:r>
        <w:rPr>
          <w:rFonts w:ascii="Consolas" w:hAnsi="Consolas"/>
          <w:sz w:val="18"/>
        </w:rPr>
        <w:t>.env</w:t>
      </w:r>
      <w:r>
        <w:t xml:space="preserve"> in the repo), and never expose the decrypted share to any client-side code path.</w:t>
      </w:r>
    </w:p>
    <w:p>
      <w:pPr>
        <w:pStyle w:val="ListBullet"/>
      </w:pPr>
      <w:r>
        <w:rPr>
          <w:b/>
        </w:rPr>
        <w:t>Consent.</w:t>
      </w:r>
      <w:r>
        <w:t xml:space="preserve"> If wallet creation is mandatory at signup, add a plain-language notice (not just a checkbox) that a DID is being created and what data (none, if hash-only anchoring) is exposed on a public/consortium ledger.</w:t>
      </w:r>
    </w:p>
    <w:p>
      <w:pPr>
        <w:pStyle w:val="ListBullet"/>
      </w:pPr>
      <w:r>
        <w:rPr>
          <w:b/>
        </w:rPr>
        <w:t>Vendor data-processing agreement.</w:t>
      </w:r>
      <w:r>
        <w:t xml:space="preserve"> Before any production traffic hits </w:t>
      </w:r>
      <w:r>
        <w:rPr>
          <w:rFonts w:ascii="Consolas" w:hAnsi="Consolas"/>
          <w:sz w:val="18"/>
        </w:rPr>
        <w:t>webwallet.knuct.com</w:t>
      </w:r>
      <w:r>
        <w:t>, confirm where that server is hosted and whether a DPA is in place — this is a third-party sub-processor of student data by virtue of holding the private share, even if encrypted client-side.</w:t>
      </w:r>
    </w:p>
    <w:p/>
    <w:p>
      <w:pPr>
        <w:pStyle w:val="Heading1"/>
      </w:pPr>
      <w:r>
        <w:rPr>
          <w:color w:val="1A3C6E"/>
        </w:rPr>
        <w:t>9.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680"/>
          </w:tcPr>
          <w:p>
            <w:r/>
            <w:r>
              <w:t>-------</w:t>
            </w:r>
          </w:p>
        </w:tc>
        <w:tc>
          <w:tcPr>
            <w:tcW w:type="dxa" w:w="4680"/>
          </w:tcPr>
          <w:p>
            <w:r/>
            <w:r>
              <w:t>----------</w:t>
            </w:r>
          </w:p>
        </w:tc>
      </w:tr>
      <w:tr>
        <w:tc>
          <w:tcPr>
            <w:tcW w:type="dxa" w:w="4680"/>
          </w:tcPr>
          <w:p>
            <w:r/>
            <w:r>
              <w:t>Unit</w:t>
            </w:r>
          </w:p>
        </w:tc>
        <w:tc>
          <w:tcPr>
            <w:tcW w:type="dxa" w:w="4680"/>
          </w:tcPr>
          <w:p>
            <w:r/>
            <w:r>
              <w:t xml:space="preserve">Test </w:t>
            </w:r>
            <w:r>
              <w:rPr>
                <w:rFonts w:ascii="Consolas" w:hAnsi="Consolas"/>
                <w:sz w:val="18"/>
              </w:rPr>
              <w:t>wallet-service.ts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anchor-service.ts</w:t>
            </w:r>
            <w:r>
              <w:t xml:space="preserve"> exclusively against </w:t>
            </w:r>
            <w:r>
              <w:rPr>
                <w:rFonts w:ascii="Consolas" w:hAnsi="Consolas"/>
                <w:sz w:val="18"/>
              </w:rPr>
              <w:t>mock-adapter.ts</w:t>
            </w:r>
            <w:r>
              <w:t>; assert failure paths never throw into the caller</w:t>
            </w:r>
          </w:p>
        </w:tc>
      </w:tr>
      <w:tr>
        <w:tc>
          <w:tcPr>
            <w:tcW w:type="dxa" w:w="4680"/>
          </w:tcPr>
          <w:p>
            <w:r/>
            <w:r>
              <w:t>Contract</w:t>
            </w:r>
          </w:p>
        </w:tc>
        <w:tc>
          <w:tcPr>
            <w:tcW w:type="dxa" w:w="4680"/>
          </w:tcPr>
          <w:p>
            <w:r/>
            <w:r>
              <w:t>A small, separately-run integration test suite (</w:t>
            </w:r>
            <w:r>
              <w:rPr>
                <w:rFonts w:ascii="Consolas" w:hAnsi="Consolas"/>
                <w:sz w:val="18"/>
              </w:rPr>
              <w:t>KNUCT_ENABLED=true</w:t>
            </w:r>
            <w:r>
              <w:t>, run manually / nightly, not in CI-on-every-PR) that hits the real sandbox and validates the 3-step flow still matches the documented shapes — vendor is in active dev, so response shape drift is a real risk</w:t>
            </w:r>
          </w:p>
        </w:tc>
      </w:tr>
      <w:tr>
        <w:tc>
          <w:tcPr>
            <w:tcW w:type="dxa" w:w="4680"/>
          </w:tcPr>
          <w:p>
            <w:r/>
            <w:r>
              <w:t>Load/concurrency</w:t>
            </w:r>
          </w:p>
        </w:tc>
        <w:tc>
          <w:tcPr>
            <w:tcW w:type="dxa" w:w="4680"/>
          </w:tcPr>
          <w:p>
            <w:r/>
            <w:r>
              <w:t xml:space="preserve">Before Phase 1 pilot, script N sequential </w:t>
            </w:r>
            <w:r>
              <w:rPr>
                <w:rFonts w:ascii="Consolas" w:hAnsi="Consolas"/>
                <w:sz w:val="18"/>
              </w:rPr>
              <w:t>startTempNode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createWallet</w:t>
            </w:r>
            <w:r>
              <w:t xml:space="preserve"> calls (start with N=10) to observe vendor sandbox behavior under light concurrency — this doubles as informal answer-gathering for the open question on </w:t>
            </w:r>
            <w:r>
              <w:rPr>
                <w:rFonts w:ascii="Consolas" w:hAnsi="Consolas"/>
                <w:sz w:val="18"/>
              </w:rPr>
              <w:t>starttempnode</w:t>
            </w:r>
            <w:r>
              <w:t xml:space="preserve"> reuse (Section 14)</w:t>
            </w:r>
          </w:p>
        </w:tc>
      </w:tr>
      <w:tr>
        <w:tc>
          <w:tcPr>
            <w:tcW w:type="dxa" w:w="4680"/>
          </w:tcPr>
          <w:p>
            <w:r/>
            <w:r>
              <w:t>Rollback drill</w:t>
            </w:r>
          </w:p>
        </w:tc>
        <w:tc>
          <w:tcPr>
            <w:tcW w:type="dxa" w:w="4680"/>
          </w:tcPr>
          <w:p>
            <w:r/>
            <w:r>
              <w:t xml:space="preserve">Verify that flipping </w:t>
            </w:r>
            <w:r>
              <w:rPr>
                <w:rFonts w:ascii="Consolas" w:hAnsi="Consolas"/>
                <w:sz w:val="18"/>
              </w:rPr>
              <w:t>KNUCT_ENABLED=false</w:t>
            </w:r>
            <w:r>
              <w:t xml:space="preserve"> mid-pilot leaves existing SCMS functionality fully intact and only disables new wallet provisioning</w:t>
            </w:r>
          </w:p>
        </w:tc>
      </w:tr>
    </w:tbl>
    <w:p/>
    <w:p/>
    <w:p>
      <w:pPr>
        <w:pStyle w:val="Heading1"/>
      </w:pPr>
      <w:r>
        <w:rPr>
          <w:color w:val="1A3C6E"/>
        </w:rPr>
        <w:t>10. Observability</w:t>
      </w:r>
    </w:p>
    <w:p>
      <w:pPr>
        <w:pStyle w:val="ListBullet"/>
      </w:pPr>
      <w:r>
        <w:t>Emit structured logs (no secrets) for each of the 3 API steps with timing, so privshare-expiry near-misses are visible before they become failures.</w:t>
      </w:r>
    </w:p>
    <w:p>
      <w:pPr>
        <w:pStyle w:val="ListBullet"/>
      </w:pPr>
      <w:r>
        <w:t xml:space="preserve">Track a </w:t>
      </w:r>
      <w:r>
        <w:rPr>
          <w:rFonts w:ascii="Consolas" w:hAnsi="Consolas"/>
          <w:sz w:val="18"/>
        </w:rPr>
        <w:t>knuct_wallet_status</w:t>
      </w:r>
      <w:r>
        <w:t xml:space="preserve"> metric (pending/active/failed counts) on the </w:t>
      </w:r>
      <w:r>
        <w:rPr>
          <w:b/>
        </w:rPr>
        <w:t>super_admin dashboard</w:t>
      </w:r>
      <w:r>
        <w:t xml:space="preserve"> </w:t>
      </w:r>
      <w:r>
        <w:rPr>
          <w:rFonts w:ascii="Consolas" w:hAnsi="Consolas"/>
          <w:sz w:val="18"/>
        </w:rPr>
        <w:t>KnuctOpsPanel</w:t>
      </w:r>
      <w:r>
        <w:t xml:space="preserve"> (Section 12.7) and in the reports module — reuse existing analytics rather than building new tooling.</w:t>
      </w:r>
    </w:p>
    <w:p>
      <w:pPr>
        <w:pStyle w:val="ListBullet"/>
      </w:pPr>
      <w:r>
        <w:t>Alert if the circuit breaker trips (Section 6.5) — signals the vendor sandbox is degraded and campus-wide rollout should not proceed.</w:t>
      </w:r>
    </w:p>
    <w:p/>
    <w:p>
      <w:pPr>
        <w:pStyle w:val="Heading1"/>
      </w:pPr>
      <w:r>
        <w:rPr>
          <w:color w:val="1A3C6E"/>
        </w:rPr>
        <w:t>11. Phased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Dependencies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Rough effort (dev-days, single developer)</w:t>
            </w:r>
          </w:p>
        </w:tc>
      </w:tr>
      <w:tr>
        <w:tc>
          <w:tcPr>
            <w:tcW w:type="dxa" w:w="2340"/>
          </w:tcPr>
          <w:p>
            <w:r/>
            <w:r>
              <w:t>-------</w:t>
            </w:r>
          </w:p>
        </w:tc>
        <w:tc>
          <w:tcPr>
            <w:tcW w:type="dxa" w:w="2340"/>
          </w:tcPr>
          <w:p>
            <w:r/>
            <w:r>
              <w:t>-------</w:t>
            </w:r>
          </w:p>
        </w:tc>
        <w:tc>
          <w:tcPr>
            <w:tcW w:type="dxa" w:w="2340"/>
          </w:tcPr>
          <w:p>
            <w:r/>
            <w:r>
              <w:t>--------------</w:t>
            </w:r>
          </w:p>
        </w:tc>
        <w:tc>
          <w:tcPr>
            <w:tcW w:type="dxa" w:w="2340"/>
          </w:tcPr>
          <w:p>
            <w:r/>
            <w:r>
              <w:t>---------------------------------------------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0 — Vendor diligence</w:t>
            </w:r>
          </w:p>
        </w:tc>
        <w:tc>
          <w:tcPr>
            <w:tcW w:type="dxa" w:w="2340"/>
          </w:tcPr>
          <w:p>
            <w:r/>
            <w:r>
              <w:t xml:space="preserve">Confirm privshare format, cert APIs, rate limits, </w:t>
            </w:r>
            <w:r>
              <w:rPr>
                <w:rFonts w:ascii="Consolas" w:hAnsi="Consolas"/>
                <w:sz w:val="18"/>
              </w:rPr>
              <w:t>starttempnode</w:t>
            </w:r>
            <w:r>
              <w:t xml:space="preserve"> scaling, DPA/hosting location</w:t>
            </w:r>
          </w:p>
        </w:tc>
        <w:tc>
          <w:tcPr>
            <w:tcW w:type="dxa" w:w="2340"/>
          </w:tcPr>
          <w:p>
            <w:r/>
            <w:r>
              <w:t>Knuct vendor</w:t>
            </w:r>
          </w:p>
        </w:tc>
        <w:tc>
          <w:tcPr>
            <w:tcW w:type="dxa" w:w="2340"/>
          </w:tcPr>
          <w:p>
            <w:r/>
            <w:r>
              <w:t>2–3 (mostly waiting on vendor answers)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1 — Wallet/DID PoC</w:t>
            </w:r>
          </w:p>
        </w:tc>
        <w:tc>
          <w:tcPr>
            <w:tcW w:type="dxa" w:w="2340"/>
          </w:tcPr>
          <w:p>
            <w:r/>
            <w:r>
              <w:t xml:space="preserve">Adapter + mock, </w:t>
            </w:r>
            <w:r>
              <w:rPr>
                <w:rFonts w:ascii="Consolas" w:hAnsi="Consolas"/>
                <w:sz w:val="18"/>
              </w:rPr>
              <w:t>KnuctWallet</w:t>
            </w:r>
            <w:r>
              <w:t xml:space="preserve"> schema, user-create hook, in-process wallet worker, settings UI, unit tests, </w:t>
            </w:r>
            <w:r>
              <w:rPr>
                <w:b/>
              </w:rPr>
              <w:t>super_admin KnuctOpsPanel (status)</w:t>
            </w:r>
            <w:r>
              <w:t>, basic Knuct health ping</w:t>
            </w:r>
          </w:p>
        </w:tc>
        <w:tc>
          <w:tcPr>
            <w:tcW w:type="dxa" w:w="2340"/>
          </w:tcPr>
          <w:p>
            <w:r/>
            <w:r>
              <w:t>Documented API only</w:t>
            </w:r>
          </w:p>
        </w:tc>
        <w:tc>
          <w:tcPr>
            <w:tcW w:type="dxa" w:w="2340"/>
          </w:tcPr>
          <w:p>
            <w:r/>
            <w:r>
              <w:t>5–8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2 — Verifiable credentials</w:t>
            </w:r>
          </w:p>
        </w:tc>
        <w:tc>
          <w:tcPr>
            <w:tcW w:type="dxa" w:w="2340"/>
          </w:tcPr>
          <w:p>
            <w:r/>
            <w:r>
              <w:t xml:space="preserve">Attendance cert, grade transcript, public </w:t>
            </w:r>
            <w:r>
              <w:rPr>
                <w:rFonts w:ascii="Consolas" w:hAnsi="Consolas"/>
                <w:sz w:val="18"/>
              </w:rPr>
              <w:t>/verify</w:t>
            </w:r>
            <w:r>
              <w:t xml:space="preserve"> page, </w:t>
            </w:r>
            <w:r>
              <w:rPr>
                <w:b/>
              </w:rPr>
              <w:t>super_admin credential metrics</w:t>
            </w:r>
          </w:p>
        </w:tc>
        <w:tc>
          <w:tcPr>
            <w:tcW w:type="dxa" w:w="2340"/>
          </w:tcPr>
          <w:p>
            <w:r/>
            <w:r>
              <w:t>Knuct mint/verify APIs (not yet available)</w:t>
            </w:r>
          </w:p>
        </w:tc>
        <w:tc>
          <w:tcPr>
            <w:tcW w:type="dxa" w:w="2340"/>
          </w:tcPr>
          <w:p>
            <w:r/>
            <w:r>
              <w:t>Not estimable until vendor API exists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3 — Audit anchoring</w:t>
            </w:r>
          </w:p>
        </w:tc>
        <w:tc>
          <w:tcPr>
            <w:tcW w:type="dxa" w:w="2340"/>
          </w:tcPr>
          <w:p>
            <w:r/>
            <w:r>
              <w:t xml:space="preserve">Hash anchors on session complete, grade publish, violation review, </w:t>
            </w:r>
            <w:r>
              <w:rPr>
                <w:b/>
              </w:rPr>
              <w:t>super_admin anchor feed</w:t>
            </w:r>
          </w:p>
        </w:tc>
        <w:tc>
          <w:tcPr>
            <w:tcW w:type="dxa" w:w="2340"/>
          </w:tcPr>
          <w:p>
            <w:r/>
            <w:r>
              <w:t>Adapter + optional cert publish</w:t>
            </w:r>
          </w:p>
        </w:tc>
        <w:tc>
          <w:tcPr>
            <w:tcW w:type="dxa" w:w="2340"/>
          </w:tcPr>
          <w:p>
            <w:r/>
            <w:r>
              <w:t>4–6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4 — Production hardening</w:t>
            </w:r>
          </w:p>
        </w:tc>
        <w:tc>
          <w:tcPr>
            <w:tcW w:type="dxa" w:w="2340"/>
          </w:tcPr>
          <w:p>
            <w:r/>
            <w:r>
              <w:t>Dedicated job queue, encryption rotation, full circuit-breaker health checks, DPA sign-off</w:t>
            </w:r>
          </w:p>
        </w:tc>
        <w:tc>
          <w:tcPr>
            <w:tcW w:type="dxa" w:w="2340"/>
          </w:tcPr>
          <w:p>
            <w:r/>
            <w:r>
              <w:t>Operational readiness</w:t>
            </w:r>
          </w:p>
        </w:tc>
        <w:tc>
          <w:tcPr>
            <w:tcW w:type="dxa" w:w="2340"/>
          </w:tcPr>
          <w:p>
            <w:r/>
            <w:r>
              <w:t>3–5</w:t>
            </w:r>
          </w:p>
        </w:tc>
      </w:tr>
    </w:tbl>
    <w:p/>
    <w:p>
      <w:r>
        <w:t>These are rough sizing estimates for planning purposes only, not commitments — Phase 0 findings could change Phase 1 scope materially (e.g., if the privshare format requires unexpected handling).</w:t>
      </w:r>
    </w:p>
    <w:p/>
    <w:p>
      <w:pPr>
        <w:pStyle w:val="Heading1"/>
      </w:pPr>
      <w:r>
        <w:rPr>
          <w:color w:val="1A3C6E"/>
        </w:rPr>
        <w:t>12. SCMS Module Integration Map</w:t>
      </w:r>
    </w:p>
    <w:p>
      <w:pPr>
        <w:pStyle w:val="Heading2"/>
      </w:pPr>
      <w:r>
        <w:rPr>
          <w:color w:val="1A3C6E"/>
        </w:rPr>
        <w:t>12.0 Summary table (primary UI sections)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SCMS section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UI component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integration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340"/>
          </w:tcPr>
          <w:p>
            <w:r/>
            <w:r>
              <w:t>--------------</w:t>
            </w:r>
          </w:p>
        </w:tc>
        <w:tc>
          <w:tcPr>
            <w:tcW w:type="dxa" w:w="2340"/>
          </w:tcPr>
          <w:p>
            <w:r/>
            <w:r>
              <w:t>--------------</w:t>
            </w:r>
          </w:p>
        </w:tc>
        <w:tc>
          <w:tcPr>
            <w:tcW w:type="dxa" w:w="2340"/>
          </w:tcPr>
          <w:p>
            <w:r/>
            <w:r>
              <w:t>-------------------</w:t>
            </w:r>
          </w:p>
        </w:tc>
        <w:tc>
          <w:tcPr>
            <w:tcW w:type="dxa" w:w="2340"/>
          </w:tcPr>
          <w:p>
            <w:r/>
            <w:r>
              <w:t>-------</w:t>
            </w:r>
          </w:p>
        </w:tc>
      </w:tr>
      <w:tr>
        <w:tc>
          <w:tcPr>
            <w:tcW w:type="dxa" w:w="2340"/>
          </w:tcPr>
          <w:p>
            <w:r/>
            <w:r>
              <w:t>Users &amp; RBAC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users-section.tsx</w:t>
            </w:r>
          </w:p>
        </w:tc>
        <w:tc>
          <w:tcPr>
            <w:tcW w:type="dxa" w:w="2340"/>
          </w:tcPr>
          <w:p>
            <w:r/>
            <w:r>
              <w:t>Wallet on user create; DID + status badge in profile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</w:tr>
      <w:tr>
        <w:tc>
          <w:tcPr>
            <w:tcW w:type="dxa" w:w="2340"/>
          </w:tcPr>
          <w:p>
            <w:r/>
            <w:r>
              <w:t>Settings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settings-section.tsx</w:t>
            </w:r>
          </w:p>
        </w:tc>
        <w:tc>
          <w:tcPr>
            <w:tcW w:type="dxa" w:w="2340"/>
          </w:tcPr>
          <w:p>
            <w:r/>
            <w:r>
              <w:t>Show DID + wallet status; manual retry action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Dashboard (super_admin)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dashboard-section.tsx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Knuct Operations Center</w:t>
            </w:r>
            <w:r>
              <w:t xml:space="preserve"> — adapter health, wallet stats, anchor/credential feed</w:t>
            </w:r>
          </w:p>
        </w:tc>
        <w:tc>
          <w:tcPr>
            <w:tcW w:type="dxa" w:w="2340"/>
          </w:tcPr>
          <w:p>
            <w:r/>
            <w:r>
              <w:t>1–3</w:t>
            </w:r>
          </w:p>
        </w:tc>
      </w:tr>
      <w:tr>
        <w:tc>
          <w:tcPr>
            <w:tcW w:type="dxa" w:w="2340"/>
          </w:tcPr>
          <w:p>
            <w:r/>
            <w:r>
              <w:t>Attendance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attendance-section.tsx</w:t>
            </w:r>
          </w:p>
        </w:tc>
        <w:tc>
          <w:tcPr>
            <w:tcW w:type="dxa" w:w="2340"/>
          </w:tcPr>
          <w:p>
            <w:r/>
            <w:r>
              <w:t>Anchor session summary on complete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</w:tr>
      <w:tr>
        <w:tc>
          <w:tcPr>
            <w:tcW w:type="dxa" w:w="2340"/>
          </w:tcPr>
          <w:p>
            <w:r/>
            <w:r>
              <w:t>Violations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violations-section.tsx</w:t>
            </w:r>
          </w:p>
        </w:tc>
        <w:tc>
          <w:tcPr>
            <w:tcW w:type="dxa" w:w="2340"/>
          </w:tcPr>
          <w:p>
            <w:r/>
            <w:r>
              <w:t>Anchor review decision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</w:tr>
      <w:tr>
        <w:tc>
          <w:tcPr>
            <w:tcW w:type="dxa" w:w="2340"/>
          </w:tcPr>
          <w:p>
            <w:r/>
            <w:r>
              <w:t>LMS Gradebook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lms-section.tsx</w:t>
            </w:r>
          </w:p>
        </w:tc>
        <w:tc>
          <w:tcPr>
            <w:tcW w:type="dxa" w:w="2340"/>
          </w:tcPr>
          <w:p>
            <w:r/>
            <w:r>
              <w:t>Issue on-chain grade credential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</w:tr>
      <w:tr>
        <w:tc>
          <w:tcPr>
            <w:tcW w:type="dxa" w:w="2340"/>
          </w:tcPr>
          <w:p>
            <w:r/>
            <w:r>
              <w:t>Reports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reports-section.tsx</w:t>
            </w:r>
          </w:p>
        </w:tc>
        <w:tc>
          <w:tcPr>
            <w:tcW w:type="dxa" w:w="2340"/>
          </w:tcPr>
          <w:p>
            <w:r/>
            <w:r>
              <w:t>Issue attendance compliance credential; wallet status metric panel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</w:tr>
      <w:tr>
        <w:tc>
          <w:tcPr>
            <w:tcW w:type="dxa" w:w="2340"/>
          </w:tcPr>
          <w:p>
            <w:r/>
            <w:r>
              <w:t>Geofences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geofences-section.tsx</w:t>
            </w:r>
          </w:p>
        </w:tc>
        <w:tc>
          <w:tcPr>
            <w:tcW w:type="dxa" w:w="2340"/>
          </w:tcPr>
          <w:p>
            <w:r/>
            <w:r>
              <w:t>Anchor geofence policy changes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</w:tr>
      <w:tr>
        <w:tc>
          <w:tcPr>
            <w:tcW w:type="dxa" w:w="2340"/>
          </w:tcPr>
          <w:p>
            <w:r/>
            <w:r>
              <w:t>Calendar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calendar-section.tsx</w:t>
            </w:r>
          </w:p>
        </w:tc>
        <w:tc>
          <w:tcPr>
            <w:tcW w:type="dxa" w:w="2340"/>
          </w:tcPr>
          <w:p>
            <w:r/>
            <w:r>
              <w:t>Anchor published academic calendar events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</w:tr>
      <w:tr>
        <w:tc>
          <w:tcPr>
            <w:tcW w:type="dxa" w:w="2340"/>
          </w:tcPr>
          <w:p>
            <w:r/>
            <w:r>
              <w:t>Masters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masters-section.tsx</w:t>
            </w:r>
          </w:p>
        </w:tc>
        <w:tc>
          <w:tcPr>
            <w:tcW w:type="dxa" w:w="2340"/>
          </w:tcPr>
          <w:p>
            <w:r/>
            <w:r>
              <w:t>Anchor subject/program publish; curriculum credential</w:t>
            </w:r>
          </w:p>
        </w:tc>
        <w:tc>
          <w:tcPr>
            <w:tcW w:type="dxa" w:w="2340"/>
          </w:tcPr>
          <w:p>
            <w:r/>
            <w:r>
              <w:t>2–3</w:t>
            </w:r>
          </w:p>
        </w:tc>
      </w:tr>
      <w:tr>
        <w:tc>
          <w:tcPr>
            <w:tcW w:type="dxa" w:w="2340"/>
          </w:tcPr>
          <w:p>
            <w:r/>
            <w:r>
              <w:t>Audit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api/audit/route.ts</w:t>
            </w:r>
          </w:p>
        </w:tc>
        <w:tc>
          <w:tcPr>
            <w:tcW w:type="dxa" w:w="2340"/>
          </w:tcPr>
          <w:p>
            <w:r/>
            <w:r>
              <w:t>Show anchor status column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</w:tr>
    </w:tbl>
    <w:p/>
    <w:p>
      <w:r>
        <w:t xml:space="preserve">Knuct can be applied across </w:t>
      </w:r>
      <w:r>
        <w:rPr>
          <w:b/>
        </w:rPr>
        <w:t>all 10 UI sections</w:t>
      </w:r>
      <w:r>
        <w:t xml:space="preserve">, </w:t>
      </w:r>
      <w:r>
        <w:rPr>
          <w:b/>
        </w:rPr>
        <w:t>40 API routes</w:t>
      </w:r>
      <w:r>
        <w:t xml:space="preserve">, </w:t>
      </w:r>
      <w:r>
        <w:rPr>
          <w:b/>
        </w:rPr>
        <w:t>cross-cutting services</w:t>
      </w:r>
      <w:r>
        <w:t xml:space="preserve">, and </w:t>
      </w:r>
      <w:r>
        <w:rPr>
          <w:b/>
        </w:rPr>
        <w:t>22 Prisma models</w:t>
      </w:r>
      <w:r>
        <w:t>. Full inventory below.</w:t>
      </w:r>
    </w:p>
    <w:p>
      <w:r>
        <w:rPr>
          <w:b/>
        </w:rPr>
        <w:t>Integration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t>------</w:t>
            </w:r>
          </w:p>
        </w:tc>
        <w:tc>
          <w:tcPr>
            <w:tcW w:type="dxa" w:w="4680"/>
          </w:tcPr>
          <w:p>
            <w:r/>
            <w:r>
              <w:t>---------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Wallet/DID</w:t>
            </w:r>
          </w:p>
        </w:tc>
        <w:tc>
          <w:tcPr>
            <w:tcW w:type="dxa" w:w="4680"/>
          </w:tcPr>
          <w:p>
            <w:r/>
            <w:r>
              <w:t>Provision Knuct wallet + decentralized ID on user lifecycle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Credential</w:t>
            </w:r>
          </w:p>
        </w:tc>
        <w:tc>
          <w:tcPr>
            <w:tcW w:type="dxa" w:w="4680"/>
          </w:tcPr>
          <w:p>
            <w:r/>
            <w:r>
              <w:t>Issue verifiable asset/identity token (needs Knuct cert APIs)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Anchor</w:t>
            </w:r>
          </w:p>
        </w:tc>
        <w:tc>
          <w:tcPr>
            <w:tcW w:type="dxa" w:w="4680"/>
          </w:tcPr>
          <w:p>
            <w:r/>
            <w:r>
              <w:t>Hash critical event to chain for tamper evidence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IPFS</w:t>
            </w:r>
          </w:p>
        </w:tc>
        <w:tc>
          <w:tcPr>
            <w:tcW w:type="dxa" w:w="4680"/>
          </w:tcPr>
          <w:p>
            <w:r/>
            <w:r>
              <w:t>Store evidence blob off-chain; reference CID in DB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Verify</w:t>
            </w:r>
          </w:p>
        </w:tc>
        <w:tc>
          <w:tcPr>
            <w:tcW w:type="dxa" w:w="4680"/>
          </w:tcPr>
          <w:p>
            <w:r/>
            <w:r>
              <w:t>Public or in-app verification of on-chain credential</w:t>
            </w:r>
          </w:p>
        </w:tc>
      </w:tr>
    </w:tbl>
    <w:p/>
    <w:p>
      <w:pPr>
        <w:pStyle w:val="Heading2"/>
      </w:pPr>
      <w:r>
        <w:rPr>
          <w:color w:val="1A3C6E"/>
        </w:rPr>
        <w:t>12.1 UI sections (10 modules)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UI file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Roles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use case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117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Hook / API</w:t>
            </w:r>
          </w:p>
        </w:tc>
      </w:tr>
      <w:tr>
        <w:tc>
          <w:tcPr>
            <w:tcW w:type="dxa" w:w="1170"/>
          </w:tcPr>
          <w:p>
            <w:r/>
            <w:r>
              <w:t>---</w:t>
            </w:r>
          </w:p>
        </w:tc>
        <w:tc>
          <w:tcPr>
            <w:tcW w:type="dxa" w:w="1170"/>
          </w:tcPr>
          <w:p>
            <w:r/>
            <w:r>
              <w:t>--------</w:t>
            </w:r>
          </w:p>
        </w:tc>
        <w:tc>
          <w:tcPr>
            <w:tcW w:type="dxa" w:w="1170"/>
          </w:tcPr>
          <w:p>
            <w:r/>
            <w:r>
              <w:t>---------</w:t>
            </w:r>
          </w:p>
        </w:tc>
        <w:tc>
          <w:tcPr>
            <w:tcW w:type="dxa" w:w="1170"/>
          </w:tcPr>
          <w:p>
            <w:r/>
            <w:r>
              <w:t>-------</w:t>
            </w:r>
          </w:p>
        </w:tc>
        <w:tc>
          <w:tcPr>
            <w:tcW w:type="dxa" w:w="1170"/>
          </w:tcPr>
          <w:p>
            <w:r/>
            <w:r>
              <w:t>----------------</w:t>
            </w:r>
          </w:p>
        </w:tc>
        <w:tc>
          <w:tcPr>
            <w:tcW w:type="dxa" w:w="1170"/>
          </w:tcPr>
          <w:p>
            <w:r/>
            <w:r>
              <w:t>------</w:t>
            </w:r>
          </w:p>
        </w:tc>
        <w:tc>
          <w:tcPr>
            <w:tcW w:type="dxa" w:w="1170"/>
          </w:tcPr>
          <w:p>
            <w:r/>
            <w:r>
              <w:t>-------</w:t>
            </w:r>
          </w:p>
        </w:tc>
        <w:tc>
          <w:tcPr>
            <w:tcW w:type="dxa" w:w="1170"/>
          </w:tcPr>
          <w:p>
            <w:r/>
            <w:r>
              <w:t>------------</w:t>
            </w:r>
          </w:p>
        </w:tc>
      </w:tr>
      <w:tr>
        <w:tc>
          <w:tcPr>
            <w:tcW w:type="dxa" w:w="1170"/>
          </w:tcPr>
          <w:p>
            <w:r/>
            <w:r>
              <w:t>1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dashboard-section.tsx</w:t>
            </w:r>
          </w:p>
        </w:tc>
        <w:tc>
          <w:tcPr>
            <w:tcW w:type="dxa" w:w="1170"/>
          </w:tcPr>
          <w:p>
            <w:r/>
            <w:r>
              <w:t xml:space="preserve">All (see </w:t>
            </w:r>
            <w:r>
              <w:rPr>
                <w:b/>
              </w:rPr>
              <w:t>§12.7</w:t>
            </w:r>
            <w:r>
              <w:t xml:space="preserve"> for </w:t>
            </w:r>
            <w:r>
              <w:rPr>
                <w:rFonts w:ascii="Consolas" w:hAnsi="Consolas"/>
                <w:sz w:val="18"/>
              </w:rPr>
              <w:t>super_admin</w:t>
            </w:r>
            <w:r>
              <w:t>)</w:t>
            </w:r>
          </w:p>
        </w:tc>
        <w:tc>
          <w:tcPr>
            <w:tcW w:type="dxa" w:w="1170"/>
          </w:tcPr>
          <w:p>
            <w:r/>
            <w:r>
              <w:t xml:space="preserve">Student risk badges; </w:t>
            </w:r>
            <w:r>
              <w:rPr>
                <w:b/>
              </w:rPr>
              <w:t>super_admin Knuct Operations Center</w:t>
            </w:r>
          </w:p>
        </w:tc>
        <w:tc>
          <w:tcPr>
            <w:tcW w:type="dxa" w:w="1170"/>
          </w:tcPr>
          <w:p>
            <w:r/>
            <w:r>
              <w:t>Anchor, Credential, Verify</w:t>
            </w:r>
          </w:p>
        </w:tc>
        <w:tc>
          <w:tcPr>
            <w:tcW w:type="dxa" w:w="1170"/>
          </w:tcPr>
          <w:p>
            <w:r/>
            <w:r>
              <w:t>1–3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GET /api/dashboard</w:t>
            </w:r>
          </w:p>
        </w:tc>
      </w:tr>
      <w:tr>
        <w:tc>
          <w:tcPr>
            <w:tcW w:type="dxa" w:w="1170"/>
          </w:tcPr>
          <w:p>
            <w:r/>
            <w:r>
              <w:t>2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Attendance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attendance-section.tsx</w:t>
            </w:r>
          </w:p>
        </w:tc>
        <w:tc>
          <w:tcPr>
            <w:tcW w:type="dxa" w:w="1170"/>
          </w:tcPr>
          <w:p>
            <w:r/>
            <w:r>
              <w:t>Most roles</w:t>
            </w:r>
          </w:p>
        </w:tc>
        <w:tc>
          <w:tcPr>
            <w:tcW w:type="dxa" w:w="1170"/>
          </w:tcPr>
          <w:p>
            <w:r/>
            <w:r>
              <w:t>Anchor completed session summary; credential for session completion</w:t>
            </w:r>
          </w:p>
        </w:tc>
        <w:tc>
          <w:tcPr>
            <w:tcW w:type="dxa" w:w="1170"/>
          </w:tcPr>
          <w:p>
            <w:r/>
            <w:r>
              <w:t>Anchor, Credential</w:t>
            </w:r>
          </w:p>
        </w:tc>
        <w:tc>
          <w:tcPr>
            <w:tcW w:type="dxa" w:w="1170"/>
          </w:tcPr>
          <w:p>
            <w:r/>
            <w:r>
              <w:t>2–3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POST /api/attendance/sessions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/api/attendance/mark</w:t>
            </w:r>
          </w:p>
        </w:tc>
      </w:tr>
      <w:tr>
        <w:tc>
          <w:tcPr>
            <w:tcW w:type="dxa" w:w="1170"/>
          </w:tcPr>
          <w:p>
            <w:r/>
            <w:r>
              <w:t>3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LMS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lms-section.tsx</w:t>
            </w:r>
          </w:p>
        </w:tc>
        <w:tc>
          <w:tcPr>
            <w:tcW w:type="dxa" w:w="1170"/>
          </w:tcPr>
          <w:p>
            <w:r/>
            <w:r>
              <w:t>Admin, HOD, faculty, student, parent</w:t>
            </w:r>
          </w:p>
        </w:tc>
        <w:tc>
          <w:tcPr>
            <w:tcW w:type="dxa" w:w="1170"/>
          </w:tcPr>
          <w:p>
            <w:r/>
            <w:r>
              <w:t>Grade transcript credential; anchor published grades</w:t>
            </w:r>
          </w:p>
        </w:tc>
        <w:tc>
          <w:tcPr>
            <w:tcW w:type="dxa" w:w="1170"/>
          </w:tcPr>
          <w:p>
            <w:r/>
            <w:r>
              <w:t>Credential, Anchor</w:t>
            </w:r>
          </w:p>
        </w:tc>
        <w:tc>
          <w:tcPr>
            <w:tcW w:type="dxa" w:w="1170"/>
          </w:tcPr>
          <w:p>
            <w:r/>
            <w:r>
              <w:t>2–3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POST /api/lms/gradebook</w:t>
            </w:r>
            <w:r>
              <w:t>, submissions, quizzes</w:t>
            </w:r>
          </w:p>
        </w:tc>
      </w:tr>
      <w:tr>
        <w:tc>
          <w:tcPr>
            <w:tcW w:type="dxa" w:w="1170"/>
          </w:tcPr>
          <w:p>
            <w:r/>
            <w:r>
              <w:t>4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Users &amp; RBAC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users-section.tsx</w:t>
            </w:r>
          </w:p>
        </w:tc>
        <w:tc>
          <w:tcPr>
            <w:tcW w:type="dxa" w:w="1170"/>
          </w:tcPr>
          <w:p>
            <w:r/>
            <w:r>
              <w:t>Admin, HOD</w:t>
            </w:r>
          </w:p>
        </w:tc>
        <w:tc>
          <w:tcPr>
            <w:tcW w:type="dxa" w:w="1170"/>
          </w:tcPr>
          <w:p>
            <w:r/>
            <w:r>
              <w:t>Auto-provision wallet on user create; DID in profile</w:t>
            </w:r>
          </w:p>
        </w:tc>
        <w:tc>
          <w:tcPr>
            <w:tcW w:type="dxa" w:w="1170"/>
          </w:tcPr>
          <w:p>
            <w:r/>
            <w:r>
              <w:t>Wallet/DID</w:t>
            </w:r>
          </w:p>
        </w:tc>
        <w:tc>
          <w:tcPr>
            <w:tcW w:type="dxa" w:w="1170"/>
          </w:tcPr>
          <w:p>
            <w:r/>
            <w: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POST /api/users</w:t>
            </w:r>
          </w:p>
        </w:tc>
      </w:tr>
      <w:tr>
        <w:tc>
          <w:tcPr>
            <w:tcW w:type="dxa" w:w="1170"/>
          </w:tcPr>
          <w:p>
            <w:r/>
            <w:r>
              <w:t>5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Violations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violations-section.tsx</w:t>
            </w:r>
          </w:p>
        </w:tc>
        <w:tc>
          <w:tcPr>
            <w:tcW w:type="dxa" w:w="1170"/>
          </w:tcPr>
          <w:p>
            <w:r/>
            <w:r>
              <w:t>Admin, HOD, faculty, security</w:t>
            </w:r>
          </w:p>
        </w:tc>
        <w:tc>
          <w:tcPr>
            <w:tcW w:type="dxa" w:w="1170"/>
          </w:tcPr>
          <w:p>
            <w:r/>
            <w:r>
              <w:t>Anchor violation review decision</w:t>
            </w:r>
          </w:p>
        </w:tc>
        <w:tc>
          <w:tcPr>
            <w:tcW w:type="dxa" w:w="1170"/>
          </w:tcPr>
          <w:p>
            <w:r/>
            <w:r>
              <w:t>Anchor</w:t>
            </w:r>
          </w:p>
        </w:tc>
        <w:tc>
          <w:tcPr>
            <w:tcW w:type="dxa" w:w="1170"/>
          </w:tcPr>
          <w:p>
            <w:r/>
            <w:r>
              <w:t>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PATCH /api/attendance/violations</w:t>
            </w:r>
          </w:p>
        </w:tc>
      </w:tr>
      <w:tr>
        <w:tc>
          <w:tcPr>
            <w:tcW w:type="dxa" w:w="1170"/>
          </w:tcPr>
          <w:p>
            <w:r/>
            <w:r>
              <w:t>6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reports-section.tsx</w:t>
            </w:r>
          </w:p>
        </w:tc>
        <w:tc>
          <w:tcPr>
            <w:tcW w:type="dxa" w:w="1170"/>
          </w:tcPr>
          <w:p>
            <w:r/>
            <w:r>
              <w:t>Staff, student, parent</w:t>
            </w:r>
          </w:p>
        </w:tc>
        <w:tc>
          <w:tcPr>
            <w:tcW w:type="dxa" w:w="1170"/>
          </w:tcPr>
          <w:p>
            <w:r/>
            <w:r>
              <w:t>Attendance compliance credential (≥75%); verify URL in CSV</w:t>
            </w:r>
          </w:p>
        </w:tc>
        <w:tc>
          <w:tcPr>
            <w:tcW w:type="dxa" w:w="1170"/>
          </w:tcPr>
          <w:p>
            <w:r/>
            <w:r>
              <w:t>Credential</w:t>
            </w:r>
          </w:p>
        </w:tc>
        <w:tc>
          <w:tcPr>
            <w:tcW w:type="dxa" w:w="1170"/>
          </w:tcPr>
          <w:p>
            <w:r/>
            <w:r>
              <w:t>2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GET /api/reports</w:t>
            </w:r>
          </w:p>
        </w:tc>
      </w:tr>
      <w:tr>
        <w:tc>
          <w:tcPr>
            <w:tcW w:type="dxa" w:w="1170"/>
          </w:tcPr>
          <w:p>
            <w:r/>
            <w:r>
              <w:t>7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Geofences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geofences-section.tsx</w:t>
            </w:r>
          </w:p>
        </w:tc>
        <w:tc>
          <w:tcPr>
            <w:tcW w:type="dxa" w:w="1170"/>
          </w:tcPr>
          <w:p>
            <w:r/>
            <w:r>
              <w:t>Admin, HOD, faculty, lab, security</w:t>
            </w:r>
          </w:p>
        </w:tc>
        <w:tc>
          <w:tcPr>
            <w:tcW w:type="dxa" w:w="1170"/>
          </w:tcPr>
          <w:p>
            <w:r/>
            <w:r>
              <w:t>Anchor geofence policy changes</w:t>
            </w:r>
          </w:p>
        </w:tc>
        <w:tc>
          <w:tcPr>
            <w:tcW w:type="dxa" w:w="1170"/>
          </w:tcPr>
          <w:p>
            <w:r/>
            <w:r>
              <w:t>Anchor</w:t>
            </w:r>
          </w:p>
        </w:tc>
        <w:tc>
          <w:tcPr>
            <w:tcW w:type="dxa" w:w="1170"/>
          </w:tcPr>
          <w:p>
            <w:r/>
            <w:r>
              <w:t>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POST /api/geofences</w:t>
            </w:r>
          </w:p>
        </w:tc>
      </w:tr>
      <w:tr>
        <w:tc>
          <w:tcPr>
            <w:tcW w:type="dxa" w:w="1170"/>
          </w:tcPr>
          <w:p>
            <w:r/>
            <w:r>
              <w:t>8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Calendar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calendar-section.tsx</w:t>
            </w:r>
          </w:p>
        </w:tc>
        <w:tc>
          <w:tcPr>
            <w:tcW w:type="dxa" w:w="1170"/>
          </w:tcPr>
          <w:p>
            <w:r/>
            <w:r>
              <w:t>Most roles</w:t>
            </w:r>
          </w:p>
        </w:tc>
        <w:tc>
          <w:tcPr>
            <w:tcW w:type="dxa" w:w="1170"/>
          </w:tcPr>
          <w:p>
            <w:r/>
            <w:r>
              <w:t>Anchor published academic calendar events</w:t>
            </w:r>
          </w:p>
        </w:tc>
        <w:tc>
          <w:tcPr>
            <w:tcW w:type="dxa" w:w="1170"/>
          </w:tcPr>
          <w:p>
            <w:r/>
            <w:r>
              <w:t>Anchor</w:t>
            </w:r>
          </w:p>
        </w:tc>
        <w:tc>
          <w:tcPr>
            <w:tcW w:type="dxa" w:w="1170"/>
          </w:tcPr>
          <w:p>
            <w:r/>
            <w:r>
              <w:t>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POST /api/calendar</w:t>
            </w:r>
          </w:p>
        </w:tc>
      </w:tr>
      <w:tr>
        <w:tc>
          <w:tcPr>
            <w:tcW w:type="dxa" w:w="1170"/>
          </w:tcPr>
          <w:p>
            <w:r/>
            <w:r>
              <w:t>9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Masters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masters-section.tsx</w:t>
            </w:r>
          </w:p>
        </w:tc>
        <w:tc>
          <w:tcPr>
            <w:tcW w:type="dxa" w:w="1170"/>
          </w:tcPr>
          <w:p>
            <w:r/>
            <w:r>
              <w:t>Admin, HOD</w:t>
            </w:r>
          </w:p>
        </w:tc>
        <w:tc>
          <w:tcPr>
            <w:tcW w:type="dxa" w:w="1170"/>
          </w:tcPr>
          <w:p>
            <w:r/>
            <w:r>
              <w:t>Anchor subject/program publish; curriculum credential</w:t>
            </w:r>
          </w:p>
        </w:tc>
        <w:tc>
          <w:tcPr>
            <w:tcW w:type="dxa" w:w="1170"/>
          </w:tcPr>
          <w:p>
            <w:r/>
            <w:r>
              <w:t>Anchor, Credential</w:t>
            </w:r>
          </w:p>
        </w:tc>
        <w:tc>
          <w:tcPr>
            <w:tcW w:type="dxa" w:w="1170"/>
          </w:tcPr>
          <w:p>
            <w:r/>
            <w:r>
              <w:t>2–3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POST /api/masters/subjects/publish</w:t>
            </w:r>
          </w:p>
        </w:tc>
      </w:tr>
      <w:tr>
        <w:tc>
          <w:tcPr>
            <w:tcW w:type="dxa" w:w="1170"/>
          </w:tcPr>
          <w:p>
            <w:r/>
            <w:r>
              <w:t>10</w:t>
            </w:r>
          </w:p>
        </w:tc>
        <w:tc>
          <w:tcPr>
            <w:tcW w:type="dxa" w:w="117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1170"/>
          </w:tcPr>
          <w:p>
            <w:r/>
            <w:r>
              <w:rPr>
                <w:rFonts w:ascii="Consolas" w:hAnsi="Consolas"/>
                <w:sz w:val="18"/>
              </w:rPr>
              <w:t>settings-section.tsx</w:t>
            </w:r>
          </w:p>
        </w:tc>
        <w:tc>
          <w:tcPr>
            <w:tcW w:type="dxa" w:w="1170"/>
          </w:tcPr>
          <w:p>
            <w:r/>
            <w:r>
              <w:t>Admin, super_admin</w:t>
            </w:r>
          </w:p>
        </w:tc>
        <w:tc>
          <w:tcPr>
            <w:tcW w:type="dxa" w:w="1170"/>
          </w:tcPr>
          <w:p>
            <w:r/>
            <w:r>
              <w:t>Wallet/DID status; manual retry; profile image CID</w:t>
            </w:r>
          </w:p>
        </w:tc>
        <w:tc>
          <w:tcPr>
            <w:tcW w:type="dxa" w:w="1170"/>
          </w:tcPr>
          <w:p>
            <w:r/>
            <w:r>
              <w:t>Wallet/DID, IPFS</w:t>
            </w:r>
          </w:p>
        </w:tc>
        <w:tc>
          <w:tcPr>
            <w:tcW w:type="dxa" w:w="1170"/>
          </w:tcPr>
          <w:p>
            <w:r/>
            <w:r>
              <w:t>1</w:t>
            </w:r>
          </w:p>
        </w:tc>
        <w:tc>
          <w:tcPr>
            <w:tcW w:type="dxa" w:w="1170"/>
          </w:tcPr>
          <w:p>
            <w:r/>
            <w:r>
              <w:t>Settings, profile-image API</w:t>
            </w:r>
          </w:p>
        </w:tc>
      </w:tr>
    </w:tbl>
    <w:p/>
    <w:p>
      <w:pPr>
        <w:pStyle w:val="Heading2"/>
      </w:pPr>
      <w:r>
        <w:rPr>
          <w:color w:val="1A3C6E"/>
        </w:rPr>
        <w:t>12.2 API route modules (by domain)</w:t>
      </w:r>
    </w:p>
    <w:p>
      <w:pPr>
        <w:pStyle w:val="Heading3"/>
      </w:pPr>
      <w:r>
        <w:t>Authentication &amp;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use case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340"/>
          </w:tcPr>
          <w:p>
            <w:r/>
            <w:r>
              <w:t>-------</w:t>
            </w:r>
          </w:p>
        </w:tc>
        <w:tc>
          <w:tcPr>
            <w:tcW w:type="dxa" w:w="2340"/>
          </w:tcPr>
          <w:p>
            <w:r/>
            <w:r>
              <w:t>----------------</w:t>
            </w:r>
          </w:p>
        </w:tc>
        <w:tc>
          <w:tcPr>
            <w:tcW w:type="dxa" w:w="2340"/>
          </w:tcPr>
          <w:p>
            <w:r/>
            <w:r>
              <w:t>------</w:t>
            </w:r>
          </w:p>
        </w:tc>
        <w:tc>
          <w:tcPr>
            <w:tcW w:type="dxa" w:w="2340"/>
          </w:tcPr>
          <w:p>
            <w:r/>
            <w:r>
              <w:t>-------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POST /api/auth/[...nextauth]</w:t>
            </w:r>
          </w:p>
        </w:tc>
        <w:tc>
          <w:tcPr>
            <w:tcW w:type="dxa" w:w="2340"/>
          </w:tcPr>
          <w:p>
            <w:r/>
            <w:r>
              <w:t>Optional future Knuct login (not documented)</w:t>
            </w:r>
          </w:p>
        </w:tc>
        <w:tc>
          <w:tcPr>
            <w:tcW w:type="dxa" w:w="2340"/>
          </w:tcPr>
          <w:p>
            <w:r/>
            <w:r>
              <w:t>Wallet/DID</w:t>
            </w:r>
          </w:p>
        </w:tc>
        <w:tc>
          <w:tcPr>
            <w:tcW w:type="dxa" w:w="2340"/>
          </w:tcPr>
          <w:p>
            <w:r/>
            <w:r>
              <w:t>Defer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POST /api/users</w:t>
            </w:r>
          </w:p>
        </w:tc>
        <w:tc>
          <w:tcPr>
            <w:tcW w:type="dxa" w:w="2340"/>
          </w:tcPr>
          <w:p>
            <w:r/>
            <w:r>
              <w:t>Provision wallet on create</w:t>
            </w:r>
          </w:p>
        </w:tc>
        <w:tc>
          <w:tcPr>
            <w:tcW w:type="dxa" w:w="2340"/>
          </w:tcPr>
          <w:p>
            <w:r/>
            <w:r>
              <w:t>Wallet/DID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PATCH /api/users/[id]</w:t>
            </w:r>
          </w:p>
        </w:tc>
        <w:tc>
          <w:tcPr>
            <w:tcW w:type="dxa" w:w="2340"/>
          </w:tcPr>
          <w:p>
            <w:r/>
            <w:r>
              <w:t>Re-provision or link DID</w:t>
            </w:r>
          </w:p>
        </w:tc>
        <w:tc>
          <w:tcPr>
            <w:tcW w:type="dxa" w:w="2340"/>
          </w:tcPr>
          <w:p>
            <w:r/>
            <w:r>
              <w:t>Wallet/DID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POST /api/users/profile-image</w:t>
            </w:r>
          </w:p>
        </w:tc>
        <w:tc>
          <w:tcPr>
            <w:tcW w:type="dxa" w:w="2340"/>
          </w:tcPr>
          <w:p>
            <w:r/>
            <w:r>
              <w:t>IPFS CID for image</w:t>
            </w:r>
          </w:p>
        </w:tc>
        <w:tc>
          <w:tcPr>
            <w:tcW w:type="dxa" w:w="2340"/>
          </w:tcPr>
          <w:p>
            <w:r/>
            <w:r>
              <w:t>IPFS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</w:tr>
    </w:tbl>
    <w:p/>
    <w:p>
      <w:pPr>
        <w:pStyle w:val="Heading3"/>
      </w:pPr>
      <w:r>
        <w:t>Attendance, LMS, Masters, Operations</w:t>
      </w:r>
    </w:p>
    <w:p>
      <w:r>
        <w:t xml:space="preserve">See Sections 12.0–12.1 for hook points. Key routes: </w:t>
      </w:r>
      <w:r>
        <w:rPr>
          <w:rFonts w:ascii="Consolas" w:hAnsi="Consolas"/>
          <w:sz w:val="18"/>
        </w:rPr>
        <w:t>attendance/sessions</w:t>
      </w:r>
      <w:r>
        <w:t xml:space="preserve">, </w:t>
      </w:r>
      <w:r>
        <w:rPr>
          <w:rFonts w:ascii="Consolas" w:hAnsi="Consolas"/>
          <w:sz w:val="18"/>
        </w:rPr>
        <w:t>attendance/mark</w:t>
      </w:r>
      <w:r>
        <w:t xml:space="preserve">, </w:t>
      </w:r>
      <w:r>
        <w:rPr>
          <w:rFonts w:ascii="Consolas" w:hAnsi="Consolas"/>
          <w:sz w:val="18"/>
        </w:rPr>
        <w:t>attendance/violations</w:t>
      </w:r>
      <w:r>
        <w:t xml:space="preserve">, </w:t>
      </w:r>
      <w:r>
        <w:rPr>
          <w:rFonts w:ascii="Consolas" w:hAnsi="Consolas"/>
          <w:sz w:val="18"/>
        </w:rPr>
        <w:t>lms/gradebook</w:t>
      </w:r>
      <w:r>
        <w:t xml:space="preserve">, </w:t>
      </w:r>
      <w:r>
        <w:rPr>
          <w:rFonts w:ascii="Consolas" w:hAnsi="Consolas"/>
          <w:sz w:val="18"/>
        </w:rPr>
        <w:t>lms/enrollments</w:t>
      </w:r>
      <w:r>
        <w:t xml:space="preserve">, </w:t>
      </w:r>
      <w:r>
        <w:rPr>
          <w:rFonts w:ascii="Consolas" w:hAnsi="Consolas"/>
          <w:sz w:val="18"/>
        </w:rPr>
        <w:t>masters/subjects/publish</w:t>
      </w:r>
      <w:r>
        <w:t xml:space="preserve">, </w:t>
      </w:r>
      <w:r>
        <w:rPr>
          <w:rFonts w:ascii="Consolas" w:hAnsi="Consolas"/>
          <w:sz w:val="18"/>
        </w:rPr>
        <w:t>geofences</w:t>
      </w:r>
      <w:r>
        <w:t xml:space="preserve">, </w:t>
      </w:r>
      <w:r>
        <w:rPr>
          <w:rFonts w:ascii="Consolas" w:hAnsi="Consolas"/>
          <w:sz w:val="18"/>
        </w:rPr>
        <w:t>calendar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 xml:space="preserve">, </w:t>
      </w:r>
      <w:r>
        <w:rPr>
          <w:rFonts w:ascii="Consolas" w:hAnsi="Consolas"/>
          <w:sz w:val="18"/>
        </w:rPr>
        <w:t>health</w:t>
      </w:r>
      <w:r>
        <w:t xml:space="preserve">, </w:t>
      </w:r>
      <w:r>
        <w:rPr>
          <w:rFonts w:ascii="Consolas" w:hAnsi="Consolas"/>
          <w:sz w:val="18"/>
        </w:rPr>
        <w:t>demo/bootstrap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use case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340"/>
          </w:tcPr>
          <w:p>
            <w:r/>
            <w:r>
              <w:t>-------</w:t>
            </w:r>
          </w:p>
        </w:tc>
        <w:tc>
          <w:tcPr>
            <w:tcW w:type="dxa" w:w="2340"/>
          </w:tcPr>
          <w:p>
            <w:r/>
            <w:r>
              <w:t>----------------</w:t>
            </w:r>
          </w:p>
        </w:tc>
        <w:tc>
          <w:tcPr>
            <w:tcW w:type="dxa" w:w="2340"/>
          </w:tcPr>
          <w:p>
            <w:r/>
            <w:r>
              <w:t>------</w:t>
            </w:r>
          </w:p>
        </w:tc>
        <w:tc>
          <w:tcPr>
            <w:tcW w:type="dxa" w:w="2340"/>
          </w:tcPr>
          <w:p>
            <w:r/>
            <w:r>
              <w:t>-------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GET /api/dashboard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super_admin:</w:t>
            </w:r>
            <w:r>
              <w:t xml:space="preserve"> Knuct ops metrics; all roles: badges where applicable</w:t>
            </w:r>
          </w:p>
        </w:tc>
        <w:tc>
          <w:tcPr>
            <w:tcW w:type="dxa" w:w="2340"/>
          </w:tcPr>
          <w:p>
            <w:r/>
            <w:r>
              <w:t>Verify, Wallet/DID</w:t>
            </w:r>
          </w:p>
        </w:tc>
        <w:tc>
          <w:tcPr>
            <w:tcW w:type="dxa" w:w="2340"/>
          </w:tcPr>
          <w:p>
            <w:r/>
            <w:r>
              <w:t>1–3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GET /api/health</w:t>
            </w:r>
          </w:p>
        </w:tc>
        <w:tc>
          <w:tcPr>
            <w:tcW w:type="dxa" w:w="2340"/>
          </w:tcPr>
          <w:p>
            <w:r/>
            <w:r>
              <w:t>Basic Knuct adapter ping (Phase 1, super_admin panel); full circuit-breaker health (Phase 4)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1 / 4</w:t>
            </w:r>
          </w:p>
        </w:tc>
      </w:tr>
    </w:tbl>
    <w:p/>
    <w:p>
      <w:pPr>
        <w:pStyle w:val="Heading2"/>
      </w:pPr>
      <w:r>
        <w:rPr>
          <w:color w:val="1A3C6E"/>
        </w:rPr>
        <w:t>12.3 Cross-cutting services (lib layer)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use case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340"/>
          </w:tcPr>
          <w:p>
            <w:r/>
            <w:r>
              <w:t>---------</w:t>
            </w:r>
          </w:p>
        </w:tc>
        <w:tc>
          <w:tcPr>
            <w:tcW w:type="dxa" w:w="2340"/>
          </w:tcPr>
          <w:p>
            <w:r/>
            <w:r>
              <w:t>------</w:t>
            </w:r>
          </w:p>
        </w:tc>
        <w:tc>
          <w:tcPr>
            <w:tcW w:type="dxa" w:w="2340"/>
          </w:tcPr>
          <w:p>
            <w:r/>
            <w:r>
              <w:t>----------------</w:t>
            </w:r>
          </w:p>
        </w:tc>
        <w:tc>
          <w:tcPr>
            <w:tcW w:type="dxa" w:w="2340"/>
          </w:tcPr>
          <w:p>
            <w:r/>
            <w:r>
              <w:t>-------</w:t>
            </w:r>
          </w:p>
        </w:tc>
      </w:tr>
      <w:tr>
        <w:tc>
          <w:tcPr>
            <w:tcW w:type="dxa" w:w="2340"/>
          </w:tcPr>
          <w:p>
            <w:r/>
            <w:r>
              <w:t>Audit logging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src/lib/audit.ts</w:t>
            </w:r>
          </w:p>
        </w:tc>
        <w:tc>
          <w:tcPr>
            <w:tcW w:type="dxa" w:w="2340"/>
          </w:tcPr>
          <w:p>
            <w:r/>
            <w:r>
              <w:t>Dual-write + optional anchor hash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</w:tr>
      <w:tr>
        <w:tc>
          <w:tcPr>
            <w:tcW w:type="dxa" w:w="2340"/>
          </w:tcPr>
          <w:p>
            <w:r/>
            <w:r>
              <w:t>Face verification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src/lib/face-verification.ts</w:t>
            </w:r>
          </w:p>
        </w:tc>
        <w:tc>
          <w:tcPr>
            <w:tcW w:type="dxa" w:w="2340"/>
          </w:tcPr>
          <w:p>
            <w:r/>
            <w:r>
              <w:t>IPFS evidence + anchor result</w:t>
            </w:r>
          </w:p>
        </w:tc>
        <w:tc>
          <w:tcPr>
            <w:tcW w:type="dxa" w:w="2340"/>
          </w:tcPr>
          <w:p>
            <w:r/>
            <w:r>
              <w:t>2–3</w:t>
            </w:r>
          </w:p>
        </w:tc>
      </w:tr>
      <w:tr>
        <w:tc>
          <w:tcPr>
            <w:tcW w:type="dxa" w:w="2340"/>
          </w:tcPr>
          <w:p>
            <w:r/>
            <w:r>
              <w:t>Reports analytics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src/lib/reports-analytics.ts</w:t>
            </w:r>
          </w:p>
        </w:tc>
        <w:tc>
          <w:tcPr>
            <w:tcW w:type="dxa" w:w="2340"/>
          </w:tcPr>
          <w:p>
            <w:r/>
            <w:r>
              <w:t>Credential eligibility (75% rule)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</w:tr>
      <w:tr>
        <w:tc>
          <w:tcPr>
            <w:tcW w:type="dxa" w:w="2340"/>
          </w:tcPr>
          <w:p>
            <w:r/>
            <w:r>
              <w:t>Report export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src/lib/report-export.ts</w:t>
            </w:r>
          </w:p>
        </w:tc>
        <w:tc>
          <w:tcPr>
            <w:tcW w:type="dxa" w:w="2340"/>
          </w:tcPr>
          <w:p>
            <w:r/>
            <w:r>
              <w:t>Verify URL in CSV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</w:tr>
      <w:tr>
        <w:tc>
          <w:tcPr>
            <w:tcW w:type="dxa" w:w="2340"/>
          </w:tcPr>
          <w:p>
            <w:r/>
            <w:r>
              <w:t>Auth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src/lib/auth.ts</w:t>
            </w:r>
          </w:p>
        </w:tc>
        <w:tc>
          <w:tcPr>
            <w:tcW w:type="dxa" w:w="2340"/>
          </w:tcPr>
          <w:p>
            <w:r/>
            <w:r>
              <w:t xml:space="preserve">Link session to </w:t>
            </w:r>
            <w:r>
              <w:rPr>
                <w:rFonts w:ascii="Consolas" w:hAnsi="Consolas"/>
                <w:sz w:val="18"/>
              </w:rPr>
              <w:t>KnuctWallet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</w:tr>
      <w:tr>
        <w:tc>
          <w:tcPr>
            <w:tcW w:type="dxa" w:w="2340"/>
          </w:tcPr>
          <w:p>
            <w:r/>
            <w:r>
              <w:t>Circuit breaker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src/lib/knuct/circuit-breaker.ts</w:t>
            </w:r>
          </w:p>
        </w:tc>
        <w:tc>
          <w:tcPr>
            <w:tcW w:type="dxa" w:w="2340"/>
          </w:tcPr>
          <w:p>
            <w:r/>
            <w:r>
              <w:t>Vendor failure isolation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</w:tr>
    </w:tbl>
    <w:p/>
    <w:p>
      <w:pPr>
        <w:pStyle w:val="Heading2"/>
      </w:pPr>
      <w:r>
        <w:rPr>
          <w:color w:val="1A3C6E"/>
        </w:rPr>
        <w:t>12.4 Data models (Prisma) — anchor/credential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Knuct integration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</w:tr>
      <w:tr>
        <w:tc>
          <w:tcPr>
            <w:tcW w:type="dxa" w:w="3120"/>
          </w:tcPr>
          <w:p>
            <w:r/>
            <w:r>
              <w:t>-------</w:t>
            </w:r>
          </w:p>
        </w:tc>
        <w:tc>
          <w:tcPr>
            <w:tcW w:type="dxa" w:w="3120"/>
          </w:tcPr>
          <w:p>
            <w:r/>
            <w:r>
              <w:t>-------------------</w:t>
            </w:r>
          </w:p>
        </w:tc>
        <w:tc>
          <w:tcPr>
            <w:tcW w:type="dxa" w:w="3120"/>
          </w:tcPr>
          <w:p>
            <w:r/>
            <w:r>
              <w:t>----------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KnuctWallet</w:t>
            </w:r>
            <w:r>
              <w:t xml:space="preserve"> relation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High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AttendanceSession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AttendanceRecord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AttendanceViolation</w:t>
            </w:r>
          </w:p>
        </w:tc>
        <w:tc>
          <w:tcPr>
            <w:tcW w:type="dxa" w:w="3120"/>
          </w:tcPr>
          <w:p>
            <w:r/>
            <w:r>
              <w:t>Session/violation anchors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High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GradeBook</w:t>
            </w:r>
          </w:p>
        </w:tc>
        <w:tc>
          <w:tcPr>
            <w:tcW w:type="dxa" w:w="3120"/>
          </w:tcPr>
          <w:p>
            <w:r/>
            <w:r>
              <w:t>Grade credential + anchor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High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AuditLog</w:t>
            </w:r>
          </w:p>
        </w:tc>
        <w:tc>
          <w:tcPr>
            <w:tcW w:type="dxa" w:w="3120"/>
          </w:tcPr>
          <w:p>
            <w:r/>
            <w:r>
              <w:t xml:space="preserve">Link to </w:t>
            </w:r>
            <w:r>
              <w:rPr>
                <w:rFonts w:ascii="Consolas" w:hAnsi="Consolas"/>
                <w:sz w:val="18"/>
              </w:rPr>
              <w:t>BlockchainAnchor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High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Submission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QuizAttempt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CourseEnrollment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Subject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Geofence</w:t>
            </w:r>
          </w:p>
        </w:tc>
        <w:tc>
          <w:tcPr>
            <w:tcW w:type="dxa" w:w="3120"/>
          </w:tcPr>
          <w:p>
            <w:r/>
            <w:r>
              <w:t>Medium priority anchors/credentials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FaceEmbedding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BiometricRecord</w:t>
            </w:r>
          </w:p>
        </w:tc>
        <w:tc>
          <w:tcPr>
            <w:tcW w:type="dxa" w:w="3120"/>
          </w:tcPr>
          <w:p>
            <w:r/>
            <w:r>
              <w:t>IPFS CID only — never raw biometrics on chain</w:t>
            </w:r>
          </w:p>
        </w:tc>
        <w:tc>
          <w:tcPr>
            <w:tcW w:type="dxa" w:w="3120"/>
          </w:tcPr>
          <w:p>
            <w:r/>
            <w:r>
              <w:t>Medium</w:t>
            </w:r>
          </w:p>
        </w:tc>
      </w:tr>
    </w:tbl>
    <w:p/>
    <w:p>
      <w:r>
        <w:rPr>
          <w:b/>
        </w:rPr>
        <w:t>New models:</w:t>
      </w:r>
      <w:r>
        <w:t xml:space="preserve"> </w:t>
      </w:r>
      <w:r>
        <w:rPr>
          <w:rFonts w:ascii="Consolas" w:hAnsi="Consolas"/>
          <w:sz w:val="18"/>
        </w:rPr>
        <w:t>KnuctWallet</w:t>
      </w:r>
      <w:r>
        <w:t xml:space="preserve">, </w:t>
      </w:r>
      <w:r>
        <w:rPr>
          <w:rFonts w:ascii="Consolas" w:hAnsi="Consolas"/>
          <w:sz w:val="18"/>
        </w:rPr>
        <w:t>BlockchainAnchor</w:t>
      </w:r>
      <w:r>
        <w:t xml:space="preserve">, </w:t>
      </w:r>
      <w:r>
        <w:rPr>
          <w:rFonts w:ascii="Consolas" w:hAnsi="Consolas"/>
          <w:sz w:val="18"/>
        </w:rPr>
        <w:t>BlockchainCredential</w:t>
      </w:r>
      <w:r>
        <w:t xml:space="preserve"> (Section 6.4)</w:t>
      </w:r>
    </w:p>
    <w:p>
      <w:pPr>
        <w:pStyle w:val="Heading2"/>
      </w:pPr>
      <w:r>
        <w:rPr>
          <w:color w:val="1A3C6E"/>
        </w:rPr>
        <w:t>12.5 Modules where Knuct is **not recommended**</w:t>
      </w:r>
    </w:p>
    <w:p>
      <w:r>
        <w:t>PostgreSQL as primary DB; next-auth replacement; Knuct Talk chat; raw biometrics on chain; production traffic to undocumented sandbox without vendor auth.</w:t>
      </w:r>
    </w:p>
    <w:p>
      <w:pPr>
        <w:pStyle w:val="Heading2"/>
      </w:pPr>
      <w:r>
        <w:rPr>
          <w:color w:val="1A3C6E"/>
        </w:rPr>
        <w:t>12.6 Summary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Modules covered</w:t>
            </w:r>
          </w:p>
        </w:tc>
      </w:tr>
      <w:tr>
        <w:tc>
          <w:tcPr>
            <w:tcW w:type="dxa" w:w="4680"/>
          </w:tcPr>
          <w:p>
            <w:r/>
            <w:r>
              <w:t>-------</w:t>
            </w:r>
          </w:p>
        </w:tc>
        <w:tc>
          <w:tcPr>
            <w:tcW w:type="dxa" w:w="4680"/>
          </w:tcPr>
          <w:p>
            <w:r/>
            <w:r>
              <w:t>-----------------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 — Wallet/DID</w:t>
            </w:r>
          </w:p>
        </w:tc>
        <w:tc>
          <w:tcPr>
            <w:tcW w:type="dxa" w:w="4680"/>
          </w:tcPr>
          <w:p>
            <w:r/>
            <w:r>
              <w:t xml:space="preserve">Users, Settings, Demo, </w:t>
            </w:r>
            <w:r>
              <w:rPr>
                <w:b/>
              </w:rPr>
              <w:t>super_admin Dashboard (Knuct status panel)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2 — Credentials</w:t>
            </w:r>
          </w:p>
        </w:tc>
        <w:tc>
          <w:tcPr>
            <w:tcW w:type="dxa" w:w="4680"/>
          </w:tcPr>
          <w:p>
            <w:r/>
            <w:r>
              <w:t xml:space="preserve">Reports, LMS gradebook, Enrollments, Face verify, </w:t>
            </w:r>
            <w:r>
              <w:rPr>
                <w:b/>
              </w:rPr>
              <w:t>super_admin credential metrics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3 — Anchoring</w:t>
            </w:r>
          </w:p>
        </w:tc>
        <w:tc>
          <w:tcPr>
            <w:tcW w:type="dxa" w:w="4680"/>
          </w:tcPr>
          <w:p>
            <w:r/>
            <w:r>
              <w:t xml:space="preserve">Attendance, Violations, LMS, Geofences, Calendar, Masters, Audit, </w:t>
            </w:r>
            <w:r>
              <w:rPr>
                <w:b/>
              </w:rPr>
              <w:t>super_admin anchor feed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4 — Hardening</w:t>
            </w:r>
          </w:p>
        </w:tc>
        <w:tc>
          <w:tcPr>
            <w:tcW w:type="dxa" w:w="4680"/>
          </w:tcPr>
          <w:p>
            <w:r/>
            <w:r>
              <w:t>Job queue, circuit breaker, encryption rotation, DPA sign-off</w:t>
            </w:r>
          </w:p>
        </w:tc>
      </w:tr>
    </w:tbl>
    <w:p/>
    <w:p>
      <w:pPr>
        <w:pStyle w:val="Heading2"/>
      </w:pPr>
      <w:r>
        <w:rPr>
          <w:color w:val="1A3C6E"/>
        </w:rPr>
        <w:t>12.7 Super Admin Dashboard — Explicit Implementation Scope</w:t>
      </w:r>
    </w:p>
    <w:p>
      <w:r>
        <w:t xml:space="preserve">The </w:t>
      </w:r>
      <w:r>
        <w:rPr>
          <w:b/>
        </w:rPr>
        <w:t>super_admin</w:t>
      </w:r>
      <w:r>
        <w:t xml:space="preserve"> role uses the full campus view (</w:t>
      </w:r>
      <w:r>
        <w:rPr>
          <w:rFonts w:ascii="Consolas" w:hAnsi="Consolas"/>
          <w:sz w:val="18"/>
        </w:rPr>
        <w:t>AdminDashboard</w:t>
      </w:r>
      <w:r>
        <w:t xml:space="preserve"> in </w:t>
      </w:r>
      <w:r>
        <w:rPr>
          <w:rFonts w:ascii="Consolas" w:hAnsi="Consolas"/>
          <w:sz w:val="18"/>
        </w:rPr>
        <w:t>dashboard-section.tsx</w:t>
      </w:r>
      <w:r>
        <w:t>) with campus-wide analytics (</w:t>
      </w:r>
      <w:r>
        <w:rPr>
          <w:rFonts w:ascii="Consolas" w:hAnsi="Consolas"/>
          <w:sz w:val="18"/>
        </w:rPr>
        <w:t>analyticsScope === 'campus'</w:t>
      </w:r>
      <w:r>
        <w:t xml:space="preserve">). This is a </w:t>
      </w:r>
      <w:r>
        <w:rPr>
          <w:b/>
        </w:rPr>
        <w:t>first-class implementation target</w:t>
      </w:r>
      <w:r>
        <w:t>.</w:t>
      </w:r>
    </w:p>
    <w:p>
      <w:r>
        <w:rPr>
          <w:b/>
        </w:rPr>
        <w:t>Why super_admin only:</w:t>
      </w:r>
      <w:r>
        <w:t xml:space="preserve"> Full system control, settings access, vendor integration health. </w:t>
      </w:r>
      <w:r>
        <w:rPr>
          <w:rFonts w:ascii="Consolas" w:hAnsi="Consolas"/>
          <w:sz w:val="18"/>
        </w:rPr>
        <w:t>admin</w:t>
      </w:r>
      <w:r>
        <w:t xml:space="preserve"> keeps existing dashboard without full ops center.</w:t>
      </w:r>
    </w:p>
    <w:p>
      <w:pPr>
        <w:pStyle w:val="Heading3"/>
      </w:pPr>
      <w:r>
        <w:t>Knuct additions — `KnuctOpsPanel` (super_admin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Widget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Data shown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Backend source</w:t>
            </w:r>
          </w:p>
        </w:tc>
      </w:tr>
      <w:tr>
        <w:tc>
          <w:tcPr>
            <w:tcW w:type="dxa" w:w="2340"/>
          </w:tcPr>
          <w:p>
            <w:r/>
            <w:r>
              <w:t>--------</w:t>
            </w:r>
          </w:p>
        </w:tc>
        <w:tc>
          <w:tcPr>
            <w:tcW w:type="dxa" w:w="2340"/>
          </w:tcPr>
          <w:p>
            <w:r/>
            <w:r>
              <w:t>------------</w:t>
            </w:r>
          </w:p>
        </w:tc>
        <w:tc>
          <w:tcPr>
            <w:tcW w:type="dxa" w:w="2340"/>
          </w:tcPr>
          <w:p>
            <w:r/>
            <w:r>
              <w:t>-------</w:t>
            </w:r>
          </w:p>
        </w:tc>
        <w:tc>
          <w:tcPr>
            <w:tcW w:type="dxa" w:w="2340"/>
          </w:tcPr>
          <w:p>
            <w:r/>
            <w:r>
              <w:t>----------------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Adapter status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KNUCT_ENABLED</w:t>
            </w:r>
            <w:r>
              <w:t>, mock vs live, circuit breaker state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GET /api/health</w:t>
            </w:r>
            <w:r>
              <w:t xml:space="preserve"> + env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Wallet provisioning</w:t>
            </w:r>
          </w:p>
        </w:tc>
        <w:tc>
          <w:tcPr>
            <w:tcW w:type="dxa" w:w="2340"/>
          </w:tcPr>
          <w:p>
            <w:r/>
            <w:r>
              <w:t>Total / active / failed / pending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KnuctWallet</w:t>
            </w:r>
            <w:r>
              <w:t xml:space="preserve"> aggregate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Campus DID coverage</w:t>
            </w:r>
          </w:p>
        </w:tc>
        <w:tc>
          <w:tcPr>
            <w:tcW w:type="dxa" w:w="2340"/>
          </w:tcPr>
          <w:p>
            <w:r/>
            <w:r>
              <w:t>% users with DID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User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KnuctWallet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Credentials issued</w:t>
            </w:r>
          </w:p>
        </w:tc>
        <w:tc>
          <w:tcPr>
            <w:tcW w:type="dxa" w:w="2340"/>
          </w:tcPr>
          <w:p>
            <w:r/>
            <w:r>
              <w:t>Today / week / failed; by type</w:t>
            </w:r>
          </w:p>
        </w:tc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BlockchainCredential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Anchors today</w:t>
            </w:r>
          </w:p>
        </w:tc>
        <w:tc>
          <w:tcPr>
            <w:tcW w:type="dxa" w:w="2340"/>
          </w:tcPr>
          <w:p>
            <w:r/>
            <w:r>
              <w:t>Count by module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BlockchainAnchor</w:t>
            </w:r>
            <w:r>
              <w:t xml:space="preserve"> groupBy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Recent chain activity</w:t>
            </w:r>
          </w:p>
        </w:tc>
        <w:tc>
          <w:tcPr>
            <w:tcW w:type="dxa" w:w="2340"/>
          </w:tcPr>
          <w:p>
            <w:r/>
            <w:r>
              <w:t>Last 10 anchors/credentials with tx ref</w:t>
            </w:r>
          </w:p>
        </w:tc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Anchors + credentials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Quick actions</w:t>
            </w:r>
          </w:p>
        </w:tc>
        <w:tc>
          <w:tcPr>
            <w:tcW w:type="dxa" w:w="2340"/>
          </w:tcPr>
          <w:p>
            <w:r/>
            <w:r>
              <w:t>Settings, Users (retry failed), Audit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UI navigation</w:t>
            </w:r>
          </w:p>
        </w:tc>
      </w:tr>
    </w:tbl>
    <w:p/>
    <w:p>
      <w:pPr>
        <w:pStyle w:val="Heading3"/>
      </w:pPr>
      <w:r>
        <w:t>API extension — `GET /api/dashboard` (super_admin only)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knuct: {</w:t>
        <w:br/>
        <w:t xml:space="preserve">  enabled: boolean;</w:t>
        <w:br/>
        <w:t xml:space="preserve">  adapterMode: 'mock' | 'live';</w:t>
        <w:br/>
        <w:t xml:space="preserve">  health: 'ok' | 'degraded' | 'down';</w:t>
        <w:br/>
        <w:t xml:space="preserve">  circuitBreakerOpen: boolean;</w:t>
        <w:br/>
        <w:t xml:space="preserve">  wallets: { total: number; active: number; failed: number; pending: number };</w:t>
        <w:br/>
        <w:t xml:space="preserve">  didCoveragePct: number;</w:t>
        <w:br/>
        <w:t xml:space="preserve">  credentials: { today: number; week: number; failed: number; byType: Record&lt;string, number&gt; };</w:t>
        <w:br/>
        <w:t xml:space="preserve">  anchors: { today: number; byModule: Record&lt;string, number&gt; };</w:t>
        <w:br/>
        <w:t xml:space="preserve">  recentActivity: Array&lt;{ type: 'anchor' | 'credential'; module: string; ref: string; at: string }&gt;;</w:t>
        <w:br/>
        <w:t>}</w:t>
      </w:r>
    </w:p>
    <w:p>
      <w:pPr>
        <w:pStyle w:val="Heading3"/>
      </w:pPr>
      <w:r>
        <w:t>Files to implement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4680"/>
          </w:tcPr>
          <w:p>
            <w:r/>
            <w:r>
              <w:t>------</w:t>
            </w:r>
          </w:p>
        </w:tc>
        <w:tc>
          <w:tcPr>
            <w:tcW w:type="dxa" w:w="4680"/>
          </w:tcPr>
          <w:p>
            <w:r/>
            <w:r>
              <w:t>--------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src/app/api/dashboard/route.ts</w:t>
            </w:r>
          </w:p>
        </w:tc>
        <w:tc>
          <w:tcPr>
            <w:tcW w:type="dxa" w:w="4680"/>
          </w:tcPr>
          <w:p>
            <w:r/>
            <w:r>
              <w:t xml:space="preserve">Role-gated </w:t>
            </w:r>
            <w:r>
              <w:rPr>
                <w:rFonts w:ascii="Consolas" w:hAnsi="Consolas"/>
                <w:sz w:val="18"/>
              </w:rPr>
              <w:t>knuct</w:t>
            </w:r>
            <w:r>
              <w:t xml:space="preserve"> stats for </w:t>
            </w:r>
            <w:r>
              <w:rPr>
                <w:rFonts w:ascii="Consolas" w:hAnsi="Consolas"/>
                <w:sz w:val="18"/>
              </w:rPr>
              <w:t>super_admin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src/components/sections/dashboard-section.tsx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KnuctOpsPanel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AdminDashboard</w:t>
            </w:r>
            <w:r>
              <w:t xml:space="preserve"> for </w:t>
            </w:r>
            <w:r>
              <w:rPr>
                <w:rFonts w:ascii="Consolas" w:hAnsi="Consolas"/>
                <w:sz w:val="18"/>
              </w:rPr>
              <w:t>super_admin</w:t>
            </w:r>
            <w:r>
              <w:t xml:space="preserve"> only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src/lib/knuct/types.ts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KnuctDashboardStats</w:t>
            </w:r>
            <w:r>
              <w:t xml:space="preserve"> type</w:t>
            </w:r>
          </w:p>
        </w:tc>
      </w:tr>
    </w:tbl>
    <w:p/>
    <w:p>
      <w:r>
        <w:rPr>
          <w:i/>
          <w:color w:val="666666"/>
          <w:sz w:val="18"/>
        </w:rPr>
        <w:t>[Architecture diagram — see markdown source for mermaid rendering]</w:t>
      </w:r>
    </w:p>
    <w:p>
      <w:pPr>
        <w:spacing w:before="80" w:after="80"/>
        <w:ind w:left="288"/>
      </w:pPr>
      <w:r>
        <w:rPr>
          <w:rFonts w:ascii="Consolas" w:hAnsi="Consolas"/>
          <w:sz w:val="16"/>
        </w:rPr>
        <w:t>flowchart TB</w:t>
        <w:br/>
        <w:t xml:space="preserve">    subgraph superAdminDash [super_admin_Dashboard]</w:t>
        <w:br/>
        <w:t xml:space="preserve">        KnuctOps[KnuctOpsPanel]</w:t>
        <w:br/>
        <w:t xml:space="preserve">        Analytics[AnalyticsInsightsPanel]</w:t>
        <w:br/>
        <w:t xml:space="preserve">        Stats[Campus_StatCards]</w:t>
        <w:br/>
        <w:t xml:space="preserve">    end</w:t>
        <w:br/>
        <w:t xml:space="preserve">    KnuctOps --&gt; DashboardAPI[GET_api_dashboard_knuct_block]</w:t>
        <w:br/>
        <w:t xml:space="preserve">    DashboardAPI --&gt; KnuctWallet[(KnuctWallet)]</w:t>
        <w:br/>
        <w:t xml:space="preserve">    DashboardAPI --&gt; Anchors[(BlockchainAnchor)]</w:t>
      </w:r>
    </w:p>
    <w:p/>
    <w:p>
      <w:pPr>
        <w:pStyle w:val="Heading1"/>
      </w:pPr>
      <w:r>
        <w:rPr>
          <w:color w:val="1A3C6E"/>
        </w:rPr>
        <w:t>13.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3120"/>
          </w:tcPr>
          <w:p>
            <w:r/>
            <w:r>
              <w:t>------</w:t>
            </w:r>
          </w:p>
        </w:tc>
        <w:tc>
          <w:tcPr>
            <w:tcW w:type="dxa" w:w="3120"/>
          </w:tcPr>
          <w:p>
            <w:r/>
            <w:r>
              <w:t>--------</w:t>
            </w:r>
          </w:p>
        </w:tc>
        <w:tc>
          <w:tcPr>
            <w:tcW w:type="dxa" w:w="3120"/>
          </w:tcPr>
          <w:p>
            <w:r/>
            <w:r>
              <w:t>------------</w:t>
            </w:r>
          </w:p>
        </w:tc>
      </w:tr>
      <w:tr>
        <w:tc>
          <w:tcPr>
            <w:tcW w:type="dxa" w:w="3120"/>
          </w:tcPr>
          <w:p>
            <w:r/>
            <w:r>
              <w:t>Vendor API unstable / test mode</w:t>
            </w:r>
          </w:p>
        </w:tc>
        <w:tc>
          <w:tcPr>
            <w:tcW w:type="dxa" w:w="3120"/>
          </w:tcPr>
          <w:p>
            <w:r/>
            <w:r>
              <w:t>Wallet provisioning fails</w:t>
            </w:r>
          </w:p>
        </w:tc>
        <w:tc>
          <w:tcPr>
            <w:tcW w:type="dxa" w:w="3120"/>
          </w:tcPr>
          <w:p>
            <w:r/>
            <w:r>
              <w:t>Mock adapter; feature flag; non-blocking failures; contract test suite (Section 9)</w:t>
            </w:r>
          </w:p>
        </w:tc>
      </w:tr>
      <w:tr>
        <w:tc>
          <w:tcPr>
            <w:tcW w:type="dxa" w:w="3120"/>
          </w:tcPr>
          <w:p>
            <w:r/>
            <w:r>
              <w:t>2-minute privshare expiry</w:t>
            </w:r>
          </w:p>
        </w:tc>
        <w:tc>
          <w:tcPr>
            <w:tcW w:type="dxa" w:w="3120"/>
          </w:tcPr>
          <w:p>
            <w:r/>
            <w:r>
              <w:t>Lost private share</w:t>
            </w:r>
          </w:p>
        </w:tc>
        <w:tc>
          <w:tcPr>
            <w:tcW w:type="dxa" w:w="3120"/>
          </w:tcPr>
          <w:p>
            <w:r/>
            <w:r>
              <w:t>Synchronous fetch within same job execution; no queue hop between steps 2 and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starttempnode</w:t>
            </w:r>
            <w:r>
              <w:t xml:space="preserve"> per client</w:t>
            </w:r>
          </w:p>
        </w:tc>
        <w:tc>
          <w:tcPr>
            <w:tcW w:type="dxa" w:w="3120"/>
          </w:tcPr>
          <w:p>
            <w:r/>
            <w:r>
              <w:t>Scale/cost at 1000+ students</w:t>
            </w:r>
          </w:p>
        </w:tc>
        <w:tc>
          <w:tcPr>
            <w:tcW w:type="dxa" w:w="3120"/>
          </w:tcPr>
          <w:p>
            <w:r/>
            <w:r>
              <w:t>Clarify with Knuct (Section 14); load-test at small N first (Section 9)</w:t>
            </w:r>
          </w:p>
        </w:tc>
      </w:tr>
      <w:tr>
        <w:tc>
          <w:tcPr>
            <w:tcW w:type="dxa" w:w="3120"/>
          </w:tcPr>
          <w:p>
            <w:r/>
            <w:r>
              <w:t>Missing certificate APIs</w:t>
            </w:r>
          </w:p>
        </w:tc>
        <w:tc>
          <w:tcPr>
            <w:tcW w:type="dxa" w:w="3120"/>
          </w:tcPr>
          <w:p>
            <w:r/>
            <w:r>
              <w:t>Cannot issue credentials</w:t>
            </w:r>
          </w:p>
        </w:tc>
        <w:tc>
          <w:tcPr>
            <w:tcW w:type="dxa" w:w="3120"/>
          </w:tcPr>
          <w:p>
            <w:r/>
            <w:r>
              <w:t>Phase 2 blocked; hash anchoring in Phase 3 as interim</w:t>
            </w:r>
          </w:p>
        </w:tc>
      </w:tr>
      <w:tr>
        <w:tc>
          <w:tcPr>
            <w:tcW w:type="dxa" w:w="3120"/>
          </w:tcPr>
          <w:p>
            <w:r/>
            <w:r>
              <w:t>Privshare storage security</w:t>
            </w:r>
          </w:p>
        </w:tc>
        <w:tc>
          <w:tcPr>
            <w:tcW w:type="dxa" w:w="3120"/>
          </w:tcPr>
          <w:p>
            <w:r/>
            <w:r>
              <w:t>Key compromise</w:t>
            </w:r>
          </w:p>
        </w:tc>
        <w:tc>
          <w:tcPr>
            <w:tcW w:type="dxa" w:w="3120"/>
          </w:tcPr>
          <w:p>
            <w:r/>
            <w:r>
              <w:t>Encrypt at rest; secrets-manager key custody; never expose to browser</w:t>
            </w:r>
          </w:p>
        </w:tc>
      </w:tr>
      <w:tr>
        <w:tc>
          <w:tcPr>
            <w:tcW w:type="dxa" w:w="3120"/>
          </w:tcPr>
          <w:p>
            <w:r/>
            <w:r>
              <w:t>Non-standard DID format</w:t>
            </w:r>
          </w:p>
        </w:tc>
        <w:tc>
          <w:tcPr>
            <w:tcW w:type="dxa" w:w="3120"/>
          </w:tcPr>
          <w:p>
            <w:r/>
            <w:r>
              <w:t>Future interoperability cost</w:t>
            </w:r>
          </w:p>
        </w:tc>
        <w:tc>
          <w:tcPr>
            <w:tcW w:type="dxa" w:w="3120"/>
          </w:tcPr>
          <w:p>
            <w:r/>
            <w:r>
              <w:t>Internal mapping layer if external verification needed (Section 2.1)</w:t>
            </w:r>
          </w:p>
        </w:tc>
      </w:tr>
      <w:tr>
        <w:tc>
          <w:tcPr>
            <w:tcW w:type="dxa" w:w="3120"/>
          </w:tcPr>
          <w:p>
            <w:r/>
            <w:r>
              <w:t>DPDP / student-data compliance</w:t>
            </w:r>
          </w:p>
        </w:tc>
        <w:tc>
          <w:tcPr>
            <w:tcW w:type="dxa" w:w="3120"/>
          </w:tcPr>
          <w:p>
            <w:r/>
            <w:r>
              <w:t>Regulatory exposure</w:t>
            </w:r>
          </w:p>
        </w:tc>
        <w:tc>
          <w:tcPr>
            <w:tcW w:type="dxa" w:w="3120"/>
          </w:tcPr>
          <w:p>
            <w:r/>
            <w:r>
              <w:t>Hash-only anchoring for PII; DPA before production (Section 8)</w:t>
            </w:r>
          </w:p>
        </w:tc>
      </w:tr>
      <w:tr>
        <w:tc>
          <w:tcPr>
            <w:tcW w:type="dxa" w:w="3120"/>
          </w:tcPr>
          <w:p>
            <w:r/>
            <w:r>
              <w:t>Unverified security claims</w:t>
            </w:r>
          </w:p>
        </w:tc>
        <w:tc>
          <w:tcPr>
            <w:tcW w:type="dxa" w:w="3120"/>
          </w:tcPr>
          <w:p>
            <w:r/>
            <w:r>
              <w:t>Compliance/reputation</w:t>
            </w:r>
          </w:p>
        </w:tc>
        <w:tc>
          <w:tcPr>
            <w:tcW w:type="dxa" w:w="3120"/>
          </w:tcPr>
          <w:p>
            <w:r/>
            <w:r>
              <w:t>Do not use in JNTUH external materials without independent audit</w:t>
            </w:r>
          </w:p>
        </w:tc>
      </w:tr>
      <w:tr>
        <w:tc>
          <w:tcPr>
            <w:tcW w:type="dxa" w:w="3120"/>
          </w:tcPr>
          <w:p>
            <w:r/>
            <w:r>
              <w:t>No documented vendor auth</w:t>
            </w:r>
          </w:p>
        </w:tc>
        <w:tc>
          <w:tcPr>
            <w:tcW w:type="dxa" w:w="3120"/>
          </w:tcPr>
          <w:p>
            <w:r/>
            <w:r>
              <w:t>Unclear tenant isolation</w:t>
            </w:r>
          </w:p>
        </w:tc>
        <w:tc>
          <w:tcPr>
            <w:tcW w:type="dxa" w:w="3120"/>
          </w:tcPr>
          <w:p>
            <w:r/>
            <w:r>
              <w:t>Do not point production at current sandbox; require vendor auth before pilot expands</w:t>
            </w:r>
          </w:p>
        </w:tc>
      </w:tr>
    </w:tbl>
    <w:p/>
    <w:p/>
    <w:p>
      <w:pPr>
        <w:pStyle w:val="Heading1"/>
      </w:pPr>
      <w:r>
        <w:rPr>
          <w:color w:val="1A3C6E"/>
        </w:rPr>
        <w:t>14. Open Questions for Knuct Vendor</w:t>
      </w:r>
    </w:p>
    <w:p>
      <w:pPr>
        <w:pStyle w:val="ListNumber"/>
      </w:pPr>
      <w:r>
        <w:t>What is the exact format of the downloaded privshare (binary, image, JSON)?</w:t>
      </w:r>
    </w:p>
    <w:p>
      <w:pPr>
        <w:pStyle w:val="ListNumber"/>
      </w:pPr>
      <w:r>
        <w:t>What are the certificate/asset token mint, publish, and public verify API endpoints?</w:t>
      </w:r>
    </w:p>
    <w:p>
      <w:pPr>
        <w:pStyle w:val="ListNumber"/>
      </w:pPr>
      <w:r>
        <w:t>Is there an API key or tenant ID for multi-client production use, and how is tenant isolation enforced?</w:t>
      </w:r>
    </w:p>
    <w:p>
      <w:pPr>
        <w:pStyle w:val="ListNumber"/>
      </w:pPr>
      <w:r>
        <w:t>What are error codes and safe retry semantics, given the "do not retry" warning in the current doc?</w:t>
      </w:r>
    </w:p>
    <w:p>
      <w:pPr>
        <w:pStyle w:val="ListNumber"/>
      </w:pPr>
      <w:r>
        <w:t xml:space="preserve">Can one </w:t>
      </w:r>
      <w:r>
        <w:rPr>
          <w:rFonts w:ascii="Consolas" w:hAnsi="Consolas"/>
          <w:sz w:val="18"/>
        </w:rPr>
        <w:t>starttempnode</w:t>
      </w:r>
      <w:r>
        <w:t xml:space="preserve"> instance serve multiple wallet creations, or is it strictly 1:1 per user?</w:t>
      </w:r>
    </w:p>
    <w:p>
      <w:pPr>
        <w:pStyle w:val="ListNumber"/>
      </w:pPr>
      <w:r>
        <w:t>What is the cost/concurrency model for campus-scale (1,000+ student) onboarding?</w:t>
      </w:r>
    </w:p>
    <w:p>
      <w:pPr>
        <w:pStyle w:val="ListNumber"/>
      </w:pPr>
      <w:r>
        <w:t>Is there a W3C-conformant DID Document/resolver, or is the CID the entire identity artifact? (Section 2.1)</w:t>
      </w:r>
    </w:p>
    <w:p>
      <w:pPr>
        <w:pStyle w:val="ListNumber"/>
      </w:pPr>
      <w:r>
        <w:t xml:space="preserve">Where is </w:t>
      </w:r>
      <w:r>
        <w:rPr>
          <w:rFonts w:ascii="Consolas" w:hAnsi="Consolas"/>
          <w:sz w:val="18"/>
        </w:rPr>
        <w:t>webwallet.knuct.com</w:t>
      </w:r>
      <w:r>
        <w:t xml:space="preserve"> hosted, and is a data-processing agreement available for student-data handling under India's DPDP Act? (Section 8)</w:t>
      </w:r>
    </w:p>
    <w:p>
      <w:pPr>
        <w:pStyle w:val="ListNumber"/>
      </w:pPr>
      <w:r>
        <w:t>Is there a dedicated staging/sandbox tenant separate from the shared public dev environment referenced in the current docs?</w:t>
      </w:r>
    </w:p>
    <w:p>
      <w:pPr>
        <w:pStyle w:val="ListNumber"/>
      </w:pPr>
      <w:r>
        <w:t>After privshare download, is the wallet passphrase still required for future operations, and should SCMS persist it encrypted alongside the privshare?</w:t>
      </w:r>
    </w:p>
    <w:p/>
    <w:p>
      <w:pPr>
        <w:pStyle w:val="Heading1"/>
      </w:pPr>
      <w:r>
        <w:rPr>
          <w:color w:val="1A3C6E"/>
        </w:rPr>
        <w:t>15. Conclusion</w:t>
      </w:r>
    </w:p>
    <w:p>
      <w:r>
        <w:t xml:space="preserve">Knuct is most immediately applicable to JNTUH SCMS as a </w:t>
      </w:r>
      <w:r>
        <w:rPr>
          <w:b/>
        </w:rPr>
        <w:t>decentralized identity layer</w:t>
      </w:r>
      <w:r>
        <w:t xml:space="preserve"> (wallet + DID per user) using the documented API. Higher-value campus use cases — verifiable attendance certificates, grade transcripts, and tamper-evident audit trails — align strongly with SCMS data models but require additional Knuct APIs not yet available.</w:t>
      </w:r>
    </w:p>
    <w:p>
      <w:r>
        <w:t xml:space="preserve">The recommended approach is a </w:t>
      </w:r>
      <w:r>
        <w:rPr>
          <w:b/>
        </w:rPr>
        <w:t>phased, adapter-based integration</w:t>
      </w:r>
      <w:r>
        <w:t xml:space="preserve"> that preserves PostgreSQL as the authoritative store, keeps blockchain features optional and feature-flagged until vendor APIs mature, and treats Phase 1 as a small, reversible pilot rather than a campus-wide commitment — with the vendor bearing the burden of answering Section 14 in writing before Phase 0 is considered closed.</w:t>
      </w:r>
    </w:p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