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bec4cf485c786906d1b98370e678061aec2c06"/>
      <w:r>
        <w:t xml:space="preserve">Automated Transaction Reconciliation — Product Requirements Document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Ifeanyi Awa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v1 · Portfolio artifact</w:t>
      </w:r>
      <w:r>
        <w:t xml:space="preserve"> </w:t>
      </w:r>
      <w:r>
        <w:rPr>
          <w:b/>
        </w:rPr>
        <w:t xml:space="preserve">Domain:</w:t>
      </w:r>
      <w:r>
        <w:t xml:space="preserve"> </w:t>
      </w:r>
      <w:r>
        <w:t xml:space="preserve">Money movement / payments operations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blem"/>
      <w:r>
        <w:t xml:space="preserve">1. Problem</w:t>
      </w:r>
      <w:bookmarkEnd w:id="21"/>
    </w:p>
    <w:p>
      <w:pPr>
        <w:pStyle w:val="FirstParagraph"/>
      </w:pPr>
      <w:r>
        <w:t xml:space="preserve">Reconciliation between our internal ledger and partner-processor settlement reports is done manually in spreadsheets. An analyst exports the day’s internal transactions, downloads each processor’s report, and eyeballs them side by side — matching on whatever columns line up, chasing differences by hand. This is the pattern in most scaling payments businesses, and it breaks in predictable ways: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It doesn’t scale.</w:t>
      </w:r>
      <w:r>
        <w:t xml:space="preserve"> </w:t>
      </w:r>
      <w:r>
        <w:t xml:space="preserve">Effort grows linearly with volume and with every new processor and corridor. More partners means more formats, more tabs, more manual joins.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It’s slow and late.</w:t>
      </w:r>
      <w:r>
        <w:t xml:space="preserve"> </w:t>
      </w:r>
      <w:r>
        <w:t xml:space="preserve">The daily close depends on a person finishing a spreadsheet. Treasury and finance get a true cash position hours or days after the fact.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It’s error-prone and opaque.</w:t>
      </w:r>
      <w:r>
        <w:t xml:space="preserve"> </w:t>
      </w:r>
      <w:r>
        <w:t xml:space="preserve">Manual matching misses breaks, and there’s no durable audit trail of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something was marked reconciled. The knowledge lives in one analyst’s head (</w:t>
      </w:r>
      <w:r>
        <w:t xml:space="preserve">“</w:t>
      </w:r>
      <w:r>
        <w:t xml:space="preserve">tribal knowledge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It hides money problems.</w:t>
      </w:r>
      <w:r>
        <w:t xml:space="preserve"> </w:t>
      </w:r>
      <w:r>
        <w:t xml:space="preserve">A transaction that settled short, a duplicate payout, a processor-side entry that never hit our ledger — these are financial and fraud risks that a spreadsheet surfaces late, if at all.</w:t>
      </w:r>
    </w:p>
    <w:p>
      <w:pPr>
        <w:pStyle w:val="FirstParagraph"/>
      </w:pPr>
      <w:r>
        <w:t xml:space="preserve">The underlying issue is that there is no reliable, shared key to join the two sides on, and no system that applies consistent matching rules and routes the differences.</w:t>
      </w:r>
    </w:p>
    <w:p>
      <w:pPr>
        <w:pStyle w:val="Heading2"/>
      </w:pPr>
      <w:bookmarkStart w:id="22" w:name="goals-non-goals"/>
      <w:r>
        <w:t xml:space="preserve">2. Goals &amp; non-goals</w:t>
      </w:r>
      <w:bookmarkEnd w:id="22"/>
    </w:p>
    <w:p>
      <w:pPr>
        <w:pStyle w:val="FirstParagraph"/>
      </w:pPr>
      <w:r>
        <w:rPr>
          <w:b/>
        </w:rPr>
        <w:t xml:space="preserve">Goals</w:t>
      </w:r>
    </w:p>
    <w:p>
      <w:pPr>
        <w:numPr>
          <w:ilvl w:val="0"/>
          <w:numId w:val="1002"/>
        </w:numPr>
        <w:pStyle w:val="Compact"/>
      </w:pPr>
      <w:r>
        <w:t xml:space="preserve">Replace manual spreadsheet matching with an automated engine that reconciles the internal ledger against every partner-processor feed on a defined cadence (at least daily).</w:t>
      </w:r>
    </w:p>
    <w:p>
      <w:pPr>
        <w:numPr>
          <w:ilvl w:val="0"/>
          <w:numId w:val="1002"/>
        </w:numPr>
        <w:pStyle w:val="Compact"/>
      </w:pPr>
      <w:r>
        <w:t xml:space="preserve">Match on a</w:t>
      </w:r>
      <w:r>
        <w:t xml:space="preserve"> </w:t>
      </w:r>
      <w:r>
        <w:rPr>
          <w:b/>
        </w:rPr>
        <w:t xml:space="preserve">unique transaction reference</w:t>
      </w:r>
      <w:r>
        <w:t xml:space="preserve"> </w:t>
      </w:r>
      <w:r>
        <w:t xml:space="preserve">as the authoritative key between internal and external systems, then validate amount, currency, status and settlement date within configurable tolerances.</w:t>
      </w:r>
    </w:p>
    <w:p>
      <w:pPr>
        <w:numPr>
          <w:ilvl w:val="0"/>
          <w:numId w:val="1002"/>
        </w:numPr>
        <w:pStyle w:val="Compact"/>
      </w:pPr>
      <w:r>
        <w:t xml:space="preserve">Classify every unmatched or discrepant record into a clear</w:t>
      </w:r>
      <w:r>
        <w:t xml:space="preserve"> </w:t>
      </w:r>
      <w:r>
        <w:rPr>
          <w:b/>
        </w:rPr>
        <w:t xml:space="preserve">break taxonomy</w:t>
      </w:r>
      <w:r>
        <w:t xml:space="preserve"> </w:t>
      </w:r>
      <w:r>
        <w:t xml:space="preserve">and route it to an exception worklist with an owner and a resolution state.</w:t>
      </w:r>
    </w:p>
    <w:p>
      <w:pPr>
        <w:numPr>
          <w:ilvl w:val="0"/>
          <w:numId w:val="1002"/>
        </w:numPr>
        <w:pStyle w:val="Compact"/>
      </w:pPr>
      <w:r>
        <w:t xml:space="preserve">Produce a trustworthy, auditable cleared position that treasury and finance can rely on for the daily close and liquidity view.</w:t>
      </w:r>
    </w:p>
    <w:p>
      <w:pPr>
        <w:numPr>
          <w:ilvl w:val="0"/>
          <w:numId w:val="1002"/>
        </w:numPr>
        <w:pStyle w:val="Compact"/>
      </w:pPr>
      <w:r>
        <w:t xml:space="preserve">Shrink the time-to-close and the manual effort per transaction, and let both stay flat as volume and processor count grow.</w:t>
      </w:r>
    </w:p>
    <w:p>
      <w:pPr>
        <w:pStyle w:val="FirstParagraph"/>
      </w:pPr>
      <w:r>
        <w:rPr>
          <w:b/>
        </w:rPr>
        <w:t xml:space="preserve">Non-goals (v1)</w:t>
      </w:r>
    </w:p>
    <w:p>
      <w:pPr>
        <w:numPr>
          <w:ilvl w:val="0"/>
          <w:numId w:val="1003"/>
        </w:numPr>
        <w:pStyle w:val="Compact"/>
      </w:pPr>
      <w:r>
        <w:t xml:space="preserve">Not a general-ledger or accounting system — it reconciles and feeds the ledger of record; it doesn’t replace it.</w:t>
      </w:r>
    </w:p>
    <w:p>
      <w:pPr>
        <w:numPr>
          <w:ilvl w:val="0"/>
          <w:numId w:val="1003"/>
        </w:numPr>
        <w:pStyle w:val="Compact"/>
      </w:pPr>
      <w:r>
        <w:t xml:space="preserve">Not automated</w:t>
      </w:r>
      <w:r>
        <w:t xml:space="preserve"> </w:t>
      </w:r>
      <w:r>
        <w:rPr>
          <w:i/>
        </w:rPr>
        <w:t xml:space="preserve">remediation</w:t>
      </w:r>
      <w:r>
        <w:t xml:space="preserve"> </w:t>
      </w:r>
      <w:r>
        <w:t xml:space="preserve">of breaks (e.g. auto-issuing refunds). v1 detects, classifies and routes; humans resolve.</w:t>
      </w:r>
    </w:p>
    <w:p>
      <w:pPr>
        <w:numPr>
          <w:ilvl w:val="0"/>
          <w:numId w:val="1003"/>
        </w:numPr>
        <w:pStyle w:val="Compact"/>
      </w:pPr>
      <w:r>
        <w:t xml:space="preserve">Not real-time per-transaction reconciliation. v1 is batch on a daily (or intra-day) cadence; streaming is a later phase.</w:t>
      </w:r>
    </w:p>
    <w:p>
      <w:pPr>
        <w:numPr>
          <w:ilvl w:val="0"/>
          <w:numId w:val="1003"/>
        </w:numPr>
        <w:pStyle w:val="Compact"/>
      </w:pPr>
      <w:r>
        <w:t xml:space="preserve">Not a replacement for the central payments-infrastructure/API layer — this consumes and feeds that shared layer rather than duplicating it.</w:t>
      </w:r>
    </w:p>
    <w:p>
      <w:pPr>
        <w:pStyle w:val="Heading2"/>
      </w:pPr>
      <w:bookmarkStart w:id="23" w:name="X25cc968d9a1a2d6590ac4602d5b2f38c5e3bc7c"/>
      <w:r>
        <w:t xml:space="preserve">3. Prerequisite requirements on partner processors</w:t>
      </w:r>
      <w:bookmarkEnd w:id="23"/>
    </w:p>
    <w:p>
      <w:pPr>
        <w:pStyle w:val="FirstParagraph"/>
      </w:pPr>
      <w:r>
        <w:t xml:space="preserve">Automated reconciliation is only possible if the inputs are machine-readable and share a key. These are contractual/integration requirements placed on every processor before onboarding them to the engine: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Daily report delivery</w:t>
      </w:r>
      <w:r>
        <w:t xml:space="preserve"> </w:t>
      </w:r>
      <w:r>
        <w:t xml:space="preserve">— each processor provides a complete settlement report for each processing day, delivered by</w:t>
      </w:r>
      <w:r>
        <w:t xml:space="preserve"> </w:t>
      </w:r>
      <w:r>
        <w:rPr>
          <w:b/>
        </w:rPr>
        <w:t xml:space="preserve">one of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SFTP</w:t>
      </w:r>
      <w:r>
        <w:t xml:space="preserve"> </w:t>
      </w:r>
      <w:r>
        <w:t xml:space="preserve">drop of a structured file (CSV/JSON) to an agreed location on an agreed schedule,</w:t>
      </w:r>
      <w:r>
        <w:t xml:space="preserve"> </w:t>
      </w:r>
      <w:r>
        <w:rPr>
          <w:b/>
        </w:rPr>
        <w:t xml:space="preserve">or</w:t>
      </w:r>
    </w:p>
    <w:p>
      <w:pPr>
        <w:numPr>
          <w:ilvl w:val="1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transactions API endpoint</w:t>
      </w:r>
      <w:r>
        <w:t xml:space="preserve"> </w:t>
      </w:r>
      <w:r>
        <w:t xml:space="preserve">we can pull (e.g. </w:t>
      </w:r>
      <w:r>
        <w:rPr>
          <w:rStyle w:val="VerbatimChar"/>
        </w:rPr>
        <w:t xml:space="preserve">GET /transactions?date=…</w:t>
      </w:r>
      <w:r>
        <w:t xml:space="preserve">) with pagination.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Unique transaction reference</w:t>
      </w:r>
      <w:r>
        <w:t xml:space="preserve"> </w:t>
      </w:r>
      <w:r>
        <w:t xml:space="preserve">— the processor must</w:t>
      </w:r>
      <w:r>
        <w:t xml:space="preserve"> </w:t>
      </w:r>
      <w:r>
        <w:rPr>
          <w:b/>
        </w:rPr>
        <w:t xml:space="preserve">accept a unique, caller-supplied reference on each transaction at initiation and echo it back unchanged</w:t>
      </w:r>
      <w:r>
        <w:t xml:space="preserve"> </w:t>
      </w:r>
      <w:r>
        <w:t xml:space="preserve">on every report and API record. This reference is the single join key between our ledger and theirs. (Where a processor also returns its own ID, we store it, but ours is the match key.)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Consistent, documented fields</w:t>
      </w:r>
      <w:r>
        <w:t xml:space="preserve"> </w:t>
      </w:r>
      <w:r>
        <w:t xml:space="preserve">— at minimum: reference, amount, currency, status, and settlement/value date; fees itemised separately from principal; a documented and stable status vocabulary.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Completeness &amp; timeliness</w:t>
      </w:r>
      <w:r>
        <w:t xml:space="preserve"> </w:t>
      </w:r>
      <w:r>
        <w:t xml:space="preserve">— the report covers the full day with a clear cut-off, and arrives within an agreed window so the close isn’t blocked.</w:t>
      </w:r>
    </w:p>
    <w:p>
      <w:pPr>
        <w:pStyle w:val="BlockText"/>
      </w:pPr>
      <w:r>
        <w:t xml:space="preserve">The unique reference is the keystone requirement. Everything else degrades gracefully; without a shared reference, reconciliation falls back to fuzzy, low-confidence matching.</w:t>
      </w:r>
    </w:p>
    <w:p>
      <w:pPr>
        <w:pStyle w:val="Heading2"/>
      </w:pPr>
      <w:bookmarkStart w:id="24" w:name="how-it-works-functional-overview"/>
      <w:r>
        <w:t xml:space="preserve">4. How it works (functional overview)</w:t>
      </w:r>
      <w:bookmarkEnd w:id="24"/>
    </w:p>
    <w:p>
      <w:pPr>
        <w:pStyle w:val="FirstParagraph"/>
      </w:pPr>
      <w:r>
        <w:t xml:space="preserve">Five stages, from feeds to a cleared position (see the companion architecture diagram):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Ingestion</w:t>
      </w:r>
      <w:r>
        <w:t xml:space="preserve"> </w:t>
      </w:r>
      <w:r>
        <w:t xml:space="preserve">— scheduled SFTP pickups and API pollers collect each processor’s daily feed, validate arrival/schema/completeness, and alert on missing or late feeds. Raw feeds land in an immutable store for audit and replay.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Normalization</w:t>
      </w:r>
      <w:r>
        <w:t xml:space="preserve"> </w:t>
      </w:r>
      <w:r>
        <w:t xml:space="preserve">— each processor’s format is mapped to one canonical schema (reference, amount in minor units, currency, status, value date, fees). Status vocabularies, currency codes and timezones are standardized; fees separated from principal.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Matching</w:t>
      </w:r>
      <w:r>
        <w:t xml:space="preserve"> </w:t>
      </w:r>
      <w:r>
        <w:t xml:space="preserve">— the engine joins internal and external records on the unique reference, then validates the matched pair against tolerances.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Classification &amp; routing</w:t>
      </w:r>
      <w:r>
        <w:t xml:space="preserve"> </w:t>
      </w:r>
      <w:r>
        <w:t xml:space="preserve">— matched pairs are cleared; everything else is typed into the break taxonomy and pushed to the exception worklist.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Outputs</w:t>
      </w:r>
      <w:r>
        <w:t xml:space="preserve"> </w:t>
      </w:r>
      <w:r>
        <w:t xml:space="preserve">— a cleared ledger position for treasury/finance, the exception worklist, and a dashboard of reconciliation health.</w:t>
      </w:r>
    </w:p>
    <w:p>
      <w:pPr>
        <w:pStyle w:val="Heading2"/>
      </w:pPr>
      <w:bookmarkStart w:id="25" w:name="matching-logic-tolerances"/>
      <w:r>
        <w:t xml:space="preserve">5. Matching logic &amp; tolerances</w:t>
      </w:r>
      <w:bookmarkEnd w:id="25"/>
    </w:p>
    <w:p>
      <w:pPr>
        <w:pStyle w:val="FirstParagraph"/>
      </w:pPr>
      <w:r>
        <w:t xml:space="preserve">Match is a deterministic sequence applied per reference: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 → break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Reference present on</w:t>
            </w:r>
            <w:r>
              <w:t xml:space="preserve"> </w:t>
            </w:r>
            <w:r>
              <w:rPr>
                <w:b/>
              </w:rPr>
              <w:t xml:space="preserve">both</w:t>
            </w:r>
            <w:r>
              <w:t xml:space="preserve"> </w:t>
            </w:r>
            <w:r>
              <w:t xml:space="preserve">sides</w:t>
            </w:r>
          </w:p>
        </w:tc>
        <w:tc>
          <w:p>
            <w:pPr>
              <w:pStyle w:val="Compact"/>
              <w:jc w:val="left"/>
            </w:pPr>
            <w:r>
              <w:t xml:space="preserve">continue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 at processor</w:t>
            </w:r>
            <w:r>
              <w:t xml:space="preserve"> </w:t>
            </w:r>
            <w:r>
              <w:t xml:space="preserve">(ledger-only) /</w:t>
            </w:r>
            <w:r>
              <w:t xml:space="preserve"> </w:t>
            </w:r>
            <w:r>
              <w:rPr>
                <w:b/>
              </w:rPr>
              <w:t xml:space="preserve">Missing in ledger</w:t>
            </w:r>
            <w:r>
              <w:t xml:space="preserve"> </w:t>
            </w:r>
            <w:r>
              <w:t xml:space="preserve">(processor-only)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Reference appears once per side</w:t>
            </w:r>
          </w:p>
        </w:tc>
        <w:tc>
          <w:p>
            <w:pPr>
              <w:pStyle w:val="Compact"/>
              <w:jc w:val="left"/>
            </w:pPr>
            <w:r>
              <w:t xml:space="preserve">continue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Duplicate</w:t>
            </w:r>
            <w:r>
              <w:t xml:space="preserve"> </w:t>
            </w:r>
            <w:r>
              <w:t xml:space="preserve">(double-posted)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Currency identical</w:t>
            </w:r>
          </w:p>
        </w:tc>
        <w:tc>
          <w:p>
            <w:pPr>
              <w:pStyle w:val="Compact"/>
              <w:jc w:val="left"/>
            </w:pPr>
            <w:r>
              <w:t xml:space="preserve">continue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Currency mismatch</w:t>
            </w:r>
            <w:r>
              <w:t xml:space="preserve"> </w:t>
            </w:r>
            <w:r>
              <w:t xml:space="preserve">(route to FX/treasury)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|amount difference| ≤ amount tolerance</w:t>
            </w:r>
          </w:p>
        </w:tc>
        <w:tc>
          <w:p>
            <w:pPr>
              <w:pStyle w:val="Compact"/>
              <w:jc w:val="left"/>
            </w:pPr>
            <w:r>
              <w:t xml:space="preserve">continue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Amount mismatch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Status values agree</w:t>
            </w:r>
          </w:p>
        </w:tc>
        <w:tc>
          <w:p>
            <w:pPr>
              <w:pStyle w:val="Compact"/>
              <w:jc w:val="left"/>
            </w:pPr>
            <w:r>
              <w:t xml:space="preserve">continue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 mismatch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Settlement-date difference ≤ date window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Matched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</w:rPr>
              <w:t xml:space="preserve">Matched within tolerance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Date-window break</w:t>
            </w:r>
          </w:p>
        </w:tc>
      </w:tr>
    </w:tbl>
    <w:p>
      <w:pPr>
        <w:pStyle w:val="BodyText"/>
      </w:pPr>
      <w:r>
        <w:rPr>
          <w:b/>
        </w:rPr>
        <w:t xml:space="preserve">Configurable tolerances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Amount tolerance</w:t>
      </w:r>
      <w:r>
        <w:t xml:space="preserve"> </w:t>
      </w:r>
      <w:r>
        <w:t xml:space="preserve">(default 0.5%) — absorbs legitimate FX-rounding and minor-unit differences. A non-zero difference inside tolerance clears but is logged as</w:t>
      </w:r>
      <w:r>
        <w:t xml:space="preserve"> </w:t>
      </w:r>
      <w:r>
        <w:rPr>
          <w:i/>
        </w:rPr>
        <w:t xml:space="preserve">matched within tolerance</w:t>
      </w:r>
      <w:r>
        <w:t xml:space="preserve"> </w:t>
      </w:r>
      <w:r>
        <w:t xml:space="preserve">so drift is visible.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Date window</w:t>
      </w:r>
      <w:r>
        <w:t xml:space="preserve"> </w:t>
      </w:r>
      <w:r>
        <w:t xml:space="preserve">(default 1 day) — absorbs value-date vs. booking-date timing between systems.</w:t>
      </w:r>
    </w:p>
    <w:p>
      <w:pPr>
        <w:pStyle w:val="BodyText"/>
      </w:pPr>
      <w:r>
        <w:t xml:space="preserve">Tolerances are per-engine defaults and should be overridable per processor/corridor (some rails settle T+2, some price in a different rounding convention).</w:t>
      </w:r>
    </w:p>
    <w:p>
      <w:pPr>
        <w:pStyle w:val="Heading2"/>
      </w:pPr>
      <w:bookmarkStart w:id="26" w:name="break-taxonomy"/>
      <w:r>
        <w:t xml:space="preserve">6. Break taxonomy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  <w:tc>
          <w:p>
            <w:pPr>
              <w:pStyle w:val="Compact"/>
              <w:jc w:val="left"/>
            </w:pPr>
            <w:r>
              <w:t xml:space="preserve">All fields agree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cleared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Matched within tolerance</w:t>
            </w:r>
          </w:p>
        </w:tc>
        <w:tc>
          <w:p>
            <w:pPr>
              <w:pStyle w:val="Compact"/>
              <w:jc w:val="left"/>
            </w:pPr>
            <w:r>
              <w:t xml:space="preserve">Tiny amount/date diff inside tolerance</w:t>
            </w:r>
          </w:p>
        </w:tc>
        <w:tc>
          <w:p>
            <w:pPr>
              <w:pStyle w:val="Compact"/>
              <w:jc w:val="left"/>
            </w:pPr>
            <w:r>
              <w:t xml:space="preserve">FX rounding, value-date</w:t>
            </w:r>
          </w:p>
        </w:tc>
        <w:tc>
          <w:p>
            <w:pPr>
              <w:pStyle w:val="Compact"/>
              <w:jc w:val="left"/>
            </w:pPr>
            <w:r>
              <w:t xml:space="preserve">cleared (logged)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 mismatch</w:t>
            </w:r>
          </w:p>
        </w:tc>
        <w:tc>
          <w:p>
            <w:pPr>
              <w:pStyle w:val="Compact"/>
              <w:jc w:val="left"/>
            </w:pPr>
            <w:r>
              <w:t xml:space="preserve">Difference beyond tolerance</w:t>
            </w:r>
          </w:p>
        </w:tc>
        <w:tc>
          <w:p>
            <w:pPr>
              <w:pStyle w:val="Compact"/>
              <w:jc w:val="left"/>
            </w:pPr>
            <w:r>
              <w:t xml:space="preserve">short settlement, fee netting, FX error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Currency mismatch</w:t>
            </w:r>
          </w:p>
        </w:tc>
        <w:tc>
          <w:p>
            <w:pPr>
              <w:pStyle w:val="Compact"/>
              <w:jc w:val="left"/>
            </w:pPr>
            <w:r>
              <w:t xml:space="preserve">Different currencies on the two sides</w:t>
            </w:r>
          </w:p>
        </w:tc>
        <w:tc>
          <w:p>
            <w:pPr>
              <w:pStyle w:val="Compact"/>
              <w:jc w:val="left"/>
            </w:pPr>
            <w:r>
              <w:t xml:space="preserve">mis-booking, mapping error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mismatch</w:t>
            </w:r>
          </w:p>
        </w:tc>
        <w:tc>
          <w:p>
            <w:pPr>
              <w:pStyle w:val="Compact"/>
              <w:jc w:val="left"/>
            </w:pPr>
            <w:r>
              <w:t xml:space="preserve">e.g. ledger SUCCESS vs processor PENDING/FAILED</w:t>
            </w:r>
          </w:p>
        </w:tc>
        <w:tc>
          <w:p>
            <w:pPr>
              <w:pStyle w:val="Compact"/>
              <w:jc w:val="left"/>
            </w:pPr>
            <w:r>
              <w:t xml:space="preserve">settlement-state conflict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Date-window break</w:t>
            </w:r>
          </w:p>
        </w:tc>
        <w:tc>
          <w:p>
            <w:pPr>
              <w:pStyle w:val="Compact"/>
              <w:jc w:val="left"/>
            </w:pPr>
            <w:r>
              <w:t xml:space="preserve">Settles outside the date window</w:t>
            </w:r>
          </w:p>
        </w:tc>
        <w:tc>
          <w:p>
            <w:pPr>
              <w:pStyle w:val="Compact"/>
              <w:jc w:val="left"/>
            </w:pPr>
            <w:r>
              <w:t xml:space="preserve">delayed settlement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at processor</w:t>
            </w:r>
          </w:p>
        </w:tc>
        <w:tc>
          <w:p>
            <w:pPr>
              <w:pStyle w:val="Compact"/>
              <w:jc w:val="left"/>
            </w:pPr>
            <w:r>
              <w:t xml:space="preserve">In ledger, not in any report</w:t>
            </w:r>
          </w:p>
        </w:tc>
        <w:tc>
          <w:p>
            <w:pPr>
              <w:pStyle w:val="Compact"/>
              <w:jc w:val="left"/>
            </w:pPr>
            <w:r>
              <w:t xml:space="preserve">non-settlement, missing feed, failed payout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in ledger</w:t>
            </w:r>
          </w:p>
        </w:tc>
        <w:tc>
          <w:p>
            <w:pPr>
              <w:pStyle w:val="Compact"/>
              <w:jc w:val="left"/>
            </w:pPr>
            <w:r>
              <w:t xml:space="preserve">At processor, not in ledger</w:t>
            </w:r>
          </w:p>
        </w:tc>
        <w:tc>
          <w:p>
            <w:pPr>
              <w:pStyle w:val="Compact"/>
              <w:jc w:val="left"/>
            </w:pPr>
            <w:r>
              <w:t xml:space="preserve">unrecorded, mis-booked, or fraudulent entry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</w:t>
            </w:r>
          </w:p>
        </w:tc>
        <w:tc>
          <w:p>
            <w:pPr>
              <w:pStyle w:val="Compact"/>
              <w:jc w:val="left"/>
            </w:pPr>
            <w:r>
              <w:t xml:space="preserve">Reference posted more than once</w:t>
            </w:r>
          </w:p>
        </w:tc>
        <w:tc>
          <w:p>
            <w:pPr>
              <w:pStyle w:val="Compact"/>
              <w:jc w:val="left"/>
            </w:pPr>
            <w:r>
              <w:t xml:space="preserve">processor double-posting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Heading2"/>
      </w:pPr>
      <w:bookmarkStart w:id="27" w:name="exception-workflow"/>
      <w:r>
        <w:t xml:space="preserve">7. Exception workflow</w:t>
      </w:r>
      <w:bookmarkEnd w:id="27"/>
    </w:p>
    <w:p>
      <w:pPr>
        <w:pStyle w:val="FirstParagraph"/>
      </w:pPr>
      <w:r>
        <w:t xml:space="preserve">Detection is only half the product —</w:t>
      </w:r>
      <w:r>
        <w:t xml:space="preserve"> </w:t>
      </w:r>
      <w:r>
        <w:rPr>
          <w:b/>
        </w:rPr>
        <w:t xml:space="preserve">the value is in shrinking and ageing the break queue.</w:t>
      </w:r>
      <w:r>
        <w:t xml:space="preserve"> </w:t>
      </w:r>
      <w:r>
        <w:t xml:space="preserve">Each exception becomes a worklist item with: break type, both records, the reason, an</w:t>
      </w:r>
      <w:r>
        <w:t xml:space="preserve"> </w:t>
      </w:r>
      <w:r>
        <w:rPr>
          <w:b/>
        </w:rPr>
        <w:t xml:space="preserve">owner</w:t>
      </w:r>
      <w:r>
        <w:t xml:space="preserve">, an</w:t>
      </w:r>
      <w:r>
        <w:t xml:space="preserve"> </w:t>
      </w:r>
      <w:r>
        <w:rPr>
          <w:b/>
        </w:rPr>
        <w:t xml:space="preserve">age</w:t>
      </w:r>
      <w:r>
        <w:t xml:space="preserve">, and a</w:t>
      </w:r>
      <w:r>
        <w:t xml:space="preserve"> </w:t>
      </w:r>
      <w:r>
        <w:rPr>
          <w:b/>
        </w:rPr>
        <w:t xml:space="preserve">resolution state</w:t>
      </w:r>
      <w:r>
        <w:t xml:space="preserve"> </w:t>
      </w:r>
      <w:r>
        <w:t xml:space="preserve">(open → investigating → resolved/written-off). The system tracks ageing and escalates stale items. Over time, recurring break patterns (e.g. one processor always short by a fee) feed back into either tolerance tuning or a conversation with that partner.</w:t>
      </w:r>
    </w:p>
    <w:p>
      <w:pPr>
        <w:pStyle w:val="Heading2"/>
      </w:pPr>
      <w:bookmarkStart w:id="28" w:name="success-metrics"/>
      <w:r>
        <w:t xml:space="preserve">8. Success metrics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Auto-match / straight-through rate</w:t>
      </w:r>
      <w:r>
        <w:t xml:space="preserve"> </w:t>
      </w:r>
      <w:r>
        <w:t xml:space="preserve">— % of transactions cleared without human touch (target: high and rising).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Time-to-close</w:t>
      </w:r>
      <w:r>
        <w:t xml:space="preserve"> </w:t>
      </w:r>
      <w:r>
        <w:t xml:space="preserve">— elapsed time from feeds-available to reconciled position (target: minutes, not hours/days).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Manual effort per 1,000 transactions</w:t>
      </w:r>
      <w:r>
        <w:t xml:space="preserve"> </w:t>
      </w:r>
      <w:r>
        <w:t xml:space="preserve">— should fall sharply and stay flat as volume grows.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Exception ageing</w:t>
      </w:r>
      <w:r>
        <w:t xml:space="preserve"> </w:t>
      </w:r>
      <w:r>
        <w:t xml:space="preserve">— median and 90th-percentile age of open breaks (target: falling).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Value unreconciled</w:t>
      </w:r>
      <w:r>
        <w:t xml:space="preserve"> </w:t>
      </w:r>
      <w:r>
        <w:t xml:space="preserve">— currency value sitting in unresolved breaks (target: near-zero, fast-closing).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Leakage caught</w:t>
      </w:r>
      <w:r>
        <w:t xml:space="preserve"> </w:t>
      </w:r>
      <w:r>
        <w:t xml:space="preserve">— breaks representing real money/fraud surfaced that manual process would have missed.</w:t>
      </w:r>
    </w:p>
    <w:p>
      <w:pPr>
        <w:pStyle w:val="Heading2"/>
      </w:pPr>
      <w:bookmarkStart w:id="29" w:name="phased-rollout"/>
      <w:r>
        <w:t xml:space="preserve">9. Phased rollout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Phase 1 — Prove it on one processor.</w:t>
      </w:r>
      <w:r>
        <w:t xml:space="preserve"> </w:t>
      </w:r>
      <w:r>
        <w:t xml:space="preserve">Normalize one feed, run reference + tolerance matching, produce the exception list in parallel with the existing spreadsheet. Goal: match the analyst’s results, then beat them.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Phase 2 — Multi-processor + workflow.</w:t>
      </w:r>
      <w:r>
        <w:t xml:space="preserve"> </w:t>
      </w:r>
      <w:r>
        <w:t xml:space="preserve">Onboard remaining processors to the canonical schema; add the exception worklist with owners, ageing and the dashboard. Retire the spreadsheet.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Phase 3 — Scale &amp; intelligence.</w:t>
      </w:r>
      <w:r>
        <w:t xml:space="preserve"> </w:t>
      </w:r>
      <w:r>
        <w:t xml:space="preserve">Per-processor/corridor tolerance profiles, anomaly detection on break patterns, AI-assisted triage of exceptions, and move toward intra-day/near-real-time cadence. Feed the cleared position directly into treasury/liquidity tooling.</w:t>
      </w:r>
    </w:p>
    <w:p>
      <w:pPr>
        <w:pStyle w:val="Heading2"/>
      </w:pPr>
      <w:bookmarkStart w:id="30" w:name="risks-mitigations"/>
      <w:r>
        <w:t xml:space="preserve">10. Risks &amp; mitigations</w:t>
      </w:r>
      <w:bookmarkEnd w:id="3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 processor can’t supply a unique reference or clean feed.</w:t>
      </w:r>
      <w:r>
        <w:t xml:space="preserve"> </w:t>
      </w:r>
      <w:r>
        <w:t xml:space="preserve">→ Make it an onboarding gate; interim fallback is fuzzy multi-field matching at lower confidence, flagged as such.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Tolerances set wrong</w:t>
      </w:r>
      <w:r>
        <w:t xml:space="preserve"> </w:t>
      </w:r>
      <w:r>
        <w:t xml:space="preserve">(too tight = noise, too loose = missed breaks). → Start conservative, tune from observed data, keep every tolerance decision logged and auditable.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Duplicating the central infra team’s work.</w:t>
      </w:r>
      <w:r>
        <w:t xml:space="preserve"> </w:t>
      </w:r>
      <w:r>
        <w:t xml:space="preserve">→ Consume and feed the shared money-movement/ledger layer; own the reconciliation product and operating model, not a parallel rail.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Reconciled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becoming a black box.</w:t>
      </w:r>
      <w:r>
        <w:t xml:space="preserve"> </w:t>
      </w:r>
      <w:r>
        <w:t xml:space="preserve">→ Every clear and every break is explainable and replayable from retained raw feeds.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Companion artifacts: an interactive demo of the matching engine (</w:t>
      </w:r>
      <w:r>
        <w:rPr>
          <w:rStyle w:val="VerbatimChar"/>
          <w:i/>
        </w:rPr>
        <w:t xml:space="preserve">Reconciliation_Engine_Demo.html</w:t>
      </w:r>
      <w:r>
        <w:rPr>
          <w:i/>
        </w:rPr>
        <w:t xml:space="preserve">) and a one-page system architecture diagram (</w:t>
      </w:r>
      <w:r>
        <w:rPr>
          <w:rStyle w:val="VerbatimChar"/>
          <w:i/>
        </w:rPr>
        <w:t xml:space="preserve">Reconciliation_Architecture.html</w:t>
      </w:r>
      <w:r>
        <w:rPr>
          <w:i/>
        </w:rPr>
        <w:t xml:space="preserve">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2026-10-03T13:58:35Z</dcterms:created>
  <dcterms:modified xsi:type="dcterms:W3CDTF">2026-10-03T13:58:35Z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