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00ba295fedd570fba13ac7493ebf6a8e28087"/>
      <w:r>
        <w:t xml:space="preserve">Processor Health &amp; Failover Console — Product Requirements Document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Ifeanyi Awa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 · Portfolio artifact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t xml:space="preserve">Money movement · payments reliability / operations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1. Problem</w:t>
      </w:r>
      <w:bookmarkEnd w:id="21"/>
    </w:p>
    <w:p>
      <w:pPr>
        <w:pStyle w:val="FirstParagraph"/>
      </w:pPr>
      <w:r>
        <w:t xml:space="preserve">A cross-border payments business routes transactions through many processors, and each processor fulfils to many destinations — mobile-money wallets (M-Pesa, Airtel, MTN…) and banks (UBA Kenya, Ecobank Kenya…). When a processor, a single MNO, or a single bank starts failing, money stops moving — and today operations often find out from customer complaints rather than from a system.</w:t>
      </w:r>
    </w:p>
    <w:p>
      <w:pPr>
        <w:pStyle w:val="BodyText"/>
      </w:pPr>
      <w:r>
        <w:t xml:space="preserve">There is no single real-time view of success rates per processor, let alone per destination; no consistent threshold for when to act; and no fast, safe way to move traffic to a backup when one route degrades. The result is slow detection, manual firefighting, and avoidable failed transactions — exactly when reliability matters most.</w:t>
      </w:r>
    </w:p>
    <w:p>
      <w:pPr>
        <w:pStyle w:val="Heading2"/>
      </w:pPr>
      <w:bookmarkStart w:id="22" w:name="goals-non-goals"/>
      <w:r>
        <w:t xml:space="preserve">2. Goals &amp; non-goals</w:t>
      </w:r>
      <w:bookmarkEnd w:id="22"/>
    </w:p>
    <w:p>
      <w:pPr>
        <w:pStyle w:val="FirstParagraph"/>
      </w:pPr>
      <w:r>
        <w:rPr>
          <w:b/>
        </w:rP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Give ops a</w:t>
      </w:r>
      <w:r>
        <w:t xml:space="preserve"> </w:t>
      </w:r>
      <w:r>
        <w:rPr>
          <w:b/>
        </w:rPr>
        <w:t xml:space="preserve">real-time view</w:t>
      </w:r>
      <w:r>
        <w:t xml:space="preserve"> </w:t>
      </w:r>
      <w:r>
        <w:t xml:space="preserve">of transaction success rate for every processor, with</w:t>
      </w:r>
      <w:r>
        <w:t xml:space="preserve"> </w:t>
      </w:r>
      <w:r>
        <w:rPr>
          <w:b/>
        </w:rPr>
        <w:t xml:space="preserve">drill-down</w:t>
      </w:r>
      <w:r>
        <w:t xml:space="preserve"> </w:t>
      </w:r>
      <w:r>
        <w:t xml:space="preserve">to each MNO wallet and bank it serves.</w:t>
      </w:r>
    </w:p>
    <w:p>
      <w:pPr>
        <w:numPr>
          <w:ilvl w:val="0"/>
          <w:numId w:val="1001"/>
        </w:numPr>
        <w:pStyle w:val="Compact"/>
      </w:pPr>
      <w:r>
        <w:t xml:space="preserve">Show an</w:t>
      </w:r>
      <w:r>
        <w:t xml:space="preserve"> </w:t>
      </w:r>
      <w:r>
        <w:rPr>
          <w:b/>
        </w:rPr>
        <w:t xml:space="preserve">hourly trend</w:t>
      </w:r>
      <w:r>
        <w:t xml:space="preserve"> </w:t>
      </w:r>
      <w:r>
        <w:t xml:space="preserve">so degradation is visible early, not just the current snapshot.</w:t>
      </w:r>
    </w:p>
    <w:p>
      <w:pPr>
        <w:numPr>
          <w:ilvl w:val="0"/>
          <w:numId w:val="1001"/>
        </w:numPr>
        <w:pStyle w:val="Compact"/>
      </w:pPr>
      <w:r>
        <w:t xml:space="preserve">Let ops set</w:t>
      </w:r>
      <w:r>
        <w:t xml:space="preserve"> </w:t>
      </w:r>
      <w:r>
        <w:rPr>
          <w:b/>
        </w:rPr>
        <w:t xml:space="preserve">two thresholds</w:t>
      </w:r>
      <w:r>
        <w:t xml:space="preserve">: an</w:t>
      </w:r>
      <w:r>
        <w:t xml:space="preserve"> </w:t>
      </w:r>
      <w:r>
        <w:rPr>
          <w:b/>
        </w:rPr>
        <w:t xml:space="preserve">alert</w:t>
      </w:r>
      <w:r>
        <w:t xml:space="preserve"> </w:t>
      </w:r>
      <w:r>
        <w:t xml:space="preserve">threshold (notify to review) and a lower</w:t>
      </w:r>
      <w:r>
        <w:t xml:space="preserve"> </w:t>
      </w:r>
      <w:r>
        <w:rPr>
          <w:b/>
        </w:rPr>
        <w:t xml:space="preserve">failover</w:t>
      </w:r>
      <w:r>
        <w:t xml:space="preserve"> </w:t>
      </w:r>
      <w:r>
        <w:t xml:space="preserve">threshold (trigger automated response).</w:t>
      </w:r>
    </w:p>
    <w:p>
      <w:pPr>
        <w:numPr>
          <w:ilvl w:val="0"/>
          <w:numId w:val="1001"/>
        </w:numPr>
        <w:pStyle w:val="Compact"/>
      </w:pPr>
      <w:r>
        <w:t xml:space="preserve">On a failover breach,</w:t>
      </w:r>
      <w:r>
        <w:t xml:space="preserve"> </w:t>
      </w:r>
      <w:r>
        <w:rPr>
          <w:b/>
        </w:rPr>
        <w:t xml:space="preserve">automatically evaluate a backup</w:t>
      </w:r>
      <w:r>
        <w:t xml:space="preserve">: is one configured for that service, and is it</w:t>
      </w:r>
      <w:r>
        <w:t xml:space="preserve"> </w:t>
      </w:r>
      <w:r>
        <w:rPr>
          <w:b/>
        </w:rPr>
        <w:t xml:space="preserve">adequately funded</w:t>
      </w:r>
      <w:r>
        <w:t xml:space="preserve">? If so,</w:t>
      </w:r>
      <w:r>
        <w:t xml:space="preserve"> </w:t>
      </w:r>
      <w:r>
        <w:rPr>
          <w:b/>
        </w:rPr>
        <w:t xml:space="preserve">propose a switch</w:t>
      </w:r>
      <w:r>
        <w:t xml:space="preserve"> </w:t>
      </w:r>
      <w:r>
        <w:t xml:space="preserve">for ops to</w:t>
      </w:r>
      <w:r>
        <w:t xml:space="preserve"> </w:t>
      </w:r>
      <w:r>
        <w:rPr>
          <w:b/>
        </w:rPr>
        <w:t xml:space="preserve">authorise or override</w:t>
      </w:r>
      <w:r>
        <w:t xml:space="preserve">; if not,</w:t>
      </w:r>
      <w:r>
        <w:t xml:space="preserve"> </w:t>
      </w:r>
      <w:r>
        <w:rPr>
          <w:b/>
        </w:rPr>
        <w:t xml:space="preserve">escalate for manual intervention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Let ops</w:t>
      </w:r>
      <w:r>
        <w:t xml:space="preserve"> </w:t>
      </w:r>
      <w:r>
        <w:rPr>
          <w:b/>
        </w:rPr>
        <w:t xml:space="preserve">switch manually</w:t>
      </w:r>
      <w:r>
        <w:t xml:space="preserve"> </w:t>
      </w:r>
      <w:r>
        <w:t xml:space="preserve">at any time, and</w:t>
      </w:r>
      <w:r>
        <w:t xml:space="preserve"> </w:t>
      </w:r>
      <w:r>
        <w:rPr>
          <w:b/>
        </w:rPr>
        <w:t xml:space="preserve">override</w:t>
      </w:r>
      <w:r>
        <w:t xml:space="preserve"> </w:t>
      </w:r>
      <w:r>
        <w:t xml:space="preserve">any proposed or active switch.</w:t>
      </w:r>
    </w:p>
    <w:p>
      <w:pPr>
        <w:pStyle w:val="FirstParagraph"/>
      </w:pPr>
      <w:r>
        <w:rPr>
          <w:b/>
        </w:rPr>
        <w:t xml:space="preserve">Non-goals (v1)</w:t>
      </w:r>
    </w:p>
    <w:p>
      <w:pPr>
        <w:numPr>
          <w:ilvl w:val="0"/>
          <w:numId w:val="1002"/>
        </w:numPr>
        <w:pStyle w:val="Compact"/>
      </w:pPr>
      <w:r>
        <w:t xml:space="preserve">Not automatic, unattended failover — v1 keeps a human on the switch by design (a later phase may allow auto-switch for pre-approved services).</w:t>
      </w:r>
    </w:p>
    <w:p>
      <w:pPr>
        <w:numPr>
          <w:ilvl w:val="0"/>
          <w:numId w:val="1002"/>
        </w:numPr>
        <w:pStyle w:val="Compact"/>
      </w:pPr>
      <w:r>
        <w:t xml:space="preserve">Not a root-cause / APM tool — it detects</w:t>
      </w:r>
      <w:r>
        <w:t xml:space="preserve"> </w:t>
      </w:r>
      <w:r>
        <w:rPr>
          <w:i/>
        </w:rPr>
        <w:t xml:space="preserve">that</w:t>
      </w:r>
      <w:r>
        <w:t xml:space="preserve"> </w:t>
      </w:r>
      <w:r>
        <w:t xml:space="preserve">a route is failing and reroutes; deep diagnosis lives elsewhere.</w:t>
      </w:r>
    </w:p>
    <w:p>
      <w:pPr>
        <w:numPr>
          <w:ilvl w:val="0"/>
          <w:numId w:val="1002"/>
        </w:numPr>
        <w:pStyle w:val="Compact"/>
      </w:pPr>
      <w:r>
        <w:t xml:space="preserve">Not the routing engine itself — it decides and instructs; execution is handled by the payments routing layer.</w:t>
      </w:r>
    </w:p>
    <w:p>
      <w:pPr>
        <w:numPr>
          <w:ilvl w:val="0"/>
          <w:numId w:val="1002"/>
        </w:numPr>
        <w:pStyle w:val="Compact"/>
      </w:pPr>
      <w:r>
        <w:t xml:space="preserve">Not reconciliation or P&amp;L — those are separate tools in the suite.</w:t>
      </w:r>
    </w:p>
    <w:p>
      <w:pPr>
        <w:pStyle w:val="Heading2"/>
      </w:pPr>
      <w:bookmarkStart w:id="23" w:name="users"/>
      <w:r>
        <w:t xml:space="preserve">3. Users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Payments operations / NOC personnel</w:t>
      </w:r>
      <w:r>
        <w:t xml:space="preserve"> </w:t>
      </w:r>
      <w:r>
        <w:t xml:space="preserve">monitoring reliability and executing switches.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On-call engineers</w:t>
      </w:r>
      <w:r>
        <w:t xml:space="preserve"> </w:t>
      </w:r>
      <w:r>
        <w:t xml:space="preserve">who respond to critical alerts.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Treasury / FinOps</w:t>
      </w:r>
      <w:r>
        <w:t xml:space="preserve">, indirectly — the funding check depends on backup-processor balances they manage.</w:t>
      </w:r>
    </w:p>
    <w:p>
      <w:pPr>
        <w:pStyle w:val="Heading2"/>
      </w:pPr>
      <w:bookmarkStart w:id="24" w:name="monitoring-model"/>
      <w:r>
        <w:t xml:space="preserve">4. Monitoring model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Hierarchy:</w:t>
      </w:r>
      <w:r>
        <w:t xml:space="preserve"> </w:t>
      </w:r>
      <w:r>
        <w:t xml:space="preserve">Processor →</w:t>
      </w:r>
      <w:r>
        <w:t xml:space="preserve"> </w:t>
      </w:r>
      <w:r>
        <w:rPr>
          <w:b/>
        </w:rPr>
        <w:t xml:space="preserve">service</w:t>
      </w:r>
      <w:r>
        <w:t xml:space="preserve"> </w:t>
      </w:r>
      <w:r>
        <w:t xml:space="preserve">(country × transaction type × payment method) →</w:t>
      </w:r>
      <w:r>
        <w:t xml:space="preserve"> </w:t>
      </w:r>
      <w:r>
        <w:rPr>
          <w:b/>
        </w:rPr>
        <w:t xml:space="preserve">destination</w:t>
      </w:r>
      <w:r>
        <w:t xml:space="preserve"> </w:t>
      </w:r>
      <w:r>
        <w:t xml:space="preserve">(MNO wallet or bank).</w:t>
      </w:r>
    </w:p>
    <w:p>
      <w:pPr>
        <w:numPr>
          <w:ilvl w:val="1"/>
          <w:numId w:val="1005"/>
        </w:numPr>
        <w:pStyle w:val="Compact"/>
      </w:pPr>
      <w:r>
        <w:t xml:space="preserve">Example:</w:t>
      </w:r>
      <w:r>
        <w:t xml:space="preserve"> </w:t>
      </w:r>
      <w:r>
        <w:rPr>
          <w:i/>
        </w:rPr>
        <w:t xml:space="preserve">SwiftRails KE</w:t>
      </w:r>
      <w:r>
        <w:t xml:space="preserve"> </w:t>
      </w:r>
      <w:r>
        <w:t xml:space="preserve">serves</w:t>
      </w:r>
      <w:r>
        <w:t xml:space="preserve"> </w:t>
      </w:r>
      <w:r>
        <w:rPr>
          <w:i/>
        </w:rPr>
        <w:t xml:space="preserve">Kenya · Payout · Bank account</w:t>
      </w:r>
      <w:r>
        <w:t xml:space="preserve">, which fulfils to</w:t>
      </w:r>
      <w:r>
        <w:t xml:space="preserve"> </w:t>
      </w:r>
      <w:r>
        <w:rPr>
          <w:i/>
        </w:rPr>
        <w:t xml:space="preserve">UBA Kenya Bank Limited, Ecobank Kenya Limited, Equity Bank Kenya</w:t>
      </w:r>
      <w:r>
        <w:t xml:space="preserve">. It also serves</w:t>
      </w:r>
      <w:r>
        <w:t xml:space="preserve"> </w:t>
      </w:r>
      <w:r>
        <w:rPr>
          <w:i/>
        </w:rPr>
        <w:t xml:space="preserve">Kenya · Payout · Mobile money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M-Pesa, Airtel Money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Success rate</w:t>
      </w:r>
      <w:r>
        <w:t xml:space="preserve"> </w:t>
      </w:r>
      <w:r>
        <w:t xml:space="preserve">= successful ÷ attempted transactions over a rolling window, computed at every level.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Overall processor/service rate</w:t>
      </w:r>
      <w:r>
        <w:t xml:space="preserve"> </w:t>
      </w:r>
      <w:r>
        <w:t xml:space="preserve">is the volume-weighted roll-up of its destinations — so a single failing bank visibly drags the service down, and drill-down shows which one.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Hourly trend</w:t>
      </w:r>
      <w:r>
        <w:t xml:space="preserve"> </w:t>
      </w:r>
      <w:r>
        <w:t xml:space="preserve">retained per service to power the live chart and reveal gradual degradation.</w:t>
      </w:r>
    </w:p>
    <w:p>
      <w:pPr>
        <w:pStyle w:val="Heading2"/>
      </w:pPr>
      <w:bookmarkStart w:id="25" w:name="thresholds-alerting"/>
      <w:r>
        <w:t xml:space="preserve">5. Thresholds &amp; alerting</w:t>
      </w:r>
      <w:bookmarkEnd w:id="25"/>
    </w:p>
    <w:p>
      <w:pPr>
        <w:pStyle w:val="FirstParagraph"/>
      </w:pPr>
      <w:r>
        <w:t xml:space="preserve">Two ops-configurable thresholds, with distinct responses: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Healthy</w:t>
            </w:r>
          </w:p>
        </w:tc>
        <w:tc>
          <w:p>
            <w:pPr>
              <w:pStyle w:val="Compact"/>
              <w:jc w:val="left"/>
            </w:pPr>
            <w:r>
              <w:t xml:space="preserve">rate ≥ alert threshold</w:t>
            </w:r>
          </w:p>
        </w:tc>
        <w:tc>
          <w:p>
            <w:pPr>
              <w:pStyle w:val="Compact"/>
              <w:jc w:val="left"/>
            </w:pPr>
            <w:r>
              <w:t xml:space="preserve">Normal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Degraded</w:t>
            </w:r>
          </w:p>
        </w:tc>
        <w:tc>
          <w:p>
            <w:pPr>
              <w:pStyle w:val="Compact"/>
              <w:jc w:val="left"/>
            </w:pPr>
            <w:r>
              <w:t xml:space="preserve">failover ≤ rate &lt; alert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Notify ops to review</w:t>
            </w:r>
            <w:r>
              <w:t xml:space="preserve"> </w:t>
            </w:r>
            <w:r>
              <w:t xml:space="preserve">the processor/destination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rate &lt; failover threshold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 failover evaluation</w:t>
            </w:r>
            <w:r>
              <w:t xml:space="preserve"> </w:t>
            </w:r>
            <w:r>
              <w:t xml:space="preserve">(see §6)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Failed over</w:t>
            </w:r>
          </w:p>
        </w:tc>
        <w:tc>
          <w:p>
            <w:pPr>
              <w:pStyle w:val="Compact"/>
              <w:jc w:val="left"/>
            </w:pPr>
            <w:r>
              <w:t xml:space="preserve">routing via backup after a switch</w:t>
            </w:r>
          </w:p>
        </w:tc>
        <w:tc>
          <w:p>
            <w:pPr>
              <w:pStyle w:val="Compact"/>
              <w:jc w:val="left"/>
            </w:pPr>
            <w:r>
              <w:t xml:space="preserve">Monitor recovery; offer switch-back</w:t>
            </w:r>
          </w:p>
        </w:tc>
      </w:tr>
    </w:tbl>
    <w:p>
      <w:pPr>
        <w:pStyle w:val="BodyText"/>
      </w:pPr>
      <w:r>
        <w:t xml:space="preserve">Defaults (editable): alert &lt; 95%, failover &lt; 85%. Thresholds can be tuned per service as operating experience accrues.</w:t>
      </w:r>
    </w:p>
    <w:p>
      <w:pPr>
        <w:pStyle w:val="Heading2"/>
      </w:pPr>
      <w:bookmarkStart w:id="26" w:name="failover-logic"/>
      <w:r>
        <w:t xml:space="preserve">6. Failover logic</w:t>
      </w:r>
      <w:bookmarkEnd w:id="26"/>
    </w:p>
    <w:p>
      <w:pPr>
        <w:pStyle w:val="FirstParagraph"/>
      </w:pPr>
      <w:r>
        <w:t xml:space="preserve">When a service enters</w:t>
      </w:r>
      <w:r>
        <w:t xml:space="preserve"> </w:t>
      </w:r>
      <w:r>
        <w:rPr>
          <w:b/>
        </w:rPr>
        <w:t xml:space="preserve">Critical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Backup lookup</w:t>
      </w:r>
      <w:r>
        <w:t xml:space="preserve"> </w:t>
      </w:r>
      <w:r>
        <w:t xml:space="preserve">— is a backup processor configured</w:t>
      </w:r>
      <w:r>
        <w:t xml:space="preserve"> </w:t>
      </w:r>
      <w:r>
        <w:rPr>
          <w:i/>
        </w:rPr>
        <w:t xml:space="preserve">for this exact service</w:t>
      </w:r>
      <w:r>
        <w:t xml:space="preserve"> </w:t>
      </w:r>
      <w:r>
        <w:t xml:space="preserve">(same country/type/method)? If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→ escalate:</w:t>
      </w:r>
      <w:r>
        <w:t xml:space="preserve"> </w:t>
      </w:r>
      <w:r>
        <w:t xml:space="preserve">“</w:t>
      </w:r>
      <w:r>
        <w:t xml:space="preserve">no backup configured, manual intervention required.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Funding check</w:t>
      </w:r>
      <w:r>
        <w:t xml:space="preserve"> </w:t>
      </w:r>
      <w:r>
        <w:t xml:space="preserve">— is the backup</w:t>
      </w:r>
      <w:r>
        <w:t xml:space="preserve"> </w:t>
      </w:r>
      <w:r>
        <w:rPr>
          <w:b/>
        </w:rPr>
        <w:t xml:space="preserve">adequately funded</w:t>
      </w:r>
      <w:r>
        <w:t xml:space="preserve"> </w:t>
      </w:r>
      <w:r>
        <w:t xml:space="preserve">to absorb the volume? If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→ block auto-switch and escalate:</w:t>
      </w:r>
      <w:r>
        <w:t xml:space="preserve"> </w:t>
      </w:r>
      <w:r>
        <w:t xml:space="preserve">“</w:t>
      </w:r>
      <w:r>
        <w:t xml:space="preserve">backup underfunded, manual intervention required.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Propose switch</w:t>
      </w:r>
      <w:r>
        <w:t xml:space="preserve"> </w:t>
      </w:r>
      <w:r>
        <w:t xml:space="preserve">— if a funded backup exists, present ops with a</w:t>
      </w:r>
      <w:r>
        <w:t xml:space="preserve"> </w:t>
      </w:r>
      <w:r>
        <w:rPr>
          <w:b/>
        </w:rPr>
        <w:t xml:space="preserve">proposal</w:t>
      </w:r>
      <w:r>
        <w:t xml:space="preserve">: the service, current rate, backup name and funded status, and two actions —</w:t>
      </w:r>
      <w:r>
        <w:t xml:space="preserve"> </w:t>
      </w:r>
      <w:r>
        <w:rPr>
          <w:b/>
        </w:rPr>
        <w:t xml:space="preserve">Authorise switch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Keep current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Execute</w:t>
      </w:r>
      <w:r>
        <w:t xml:space="preserve"> </w:t>
      </w:r>
      <w:r>
        <w:t xml:space="preserve">— on authorisation, traffic for that service reroutes to the backup; the switch, its author and timestamp are logged. Recovery is monitored.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Override / manual</w:t>
      </w:r>
      <w:r>
        <w:t xml:space="preserve"> </w:t>
      </w:r>
      <w:r>
        <w:t xml:space="preserve">— ops can decline a proposal (stay on current, keep monitoring), switch manually at any time, or switch back to primary once it recovers.</w:t>
      </w:r>
    </w:p>
    <w:p>
      <w:pPr>
        <w:pStyle w:val="FirstParagraph"/>
      </w:pPr>
      <w:r>
        <w:t xml:space="preserve">The guardrail:</w:t>
      </w:r>
      <w:r>
        <w:t xml:space="preserve"> </w:t>
      </w:r>
      <w:r>
        <w:rPr>
          <w:b/>
        </w:rPr>
        <w:t xml:space="preserve">the system never routes to a processor that cannot take the volume, and never switches without a human — unless/until a service is explicitly approved for auto-switch in a later phase.</w:t>
      </w:r>
    </w:p>
    <w:p>
      <w:pPr>
        <w:pStyle w:val="Heading2"/>
      </w:pPr>
      <w:bookmarkStart w:id="27" w:name="success-metrics"/>
      <w:r>
        <w:t xml:space="preserve">7. Success metrics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Mean time to detect (MTTD)</w:t>
      </w:r>
      <w:r>
        <w:t xml:space="preserve"> </w:t>
      </w:r>
      <w:r>
        <w:t xml:space="preserve">a degraded route — target: near-real-time vs. customer-report-driven today.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Mean time to reroute (MTTR)</w:t>
      </w:r>
      <w:r>
        <w:t xml:space="preserve"> </w:t>
      </w:r>
      <w:r>
        <w:t xml:space="preserve">from breach to traffic on a healthy backup.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Failed transactions avoided</w:t>
      </w:r>
      <w:r>
        <w:t xml:space="preserve"> </w:t>
      </w:r>
      <w:r>
        <w:t xml:space="preserve">by timely failover.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False-switch rate</w:t>
      </w:r>
      <w:r>
        <w:t xml:space="preserve"> </w:t>
      </w:r>
      <w:r>
        <w:t xml:space="preserve">— switches later judged unnecessary (tune thresholds to minimise).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Coverage</w:t>
      </w:r>
      <w:r>
        <w:t xml:space="preserve"> </w:t>
      </w:r>
      <w:r>
        <w:t xml:space="preserve">— % of critical services with a configured, funded backup.</w:t>
      </w:r>
    </w:p>
    <w:p>
      <w:pPr>
        <w:pStyle w:val="Heading2"/>
      </w:pPr>
      <w:bookmarkStart w:id="28" w:name="phased-rollout"/>
      <w:r>
        <w:t xml:space="preserve">8. Phased rollout</w:t>
      </w:r>
      <w:bookmarkEnd w:id="2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1 — Observe.</w:t>
      </w:r>
      <w:r>
        <w:t xml:space="preserve"> </w:t>
      </w:r>
      <w:r>
        <w:t xml:space="preserve">Real-time dashboards, drill-down, hourly trend, and alert-threshold notifications. No automation yet — build trust in the numbers.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2 — Propose.</w:t>
      </w:r>
      <w:r>
        <w:t xml:space="preserve"> </w:t>
      </w:r>
      <w:r>
        <w:t xml:space="preserve">Failover threshold + backup/funding evaluation + the authorise/override proposal flow and manual switch (this console).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3 — Auto-switch (opt-in).</w:t>
      </w:r>
      <w:r>
        <w:t xml:space="preserve"> </w:t>
      </w:r>
      <w:r>
        <w:t xml:space="preserve">For services explicitly approved, execute the switch automatically on a funded backup and simply inform ops — with instant override and full audit.</w:t>
      </w:r>
    </w:p>
    <w:p>
      <w:pPr>
        <w:pStyle w:val="Heading2"/>
      </w:pPr>
      <w:bookmarkStart w:id="29" w:name="risks-mitigations"/>
      <w:r>
        <w:t xml:space="preserve">9. Risks &amp; mitigations</w:t>
      </w:r>
      <w:bookmarkEnd w:id="2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Flapping</w:t>
      </w:r>
      <w:r>
        <w:t xml:space="preserve"> </w:t>
      </w:r>
      <w:r>
        <w:t xml:space="preserve">(rapid switch back and forth near a threshold). → Use sustained breaches (multiple windows) and cooldowns before re-proposing.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Backup looks funded but isn’t ready.</w:t>
      </w:r>
      <w:r>
        <w:t xml:space="preserve"> </w:t>
      </w:r>
      <w:r>
        <w:t xml:space="preserve">→ Funding check plus health check of the backup before proposing; don’t switch onto a route that’s itself degraded.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Alert fatigue.</w:t>
      </w:r>
      <w:r>
        <w:t xml:space="preserve"> </w:t>
      </w:r>
      <w:r>
        <w:t xml:space="preserve">→ Two-tier thresholds, per-service tuning, and grouping so ops see signal, not noise.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Switch with no audit.</w:t>
      </w:r>
      <w:r>
        <w:t xml:space="preserve"> </w:t>
      </w:r>
      <w:r>
        <w:t xml:space="preserve">→ Every proposal, authorisation, override and manual switch is logged with author and timestamp.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Companion artifacts: an interactive real-time console with the full failover flow (</w:t>
      </w:r>
      <w:r>
        <w:rPr>
          <w:rStyle w:val="VerbatimChar"/>
          <w:i/>
        </w:rPr>
        <w:t xml:space="preserve">ops-monitoring-demo.html</w:t>
      </w:r>
      <w:r>
        <w:rPr>
          <w:i/>
        </w:rPr>
        <w:t xml:space="preserve">) and a one-page system architecture diagram (</w:t>
      </w:r>
      <w:r>
        <w:rPr>
          <w:rStyle w:val="VerbatimChar"/>
          <w:i/>
        </w:rPr>
        <w:t xml:space="preserve">ops-monitoring-architecture.html</w:t>
      </w:r>
      <w:r>
        <w:rPr>
          <w:i/>
        </w:rP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2026-10-03T18:27:26Z</dcterms:created>
  <dcterms:modified xsi:type="dcterms:W3CDTF">2026-10-03T18:27:26Z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