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rPr>
          <w:b/>
          <w:bCs/>
          <w:color w:val="5B3DF5"/>
          <w:spacing w:val="40"/>
          <w:sz w:val="30"/>
          <w:szCs w:val="30"/>
        </w:rPr>
        <w:t xml:space="preserve">AFRIEX</w:t>
      </w:r>
    </w:p>
    <w:p>
      <w:pPr>
        <w:spacing w:after="40"/>
      </w:pPr>
      <w:r>
        <w:rPr>
          <w:color w:val="6B6880"/>
          <w:sz w:val="24"/>
          <w:szCs w:val="24"/>
        </w:rPr>
        <w:t xml:space="preserve">Product Requirements Document</w:t>
      </w:r>
    </w:p>
    <w:p>
      <w:pPr>
        <w:spacing w:after="60" w:before="60"/>
      </w:pPr>
      <w:r>
        <w:rPr>
          <w:b/>
          <w:bCs/>
          <w:color w:val="14121F"/>
          <w:sz w:val="52"/>
          <w:szCs w:val="52"/>
        </w:rPr>
        <w:t xml:space="preserve">Afriex Collect — Multi-Currency, Multi-Channel Checkout</w:t>
      </w:r>
    </w:p>
    <w:p>
      <w:pPr>
        <w:spacing w:after="400"/>
      </w:pPr>
      <w:r>
        <w:rPr>
          <w:i/>
          <w:iCs/>
          <w:color w:val="6B6880"/>
          <w:sz w:val="24"/>
          <w:szCs w:val="24"/>
        </w:rPr>
        <w:t xml:space="preserve">Hosted checkout pages that let any payer pay in their preferred currency and channel across EMEA, APAC &amp; LATAM — with saved payment methods (Afriex Link).</w:t>
      </w:r>
    </w:p>
    <w:tbl>
      <w:tblPr>
        <w:tblW w:type="dxa" w:w="6200"/>
        <w:tblBorders>
          <w:top w:val="none"/>
          <w:left w:val="none"/>
          <w:bottom w:val="none"/>
          <w:right w:val="none"/>
          <w:insideH w:val="single" w:color="D9D5E8" w:sz="4"/>
          <w:insideV w:val="none"/>
        </w:tblBorders>
      </w:tblPr>
      <w:tblGrid>
        <w:gridCol w:w="2100"/>
        <w:gridCol w:w="4100"/>
      </w:tblGrid>
      <w:tr>
        <w:tc>
          <w:tcPr>
            <w:tcW w:type="dxa" w:w="2100"/>
            <w:tcMar>
              <w:top w:type="dxa" w:w="60"/>
              <w:left w:type="dxa" w:w="0"/>
              <w:bottom w:type="dxa" w:w="60"/>
              <w:right w:type="dxa" w:w="80"/>
            </w:tcMar>
          </w:tcPr>
          <w:p>
            <w:r>
              <w:rPr>
                <w:b/>
                <w:bCs/>
                <w:color w:val="6B6880"/>
                <w:sz w:val="19"/>
                <w:szCs w:val="19"/>
              </w:rPr>
              <w:t xml:space="preserve">Product area</w:t>
            </w:r>
          </w:p>
        </w:tc>
        <w:tc>
          <w:tcPr>
            <w:tcW w:type="dxa" w:w="4100"/>
            <w:tcMar>
              <w:top w:type="dxa" w:w="60"/>
              <w:left w:type="dxa" w:w="80"/>
              <w:bottom w:type="dxa" w:w="60"/>
              <w:right w:type="dxa" w:w="0"/>
            </w:tcMar>
          </w:tcPr>
          <w:p>
            <w:r>
              <w:rPr>
                <w:color w:val="14121F"/>
                <w:sz w:val="19"/>
                <w:szCs w:val="19"/>
              </w:rPr>
              <w:t xml:space="preserve">Afriex Collect / Payment Links</w:t>
            </w:r>
          </w:p>
        </w:tc>
      </w:tr>
      <w:tr>
        <w:tc>
          <w:tcPr>
            <w:tcW w:type="dxa" w:w="2100"/>
            <w:tcMar>
              <w:top w:type="dxa" w:w="60"/>
              <w:left w:type="dxa" w:w="0"/>
              <w:bottom w:type="dxa" w:w="60"/>
              <w:right w:type="dxa" w:w="80"/>
            </w:tcMar>
          </w:tcPr>
          <w:p>
            <w:r>
              <w:rPr>
                <w:b/>
                <w:bCs/>
                <w:color w:val="6B6880"/>
                <w:sz w:val="19"/>
                <w:szCs w:val="19"/>
              </w:rPr>
              <w:t xml:space="preserve">Document owner</w:t>
            </w:r>
          </w:p>
        </w:tc>
        <w:tc>
          <w:tcPr>
            <w:tcW w:type="dxa" w:w="4100"/>
            <w:tcMar>
              <w:top w:type="dxa" w:w="60"/>
              <w:left w:type="dxa" w:w="80"/>
              <w:bottom w:type="dxa" w:w="60"/>
              <w:right w:type="dxa" w:w="0"/>
            </w:tcMar>
          </w:tcPr>
          <w:p>
            <w:r>
              <w:rPr>
                <w:color w:val="14121F"/>
                <w:sz w:val="19"/>
                <w:szCs w:val="19"/>
              </w:rPr>
              <w:t xml:space="preserve">Ifeanyi (ifeanyi@afriex.co)</w:t>
            </w:r>
          </w:p>
        </w:tc>
      </w:tr>
      <w:tr>
        <w:tc>
          <w:tcPr>
            <w:tcW w:type="dxa" w:w="2100"/>
            <w:tcMar>
              <w:top w:type="dxa" w:w="60"/>
              <w:left w:type="dxa" w:w="0"/>
              <w:bottom w:type="dxa" w:w="60"/>
              <w:right w:type="dxa" w:w="80"/>
            </w:tcMar>
          </w:tcPr>
          <w:p>
            <w:r>
              <w:rPr>
                <w:b/>
                <w:bCs/>
                <w:color w:val="6B6880"/>
                <w:sz w:val="19"/>
                <w:szCs w:val="19"/>
              </w:rPr>
              <w:t xml:space="preserve">Status</w:t>
            </w:r>
          </w:p>
        </w:tc>
        <w:tc>
          <w:tcPr>
            <w:tcW w:type="dxa" w:w="4100"/>
            <w:tcMar>
              <w:top w:type="dxa" w:w="60"/>
              <w:left w:type="dxa" w:w="80"/>
              <w:bottom w:type="dxa" w:w="60"/>
              <w:right w:type="dxa" w:w="0"/>
            </w:tcMar>
          </w:tcPr>
          <w:p>
            <w:r>
              <w:rPr>
                <w:color w:val="14121F"/>
                <w:sz w:val="19"/>
                <w:szCs w:val="19"/>
              </w:rPr>
              <w:t xml:space="preserve">Draft for review</w:t>
            </w:r>
          </w:p>
        </w:tc>
      </w:tr>
      <w:tr>
        <w:tc>
          <w:tcPr>
            <w:tcW w:type="dxa" w:w="2100"/>
            <w:tcMar>
              <w:top w:type="dxa" w:w="60"/>
              <w:left w:type="dxa" w:w="0"/>
              <w:bottom w:type="dxa" w:w="60"/>
              <w:right w:type="dxa" w:w="80"/>
            </w:tcMar>
          </w:tcPr>
          <w:p>
            <w:r>
              <w:rPr>
                <w:b/>
                <w:bCs/>
                <w:color w:val="6B6880"/>
                <w:sz w:val="19"/>
                <w:szCs w:val="19"/>
              </w:rPr>
              <w:t xml:space="preserve">Version</w:t>
            </w:r>
          </w:p>
        </w:tc>
        <w:tc>
          <w:tcPr>
            <w:tcW w:type="dxa" w:w="4100"/>
            <w:tcMar>
              <w:top w:type="dxa" w:w="60"/>
              <w:left w:type="dxa" w:w="80"/>
              <w:bottom w:type="dxa" w:w="60"/>
              <w:right w:type="dxa" w:w="0"/>
            </w:tcMar>
          </w:tcPr>
          <w:p>
            <w:r>
              <w:rPr>
                <w:color w:val="14121F"/>
                <w:sz w:val="19"/>
                <w:szCs w:val="19"/>
              </w:rPr>
              <w:t xml:space="preserve">0.1</w:t>
            </w:r>
          </w:p>
        </w:tc>
      </w:tr>
      <w:tr>
        <w:tc>
          <w:tcPr>
            <w:tcW w:type="dxa" w:w="2100"/>
            <w:tcMar>
              <w:top w:type="dxa" w:w="60"/>
              <w:left w:type="dxa" w:w="0"/>
              <w:bottom w:type="dxa" w:w="60"/>
              <w:right w:type="dxa" w:w="80"/>
            </w:tcMar>
          </w:tcPr>
          <w:p>
            <w:r>
              <w:rPr>
                <w:b/>
                <w:bCs/>
                <w:color w:val="6B6880"/>
                <w:sz w:val="19"/>
                <w:szCs w:val="19"/>
              </w:rPr>
              <w:t xml:space="preserve">Date</w:t>
            </w:r>
          </w:p>
        </w:tc>
        <w:tc>
          <w:tcPr>
            <w:tcW w:type="dxa" w:w="4100"/>
            <w:tcMar>
              <w:top w:type="dxa" w:w="60"/>
              <w:left w:type="dxa" w:w="80"/>
              <w:bottom w:type="dxa" w:w="60"/>
              <w:right w:type="dxa" w:w="0"/>
            </w:tcMar>
          </w:tcPr>
          <w:p>
            <w:r>
              <w:rPr>
                <w:color w:val="14121F"/>
                <w:sz w:val="19"/>
                <w:szCs w:val="19"/>
              </w:rPr>
              <w:t xml:space="preserve">31 July 2026</w:t>
            </w:r>
          </w:p>
        </w:tc>
      </w:tr>
      <w:tr>
        <w:tc>
          <w:tcPr>
            <w:tcW w:type="dxa" w:w="2100"/>
            <w:tcMar>
              <w:top w:type="dxa" w:w="60"/>
              <w:left w:type="dxa" w:w="0"/>
              <w:bottom w:type="dxa" w:w="60"/>
              <w:right w:type="dxa" w:w="80"/>
            </w:tcMar>
          </w:tcPr>
          <w:p>
            <w:r>
              <w:rPr>
                <w:b/>
                <w:bCs/>
                <w:color w:val="6B6880"/>
                <w:sz w:val="19"/>
                <w:szCs w:val="19"/>
              </w:rPr>
              <w:t xml:space="preserve">Audience</w:t>
            </w:r>
          </w:p>
        </w:tc>
        <w:tc>
          <w:tcPr>
            <w:tcW w:type="dxa" w:w="4100"/>
            <w:tcMar>
              <w:top w:type="dxa" w:w="60"/>
              <w:left w:type="dxa" w:w="80"/>
              <w:bottom w:type="dxa" w:w="60"/>
              <w:right w:type="dxa" w:w="0"/>
            </w:tcMar>
          </w:tcPr>
          <w:p>
            <w:r>
              <w:rPr>
                <w:color w:val="14121F"/>
                <w:sz w:val="19"/>
                <w:szCs w:val="19"/>
              </w:rPr>
              <w:t xml:space="preserve">Engineering &amp; Design</w:t>
            </w:r>
          </w:p>
        </w:tc>
      </w:tr>
    </w:tbl>
    <w:p>
      <w:r>
        <w:br w:type="page"/>
      </w:r>
    </w:p>
    <w:p>
      <w:pPr>
        <w:pStyle w:val="Heading1"/>
        <w:spacing w:after="120"/>
      </w:pPr>
      <w:r>
        <w:rPr>
          <w:b/>
          <w:bCs/>
          <w:color w:val="14121F"/>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b/>
          <w:bCs/>
          <w:color w:val="14121F"/>
        </w:rPr>
        <w:t xml:space="preserve">1. Overview</w:t>
      </w:r>
    </w:p>
    <w:p>
      <w:pPr>
        <w:spacing w:after="120" w:line="276"/>
      </w:pPr>
      <w:r>
        <w:t xml:space="preserve">Afriex Collect today lets business users generate a payment link and collect funds without building their own checkout. This PRD extends Collect into a full </w:t>
      </w:r>
      <w:r>
        <w:rPr>
          <w:b/>
          <w:bCs/>
        </w:rPr>
        <w:t xml:space="preserve">hosted, multi-currency, multi-channel checkout</w:t>
      </w:r>
      <w:r>
        <w:t xml:space="preserve">. An entity (merchant) creates a checkout page for a fixed settlement amount; the payer is then free to pay in </w:t>
      </w:r>
      <w:r>
        <w:rPr>
          <w:b/>
          <w:bCs/>
        </w:rPr>
        <w:t xml:space="preserve">any currency and through any channel</w:t>
      </w:r>
      <w:r>
        <w:t xml:space="preserve"> that Afriex supports in their market — virtual accounts, mobile money wallets, and digital wallets across EMEA, APAC and LATAM. Cross-currency payments are accepted at the prevailing Afriex market rate, and payers can save their preferred method for one-tap reuse on future transactions, mirroring the Stripe Link experience.</w:t>
      </w:r>
    </w:p>
    <w:p>
      <w:pPr>
        <w:spacing w:after="120" w:line="276"/>
      </w:pPr>
      <w:r>
        <w:rPr>
          <w:b/>
          <w:bCs/>
        </w:rPr>
        <w:t xml:space="preserve">Core payer journey: </w:t>
      </w:r>
      <w:r>
        <w:t xml:space="preserve">the payer sees the amount due, selects the currency they want to pay in from Afriex-supported options, is then shown only the channels supported for that chosen currency, and completes payment through the selected channel. The merchant always receives their configured settlement amount and currency.</w:t>
      </w:r>
    </w:p>
    <w:p>
      <w:pPr>
        <w:pStyle w:val="Heading2"/>
        <w:spacing w:after="100" w:before="240"/>
      </w:pPr>
      <w:r>
        <w:rPr>
          <w:b/>
          <w:bCs/>
          <w:color w:val="5B3DF5"/>
        </w:rPr>
        <w:t xml:space="preserve">1.1 Problem statement</w:t>
      </w:r>
    </w:p>
    <w:p>
      <w:pPr>
        <w:spacing w:after="120" w:line="276"/>
      </w:pPr>
      <w:r>
        <w:t xml:space="preserve">Afriex merchants sell to customers spread across many countries, but each customer wants to pay the way they already pay locally — a Nigerian buyer via bank transfer to a virtual account, a Kenyan via M-Pesa, a Filipino via GCash, a Brazilian via Pix. Merchants currently either force a single currency/channel (losing conversions and absorbing FX friction) or build bespoke integrations per market. There is no single hosted page that adapts currency and channel to whoever is paying, while guaranteeing the merchant a predictable settlement amount.</w:t>
      </w:r>
    </w:p>
    <w:p>
      <w:pPr>
        <w:pStyle w:val="Heading2"/>
        <w:spacing w:after="100" w:before="240"/>
      </w:pPr>
      <w:r>
        <w:rPr>
          <w:b/>
          <w:bCs/>
          <w:color w:val="5B3DF5"/>
        </w:rPr>
        <w:t xml:space="preserve">1.2 Goals</w:t>
      </w:r>
    </w:p>
    <w:p>
      <w:pPr>
        <w:pStyle w:val="ListParagraph"/>
        <w:numPr>
          <w:ilvl w:val="0"/>
          <w:numId w:val="2"/>
        </w:numPr>
        <w:spacing w:after="60" w:line="268"/>
      </w:pPr>
      <w:r>
        <w:t xml:space="preserve">Let a merchant create a checkout page in minutes with no engineering integration, specifying a settlement amount, currency, and the currencies/channels payers may use.</w:t>
      </w:r>
    </w:p>
    <w:p>
      <w:pPr>
        <w:pStyle w:val="ListParagraph"/>
        <w:numPr>
          <w:ilvl w:val="0"/>
          <w:numId w:val="2"/>
        </w:numPr>
        <w:spacing w:after="60" w:line="268"/>
      </w:pPr>
      <w:r>
        <w:t xml:space="preserve">Let payers pay in their preferred currency, converted at the Afriex market rate, with full transparency on rate and final amount.</w:t>
      </w:r>
    </w:p>
    <w:p>
      <w:pPr>
        <w:pStyle w:val="ListParagraph"/>
        <w:numPr>
          <w:ilvl w:val="0"/>
          <w:numId w:val="2"/>
        </w:numPr>
        <w:spacing w:after="60" w:line="268"/>
      </w:pPr>
      <w:r>
        <w:t xml:space="preserve">Surface only the channels valid for the payer's chosen currency (virtual accounts, mobile money, digital wallets, and cards where available).</w:t>
      </w:r>
    </w:p>
    <w:p>
      <w:pPr>
        <w:pStyle w:val="ListParagraph"/>
        <w:numPr>
          <w:ilvl w:val="0"/>
          <w:numId w:val="2"/>
        </w:numPr>
        <w:spacing w:after="60" w:line="268"/>
      </w:pPr>
      <w:r>
        <w:t xml:space="preserve">Cover EMEA, APAC and LATAM corridors from a single page configuration.</w:t>
      </w:r>
    </w:p>
    <w:p>
      <w:pPr>
        <w:pStyle w:val="ListParagraph"/>
        <w:numPr>
          <w:ilvl w:val="0"/>
          <w:numId w:val="2"/>
        </w:numPr>
        <w:spacing w:after="60" w:line="268"/>
      </w:pPr>
      <w:r>
        <w:t xml:space="preserve">Allow payers to save their details and preferred method for one-tap checkout across Afriex merchants (Afriex Link).</w:t>
      </w:r>
    </w:p>
    <w:p>
      <w:pPr>
        <w:pStyle w:val="ListParagraph"/>
        <w:numPr>
          <w:ilvl w:val="0"/>
          <w:numId w:val="2"/>
        </w:numPr>
        <w:spacing w:after="60" w:line="268"/>
      </w:pPr>
      <w:r>
        <w:t xml:space="preserve">Guarantee merchants a predictable settlement amount regardless of how the payer pays.</w:t>
      </w:r>
    </w:p>
    <w:p>
      <w:pPr>
        <w:pStyle w:val="Heading2"/>
        <w:spacing w:after="100" w:before="240"/>
      </w:pPr>
      <w:r>
        <w:rPr>
          <w:b/>
          <w:bCs/>
          <w:color w:val="5B3DF5"/>
        </w:rPr>
        <w:t xml:space="preserve">1.3 Non-goals</w:t>
      </w:r>
    </w:p>
    <w:p>
      <w:pPr>
        <w:pStyle w:val="ListParagraph"/>
        <w:numPr>
          <w:ilvl w:val="0"/>
          <w:numId w:val="2"/>
        </w:numPr>
        <w:spacing w:after="60" w:line="268"/>
      </w:pPr>
      <w:r>
        <w:t xml:space="preserve">Building a full merchant-side dashboard redesign — this PRD covers only the checkout-page creation surface and the payer checkout experience.</w:t>
      </w:r>
    </w:p>
    <w:p>
      <w:pPr>
        <w:pStyle w:val="ListParagraph"/>
        <w:numPr>
          <w:ilvl w:val="0"/>
          <w:numId w:val="2"/>
        </w:numPr>
        <w:spacing w:after="60" w:line="268"/>
      </w:pPr>
      <w:r>
        <w:t xml:space="preserve">Recurring billing / subscriptions and instalment plans (future phase).</w:t>
      </w:r>
    </w:p>
    <w:p>
      <w:pPr>
        <w:pStyle w:val="ListParagraph"/>
        <w:numPr>
          <w:ilvl w:val="0"/>
          <w:numId w:val="2"/>
        </w:numPr>
        <w:spacing w:after="60" w:line="268"/>
      </w:pPr>
      <w:r>
        <w:t xml:space="preserve">Payouts and disbursement flows (out of scope; Collect is inbound).</w:t>
      </w:r>
    </w:p>
    <w:p>
      <w:pPr>
        <w:pStyle w:val="ListParagraph"/>
        <w:numPr>
          <w:ilvl w:val="0"/>
          <w:numId w:val="2"/>
        </w:numPr>
        <w:spacing w:after="60" w:line="268"/>
      </w:pPr>
      <w:r>
        <w:t xml:space="preserve">Merchant-side custom-branded/white-label checkout domains (fast-follow).</w:t>
      </w:r>
    </w:p>
    <w:p>
      <w:pPr>
        <w:pStyle w:val="ListParagraph"/>
        <w:numPr>
          <w:ilvl w:val="0"/>
          <w:numId w:val="2"/>
        </w:numPr>
        <w:spacing w:after="60" w:line="268"/>
      </w:pPr>
      <w:r>
        <w:t xml:space="preserve">Adding new payment rails not already supported by Afriex treasury/PSP partners.</w:t>
      </w:r>
    </w:p>
    <w:p>
      <w:pPr>
        <w:pStyle w:val="Heading2"/>
        <w:spacing w:after="100" w:before="240"/>
      </w:pPr>
      <w:r>
        <w:rPr>
          <w:b/>
          <w:bCs/>
          <w:color w:val="5B3DF5"/>
        </w:rPr>
        <w:t xml:space="preserve">1.4 Success metrics</w:t>
      </w:r>
    </w:p>
    <w:tbl>
      <w:tblPr>
        <w:tblW w:type="dxa" w:w="9360"/>
        <w:tblBorders>
          <w:top w:val="single" w:color="D9D5E8" w:sz="4"/>
          <w:left w:val="single" w:color="D9D5E8" w:sz="4"/>
          <w:bottom w:val="single" w:color="D9D5E8" w:sz="4"/>
          <w:right w:val="single" w:color="D9D5E8" w:sz="4"/>
          <w:insideH w:val="single" w:color="D9D5E8" w:sz="4"/>
          <w:insideV w:val="single" w:color="D9D5E8" w:sz="4"/>
        </w:tblBorders>
      </w:tblPr>
      <w:tblGrid>
        <w:gridCol w:w="2500"/>
        <w:gridCol w:w="4360"/>
        <w:gridCol w:w="2500"/>
      </w:tblGrid>
      <w:tr>
        <w:trPr>
          <w:tblHeader/>
        </w:trPr>
        <w:tc>
          <w:tcPr>
            <w:tcW w:type="dxa" w:w="2500"/>
            <w:shd w:fill="5B3DF5" w:color="auto" w:val="clear"/>
            <w:tcMar>
              <w:top w:type="dxa" w:w="70"/>
              <w:left w:type="dxa" w:w="110"/>
              <w:bottom w:type="dxa" w:w="70"/>
              <w:right w:type="dxa" w:w="110"/>
            </w:tcMar>
          </w:tcPr>
          <w:p>
            <w:pPr>
              <w:jc w:val="left"/>
            </w:pPr>
            <w:r>
              <w:rPr>
                <w:b/>
                <w:bCs/>
                <w:color w:val="FFFFFF"/>
                <w:sz w:val="19"/>
                <w:szCs w:val="19"/>
              </w:rPr>
              <w:t xml:space="preserve">Metric</w:t>
            </w:r>
          </w:p>
        </w:tc>
        <w:tc>
          <w:tcPr>
            <w:tcW w:type="dxa" w:w="4360"/>
            <w:shd w:fill="5B3DF5" w:color="auto" w:val="clear"/>
            <w:tcMar>
              <w:top w:type="dxa" w:w="70"/>
              <w:left w:type="dxa" w:w="110"/>
              <w:bottom w:type="dxa" w:w="70"/>
              <w:right w:type="dxa" w:w="110"/>
            </w:tcMar>
          </w:tcPr>
          <w:p>
            <w:pPr>
              <w:jc w:val="left"/>
            </w:pPr>
            <w:r>
              <w:rPr>
                <w:b/>
                <w:bCs/>
                <w:color w:val="FFFFFF"/>
                <w:sz w:val="19"/>
                <w:szCs w:val="19"/>
              </w:rPr>
              <w:t xml:space="preserve">Definition</w:t>
            </w:r>
          </w:p>
        </w:tc>
        <w:tc>
          <w:tcPr>
            <w:tcW w:type="dxa" w:w="2500"/>
            <w:shd w:fill="5B3DF5" w:color="auto" w:val="clear"/>
            <w:tcMar>
              <w:top w:type="dxa" w:w="70"/>
              <w:left w:type="dxa" w:w="110"/>
              <w:bottom w:type="dxa" w:w="70"/>
              <w:right w:type="dxa" w:w="110"/>
            </w:tcMar>
          </w:tcPr>
          <w:p>
            <w:pPr>
              <w:jc w:val="left"/>
            </w:pPr>
            <w:r>
              <w:rPr>
                <w:b/>
                <w:bCs/>
                <w:color w:val="FFFFFF"/>
                <w:sz w:val="19"/>
                <w:szCs w:val="19"/>
              </w:rPr>
              <w:t xml:space="preserve">Target (first 90 days)</w:t>
            </w:r>
          </w:p>
        </w:tc>
      </w:tr>
      <w:tr>
        <w:tc>
          <w:tcPr>
            <w:tcW w:type="dxa" w:w="2500"/>
            <w:tcMar>
              <w:top w:type="dxa" w:w="60"/>
              <w:left w:type="dxa" w:w="110"/>
              <w:bottom w:type="dxa" w:w="60"/>
              <w:right w:type="dxa" w:w="110"/>
            </w:tcMar>
          </w:tcPr>
          <w:p>
            <w:r>
              <w:rPr>
                <w:color w:val="14121F"/>
                <w:sz w:val="19"/>
                <w:szCs w:val="19"/>
              </w:rPr>
              <w:t xml:space="preserve">Checkout conversion rate</w:t>
            </w:r>
          </w:p>
        </w:tc>
        <w:tc>
          <w:tcPr>
            <w:tcW w:type="dxa" w:w="4360"/>
            <w:tcMar>
              <w:top w:type="dxa" w:w="60"/>
              <w:left w:type="dxa" w:w="110"/>
              <w:bottom w:type="dxa" w:w="60"/>
              <w:right w:type="dxa" w:w="110"/>
            </w:tcMar>
          </w:tcPr>
          <w:p>
            <w:r>
              <w:rPr>
                <w:color w:val="14121F"/>
                <w:sz w:val="19"/>
                <w:szCs w:val="19"/>
              </w:rPr>
              <w:t xml:space="preserve">Completed payments ÷ checkout page views</w:t>
            </w:r>
          </w:p>
        </w:tc>
        <w:tc>
          <w:tcPr>
            <w:tcW w:type="dxa" w:w="2500"/>
            <w:tcMar>
              <w:top w:type="dxa" w:w="60"/>
              <w:left w:type="dxa" w:w="110"/>
              <w:bottom w:type="dxa" w:w="60"/>
              <w:right w:type="dxa" w:w="110"/>
            </w:tcMar>
          </w:tcPr>
          <w:p>
            <w:r>
              <w:rPr>
                <w:color w:val="14121F"/>
                <w:sz w:val="19"/>
                <w:szCs w:val="19"/>
              </w:rPr>
              <w:t xml:space="preserve">≥ 55% (baseline single-currency ~40%)</w:t>
            </w:r>
          </w:p>
        </w:tc>
      </w:tr>
      <w:tr>
        <w:tc>
          <w:tcPr>
            <w:tcW w:type="dxa" w:w="2500"/>
            <w:shd w:fill="F7F6FC" w:color="auto" w:val="clear"/>
            <w:tcMar>
              <w:top w:type="dxa" w:w="60"/>
              <w:left w:type="dxa" w:w="110"/>
              <w:bottom w:type="dxa" w:w="60"/>
              <w:right w:type="dxa" w:w="110"/>
            </w:tcMar>
          </w:tcPr>
          <w:p>
            <w:r>
              <w:rPr>
                <w:color w:val="14121F"/>
                <w:sz w:val="19"/>
                <w:szCs w:val="19"/>
              </w:rPr>
              <w:t xml:space="preserve">Multi-currency adoption</w:t>
            </w:r>
          </w:p>
        </w:tc>
        <w:tc>
          <w:tcPr>
            <w:tcW w:type="dxa" w:w="4360"/>
            <w:shd w:fill="F7F6FC" w:color="auto" w:val="clear"/>
            <w:tcMar>
              <w:top w:type="dxa" w:w="60"/>
              <w:left w:type="dxa" w:w="110"/>
              <w:bottom w:type="dxa" w:w="60"/>
              <w:right w:type="dxa" w:w="110"/>
            </w:tcMar>
          </w:tcPr>
          <w:p>
            <w:r>
              <w:rPr>
                <w:color w:val="14121F"/>
                <w:sz w:val="19"/>
                <w:szCs w:val="19"/>
              </w:rPr>
              <w:t xml:space="preserve">% of payments where payer paid in a currency ≠ settlement currency</w:t>
            </w:r>
          </w:p>
        </w:tc>
        <w:tc>
          <w:tcPr>
            <w:tcW w:type="dxa" w:w="2500"/>
            <w:shd w:fill="F7F6FC" w:color="auto" w:val="clear"/>
            <w:tcMar>
              <w:top w:type="dxa" w:w="60"/>
              <w:left w:type="dxa" w:w="110"/>
              <w:bottom w:type="dxa" w:w="60"/>
              <w:right w:type="dxa" w:w="110"/>
            </w:tcMar>
          </w:tcPr>
          <w:p>
            <w:r>
              <w:rPr>
                <w:color w:val="14121F"/>
                <w:sz w:val="19"/>
                <w:szCs w:val="19"/>
              </w:rPr>
              <w:t xml:space="preserve">≥ 45%</w:t>
            </w:r>
          </w:p>
        </w:tc>
      </w:tr>
      <w:tr>
        <w:tc>
          <w:tcPr>
            <w:tcW w:type="dxa" w:w="2500"/>
            <w:tcMar>
              <w:top w:type="dxa" w:w="60"/>
              <w:left w:type="dxa" w:w="110"/>
              <w:bottom w:type="dxa" w:w="60"/>
              <w:right w:type="dxa" w:w="110"/>
            </w:tcMar>
          </w:tcPr>
          <w:p>
            <w:r>
              <w:rPr>
                <w:color w:val="14121F"/>
                <w:sz w:val="19"/>
                <w:szCs w:val="19"/>
              </w:rPr>
              <w:t xml:space="preserve">Link save rate</w:t>
            </w:r>
          </w:p>
        </w:tc>
        <w:tc>
          <w:tcPr>
            <w:tcW w:type="dxa" w:w="4360"/>
            <w:tcMar>
              <w:top w:type="dxa" w:w="60"/>
              <w:left w:type="dxa" w:w="110"/>
              <w:bottom w:type="dxa" w:w="60"/>
              <w:right w:type="dxa" w:w="110"/>
            </w:tcMar>
          </w:tcPr>
          <w:p>
            <w:r>
              <w:rPr>
                <w:color w:val="14121F"/>
                <w:sz w:val="19"/>
                <w:szCs w:val="19"/>
              </w:rPr>
              <w:t xml:space="preserve">% of completing payers who save a method</w:t>
            </w:r>
          </w:p>
        </w:tc>
        <w:tc>
          <w:tcPr>
            <w:tcW w:type="dxa" w:w="2500"/>
            <w:tcMar>
              <w:top w:type="dxa" w:w="60"/>
              <w:left w:type="dxa" w:w="110"/>
              <w:bottom w:type="dxa" w:w="60"/>
              <w:right w:type="dxa" w:w="110"/>
            </w:tcMar>
          </w:tcPr>
          <w:p>
            <w:r>
              <w:rPr>
                <w:color w:val="14121F"/>
                <w:sz w:val="19"/>
                <w:szCs w:val="19"/>
              </w:rPr>
              <w:t xml:space="preserve">≥ 30%</w:t>
            </w:r>
          </w:p>
        </w:tc>
      </w:tr>
      <w:tr>
        <w:tc>
          <w:tcPr>
            <w:tcW w:type="dxa" w:w="2500"/>
            <w:shd w:fill="F7F6FC" w:color="auto" w:val="clear"/>
            <w:tcMar>
              <w:top w:type="dxa" w:w="60"/>
              <w:left w:type="dxa" w:w="110"/>
              <w:bottom w:type="dxa" w:w="60"/>
              <w:right w:type="dxa" w:w="110"/>
            </w:tcMar>
          </w:tcPr>
          <w:p>
            <w:r>
              <w:rPr>
                <w:color w:val="14121F"/>
                <w:sz w:val="19"/>
                <w:szCs w:val="19"/>
              </w:rPr>
              <w:t xml:space="preserve">Link reuse rate</w:t>
            </w:r>
          </w:p>
        </w:tc>
        <w:tc>
          <w:tcPr>
            <w:tcW w:type="dxa" w:w="4360"/>
            <w:shd w:fill="F7F6FC" w:color="auto" w:val="clear"/>
            <w:tcMar>
              <w:top w:type="dxa" w:w="60"/>
              <w:left w:type="dxa" w:w="110"/>
              <w:bottom w:type="dxa" w:w="60"/>
              <w:right w:type="dxa" w:w="110"/>
            </w:tcMar>
          </w:tcPr>
          <w:p>
            <w:r>
              <w:rPr>
                <w:color w:val="14121F"/>
                <w:sz w:val="19"/>
                <w:szCs w:val="19"/>
              </w:rPr>
              <w:t xml:space="preserve">% of returning payers who complete via saved method</w:t>
            </w:r>
          </w:p>
        </w:tc>
        <w:tc>
          <w:tcPr>
            <w:tcW w:type="dxa" w:w="2500"/>
            <w:shd w:fill="F7F6FC" w:color="auto" w:val="clear"/>
            <w:tcMar>
              <w:top w:type="dxa" w:w="60"/>
              <w:left w:type="dxa" w:w="110"/>
              <w:bottom w:type="dxa" w:w="60"/>
              <w:right w:type="dxa" w:w="110"/>
            </w:tcMar>
          </w:tcPr>
          <w:p>
            <w:r>
              <w:rPr>
                <w:color w:val="14121F"/>
                <w:sz w:val="19"/>
                <w:szCs w:val="19"/>
              </w:rPr>
              <w:t xml:space="preserve">≥ 60%</w:t>
            </w:r>
          </w:p>
        </w:tc>
      </w:tr>
      <w:tr>
        <w:tc>
          <w:tcPr>
            <w:tcW w:type="dxa" w:w="2500"/>
            <w:tcMar>
              <w:top w:type="dxa" w:w="60"/>
              <w:left w:type="dxa" w:w="110"/>
              <w:bottom w:type="dxa" w:w="60"/>
              <w:right w:type="dxa" w:w="110"/>
            </w:tcMar>
          </w:tcPr>
          <w:p>
            <w:r>
              <w:rPr>
                <w:color w:val="14121F"/>
                <w:sz w:val="19"/>
                <w:szCs w:val="19"/>
              </w:rPr>
              <w:t xml:space="preserve">Rate-quote to pay time</w:t>
            </w:r>
          </w:p>
        </w:tc>
        <w:tc>
          <w:tcPr>
            <w:tcW w:type="dxa" w:w="4360"/>
            <w:tcMar>
              <w:top w:type="dxa" w:w="60"/>
              <w:left w:type="dxa" w:w="110"/>
              <w:bottom w:type="dxa" w:w="60"/>
              <w:right w:type="dxa" w:w="110"/>
            </w:tcMar>
          </w:tcPr>
          <w:p>
            <w:r>
              <w:rPr>
                <w:color w:val="14121F"/>
                <w:sz w:val="19"/>
                <w:szCs w:val="19"/>
              </w:rPr>
              <w:t xml:space="preserve">Median time from currency selection to payment initiated</w:t>
            </w:r>
          </w:p>
        </w:tc>
        <w:tc>
          <w:tcPr>
            <w:tcW w:type="dxa" w:w="2500"/>
            <w:tcMar>
              <w:top w:type="dxa" w:w="60"/>
              <w:left w:type="dxa" w:w="110"/>
              <w:bottom w:type="dxa" w:w="60"/>
              <w:right w:type="dxa" w:w="110"/>
            </w:tcMar>
          </w:tcPr>
          <w:p>
            <w:r>
              <w:rPr>
                <w:color w:val="14121F"/>
                <w:sz w:val="19"/>
                <w:szCs w:val="19"/>
              </w:rPr>
              <w:t xml:space="preserve">&lt; 90 seconds</w:t>
            </w:r>
          </w:p>
        </w:tc>
      </w:tr>
      <w:tr>
        <w:tc>
          <w:tcPr>
            <w:tcW w:type="dxa" w:w="2500"/>
            <w:shd w:fill="F7F6FC" w:color="auto" w:val="clear"/>
            <w:tcMar>
              <w:top w:type="dxa" w:w="60"/>
              <w:left w:type="dxa" w:w="110"/>
              <w:bottom w:type="dxa" w:w="60"/>
              <w:right w:type="dxa" w:w="110"/>
            </w:tcMar>
          </w:tcPr>
          <w:p>
            <w:r>
              <w:rPr>
                <w:color w:val="14121F"/>
                <w:sz w:val="19"/>
                <w:szCs w:val="19"/>
              </w:rPr>
              <w:t xml:space="preserve">Failed/expired rate locks</w:t>
            </w:r>
          </w:p>
        </w:tc>
        <w:tc>
          <w:tcPr>
            <w:tcW w:type="dxa" w:w="4360"/>
            <w:shd w:fill="F7F6FC" w:color="auto" w:val="clear"/>
            <w:tcMar>
              <w:top w:type="dxa" w:w="60"/>
              <w:left w:type="dxa" w:w="110"/>
              <w:bottom w:type="dxa" w:w="60"/>
              <w:right w:type="dxa" w:w="110"/>
            </w:tcMar>
          </w:tcPr>
          <w:p>
            <w:r>
              <w:rPr>
                <w:color w:val="14121F"/>
                <w:sz w:val="19"/>
                <w:szCs w:val="19"/>
              </w:rPr>
              <w:t xml:space="preserve">% of quotes that expire before payment</w:t>
            </w:r>
          </w:p>
        </w:tc>
        <w:tc>
          <w:tcPr>
            <w:tcW w:type="dxa" w:w="2500"/>
            <w:shd w:fill="F7F6FC" w:color="auto" w:val="clear"/>
            <w:tcMar>
              <w:top w:type="dxa" w:w="60"/>
              <w:left w:type="dxa" w:w="110"/>
              <w:bottom w:type="dxa" w:w="60"/>
              <w:right w:type="dxa" w:w="110"/>
            </w:tcMar>
          </w:tcPr>
          <w:p>
            <w:r>
              <w:rPr>
                <w:color w:val="14121F"/>
                <w:sz w:val="19"/>
                <w:szCs w:val="19"/>
              </w:rPr>
              <w:t xml:space="preserve">&lt; 8%</w:t>
            </w:r>
          </w:p>
        </w:tc>
      </w:tr>
    </w:tbl>
    <w:p>
      <w:pPr>
        <w:pStyle w:val="Heading1"/>
        <w:spacing w:after="140" w:before="320"/>
      </w:pPr>
      <w:r>
        <w:rPr>
          <w:b/>
          <w:bCs/>
          <w:color w:val="14121F"/>
        </w:rPr>
        <w:t xml:space="preserve">2. Users &amp; personas</w:t>
      </w:r>
    </w:p>
    <w:p>
      <w:pPr>
        <w:pStyle w:val="Heading3"/>
        <w:spacing w:after="70" w:before="180"/>
      </w:pPr>
      <w:r>
        <w:rPr>
          <w:b/>
          <w:bCs/>
          <w:color w:val="14121F"/>
        </w:rPr>
        <w:t xml:space="preserve">Merchant / entity (Collect user)</w:t>
      </w:r>
    </w:p>
    <w:p>
      <w:pPr>
        <w:spacing w:after="120" w:line="276"/>
      </w:pPr>
      <w:r>
        <w:t xml:space="preserve">An Afriex business account holder — a trader, marketplace, exporter, freelancer, or SMB — who needs to invoice or charge customers across borders and wants funds settled predictably into their chosen currency or wallet.</w:t>
      </w:r>
    </w:p>
    <w:p>
      <w:pPr>
        <w:pStyle w:val="Heading3"/>
        <w:spacing w:after="70" w:before="180"/>
      </w:pPr>
      <w:r>
        <w:rPr>
          <w:b/>
          <w:bCs/>
          <w:color w:val="14121F"/>
        </w:rPr>
        <w:t xml:space="preserve">Payer (customer)</w:t>
      </w:r>
    </w:p>
    <w:p>
      <w:pPr>
        <w:spacing w:after="120" w:line="276"/>
      </w:pPr>
      <w:r>
        <w:t xml:space="preserve">The end customer paying the merchant. May be first-time (guest) or returning (recognised by Afriex Link). Prioritises paying in their local currency through a channel they trust, on mobile, with minimal data entry.</w:t>
      </w:r>
    </w:p>
    <w:p>
      <w:pPr>
        <w:pStyle w:val="Heading3"/>
        <w:spacing w:after="70" w:before="180"/>
      </w:pPr>
      <w:r>
        <w:rPr>
          <w:b/>
          <w:bCs/>
          <w:color w:val="14121F"/>
        </w:rPr>
        <w:t xml:space="preserve">Afriex operations / treasury</w:t>
      </w:r>
    </w:p>
    <w:p>
      <w:pPr>
        <w:spacing w:after="120" w:line="276"/>
      </w:pPr>
      <w:r>
        <w:t xml:space="preserve">Internal stakeholders responsible for FX rate management, liquidity per corridor, and reconciliation of settlement vs. collected amounts.</w:t>
      </w:r>
    </w:p>
    <w:p>
      <w:pPr>
        <w:pStyle w:val="Heading1"/>
        <w:spacing w:after="140" w:before="320"/>
      </w:pPr>
      <w:r>
        <w:rPr>
          <w:b/>
          <w:bCs/>
          <w:color w:val="14121F"/>
        </w:rPr>
        <w:t xml:space="preserve">3. User stories</w:t>
      </w:r>
    </w:p>
    <w:p>
      <w:pPr>
        <w:pStyle w:val="Heading2"/>
        <w:spacing w:after="100" w:before="240"/>
      </w:pPr>
      <w:r>
        <w:rPr>
          <w:b/>
          <w:bCs/>
          <w:color w:val="5B3DF5"/>
        </w:rPr>
        <w:t xml:space="preserve">3.1 Merchant</w:t>
      </w:r>
    </w:p>
    <w:p>
      <w:pPr>
        <w:pStyle w:val="ListParagraph"/>
        <w:numPr>
          <w:ilvl w:val="0"/>
          <w:numId w:val="2"/>
        </w:numPr>
        <w:spacing w:after="60" w:line="268"/>
      </w:pPr>
      <w:r>
        <w:t xml:space="preserve">As a merchant, I can create a checkout page by entering an amount and settlement currency, so I can request payment without building anything.</w:t>
      </w:r>
    </w:p>
    <w:p>
      <w:pPr>
        <w:pStyle w:val="ListParagraph"/>
        <w:numPr>
          <w:ilvl w:val="0"/>
          <w:numId w:val="2"/>
        </w:numPr>
        <w:spacing w:after="60" w:line="268"/>
      </w:pPr>
      <w:r>
        <w:t xml:space="preserve">As a merchant, I can choose which currencies and channels my payers may use, so I control the corridors and cost profile.</w:t>
      </w:r>
    </w:p>
    <w:p>
      <w:pPr>
        <w:pStyle w:val="ListParagraph"/>
        <w:numPr>
          <w:ilvl w:val="0"/>
          <w:numId w:val="2"/>
        </w:numPr>
        <w:spacing w:after="60" w:line="268"/>
      </w:pPr>
      <w:r>
        <w:t xml:space="preserve">As a merchant, I receive a shareable link / QR / embed, so I can collect from any channel (WhatsApp, email, invoice).</w:t>
      </w:r>
    </w:p>
    <w:p>
      <w:pPr>
        <w:pStyle w:val="ListParagraph"/>
        <w:numPr>
          <w:ilvl w:val="0"/>
          <w:numId w:val="2"/>
        </w:numPr>
        <w:spacing w:after="60" w:line="268"/>
      </w:pPr>
      <w:r>
        <w:t xml:space="preserve">As a merchant, I always receive my configured settlement amount, so my accounting is predictable regardless of payer currency.</w:t>
      </w:r>
    </w:p>
    <w:p>
      <w:pPr>
        <w:pStyle w:val="Heading2"/>
        <w:spacing w:after="100" w:before="240"/>
      </w:pPr>
      <w:r>
        <w:rPr>
          <w:b/>
          <w:bCs/>
          <w:color w:val="5B3DF5"/>
        </w:rPr>
        <w:t xml:space="preserve">3.2 Payer</w:t>
      </w:r>
    </w:p>
    <w:p>
      <w:pPr>
        <w:pStyle w:val="ListParagraph"/>
        <w:numPr>
          <w:ilvl w:val="0"/>
          <w:numId w:val="2"/>
        </w:numPr>
        <w:spacing w:after="60" w:line="268"/>
      </w:pPr>
      <w:r>
        <w:t xml:space="preserve">As a payer, I see the amount due and can choose the currency I pay in, so I understand my cost in my own money.</w:t>
      </w:r>
    </w:p>
    <w:p>
      <w:pPr>
        <w:pStyle w:val="ListParagraph"/>
        <w:numPr>
          <w:ilvl w:val="0"/>
          <w:numId w:val="2"/>
        </w:numPr>
        <w:spacing w:after="60" w:line="268"/>
      </w:pPr>
      <w:r>
        <w:t xml:space="preserve">As a payer, I see a clear FX rate and final amount before I commit, so there are no surprises.</w:t>
      </w:r>
    </w:p>
    <w:p>
      <w:pPr>
        <w:pStyle w:val="ListParagraph"/>
        <w:numPr>
          <w:ilvl w:val="0"/>
          <w:numId w:val="2"/>
        </w:numPr>
        <w:spacing w:after="60" w:line="268"/>
      </w:pPr>
      <w:r>
        <w:t xml:space="preserve">As a payer, after choosing a currency I only see channels that work for it, so I never hit a dead end.</w:t>
      </w:r>
    </w:p>
    <w:p>
      <w:pPr>
        <w:pStyle w:val="ListParagraph"/>
        <w:numPr>
          <w:ilvl w:val="0"/>
          <w:numId w:val="2"/>
        </w:numPr>
        <w:spacing w:after="60" w:line="268"/>
      </w:pPr>
      <w:r>
        <w:t xml:space="preserve">As a payer, I can save my details and preferred method, so next time I pay in one tap.</w:t>
      </w:r>
    </w:p>
    <w:p>
      <w:pPr>
        <w:pStyle w:val="ListParagraph"/>
        <w:numPr>
          <w:ilvl w:val="0"/>
          <w:numId w:val="2"/>
        </w:numPr>
        <w:spacing w:after="60" w:line="268"/>
      </w:pPr>
      <w:r>
        <w:t xml:space="preserve">As a returning payer, I'm recognised and can pay with my saved method immediately, or switch currency/channel if I want.</w:t>
      </w:r>
    </w:p>
    <w:p>
      <w:pPr>
        <w:pStyle w:val="Heading1"/>
        <w:spacing w:after="140" w:before="320"/>
      </w:pPr>
      <w:r>
        <w:rPr>
          <w:b/>
          <w:bCs/>
          <w:color w:val="14121F"/>
        </w:rPr>
        <w:t xml:space="preserve">4. Experience &amp; flow</w:t>
      </w:r>
    </w:p>
    <w:p>
      <w:pPr>
        <w:spacing w:after="120" w:line="276"/>
      </w:pPr>
      <w:r>
        <w:t xml:space="preserve">The hosted checkout is mobile-first and follows a stepped disclosure model. The canonical happy path:</w:t>
      </w:r>
    </w:p>
    <w:p>
      <w:pPr>
        <w:pStyle w:val="ListParagraph"/>
        <w:numPr>
          <w:ilvl w:val="0"/>
          <w:numId w:val="3"/>
        </w:numPr>
        <w:spacing w:after="60" w:line="268"/>
      </w:pPr>
      <w:r>
        <w:rPr>
          <w:b/>
          <w:bCs/>
        </w:rPr>
        <w:t xml:space="preserve">Amount presented</w:t>
      </w:r>
      <w:r>
        <w:t xml:space="preserve"> — payer opens the link and sees the merchant, reference, and amount due in the settlement currency.</w:t>
      </w:r>
    </w:p>
    <w:p>
      <w:pPr>
        <w:pStyle w:val="ListParagraph"/>
        <w:numPr>
          <w:ilvl w:val="0"/>
          <w:numId w:val="3"/>
        </w:numPr>
        <w:spacing w:after="60" w:line="268"/>
      </w:pPr>
      <w:r>
        <w:rPr>
          <w:b/>
          <w:bCs/>
        </w:rPr>
        <w:t xml:space="preserve">Choose currency</w:t>
      </w:r>
      <w:r>
        <w:t xml:space="preserve"> — payer selects from Afriex-supported currencies; each shows the converted amount and the market rate applied.</w:t>
      </w:r>
    </w:p>
    <w:p>
      <w:pPr>
        <w:pStyle w:val="ListParagraph"/>
        <w:numPr>
          <w:ilvl w:val="0"/>
          <w:numId w:val="3"/>
        </w:numPr>
        <w:spacing w:after="60" w:line="268"/>
      </w:pPr>
      <w:r>
        <w:rPr>
          <w:b/>
          <w:bCs/>
        </w:rPr>
        <w:t xml:space="preserve">Choose channel</w:t>
      </w:r>
      <w:r>
        <w:t xml:space="preserve"> — the page shows only channels valid for the chosen currency (e.g. NGN → virtual account, mobile money, wallet, card). Selecting continue locks the rate for a fixed window.</w:t>
      </w:r>
    </w:p>
    <w:p>
      <w:pPr>
        <w:pStyle w:val="ListParagraph"/>
        <w:numPr>
          <w:ilvl w:val="0"/>
          <w:numId w:val="3"/>
        </w:numPr>
        <w:spacing w:after="60" w:line="268"/>
      </w:pPr>
      <w:r>
        <w:rPr>
          <w:b/>
          <w:bCs/>
        </w:rPr>
        <w:t xml:space="preserve">Enter details &amp; optionally save</w:t>
      </w:r>
      <w:r>
        <w:t xml:space="preserve"> — payer enters name/email/phone and can toggle 'Save with Afriex Link' for 1-tap reuse.</w:t>
      </w:r>
    </w:p>
    <w:p>
      <w:pPr>
        <w:pStyle w:val="ListParagraph"/>
        <w:numPr>
          <w:ilvl w:val="0"/>
          <w:numId w:val="3"/>
        </w:numPr>
        <w:spacing w:after="60" w:line="268"/>
      </w:pPr>
      <w:r>
        <w:rPr>
          <w:b/>
          <w:bCs/>
        </w:rPr>
        <w:t xml:space="preserve">Pay</w:t>
      </w:r>
      <w:r>
        <w:t xml:space="preserve"> — channel-specific instructions render (virtual account number to transfer to, mobile-money prompt, wallet authorisation, or card form). Afriex auto-detects settlement.</w:t>
      </w:r>
    </w:p>
    <w:p>
      <w:pPr>
        <w:pStyle w:val="ListParagraph"/>
        <w:numPr>
          <w:ilvl w:val="0"/>
          <w:numId w:val="3"/>
        </w:numPr>
        <w:spacing w:after="60" w:line="268"/>
      </w:pPr>
      <w:r>
        <w:rPr>
          <w:b/>
          <w:bCs/>
        </w:rPr>
        <w:t xml:space="preserve">Confirmation</w:t>
      </w:r>
      <w:r>
        <w:t xml:space="preserve"> — payer sees success, reference, amount paid vs. merchant received, and a receipt; method is saved if opted in.</w:t>
      </w:r>
    </w:p>
    <w:p>
      <w:pPr>
        <w:spacing w:after="60"/>
      </w:pPr>
    </w:p>
    <w:p>
      <w:pPr>
        <w:spacing w:after="120" w:line="276"/>
      </w:pPr>
      <w:r>
        <w:rPr>
          <w:b/>
          <w:bCs/>
        </w:rPr>
        <w:t xml:space="preserve">Returning payer (Afriex Link): </w:t>
      </w:r>
      <w:r>
        <w:t xml:space="preserve">when Afriex recognises the payer (via email/phone/device), the page opens directly to their saved method with the amount pre-converted, offering a single 'Pay in 1 tap' action and a link to change currency or method.</w:t>
      </w:r>
    </w:p>
    <w:p>
      <w:pPr>
        <w:pStyle w:val="Heading2"/>
        <w:spacing w:after="100" w:before="240"/>
      </w:pPr>
      <w:r>
        <w:rPr>
          <w:b/>
          <w:bCs/>
          <w:color w:val="5B3DF5"/>
        </w:rPr>
        <w:t xml:space="preserve">4.1 Interactive mockup</w:t>
      </w:r>
    </w:p>
    <w:p>
      <w:pPr>
        <w:spacing w:after="120" w:line="276"/>
      </w:pPr>
      <w:r>
        <w:t xml:space="preserve">A clickable HTML prototype accompanies this PRD (</w:t>
      </w:r>
      <w:r>
        <w:rPr>
          <w:b/>
          <w:bCs/>
          <w:color w:val="5B3DF5"/>
        </w:rPr>
        <w:t xml:space="preserve">afriex-collect-checkout-mockup.html</w:t>
      </w:r>
      <w:r>
        <w:t xml:space="preserve">). It covers the full payer flow (screens 1–6 plus the returning-payer Link screen) and the merchant checkout-page creation surface. Screen references below map to that prototype.</w:t>
      </w:r>
    </w:p>
    <w:p>
      <w:pPr>
        <w:pStyle w:val="Heading1"/>
        <w:spacing w:after="140" w:before="320"/>
      </w:pPr>
      <w:r>
        <w:rPr>
          <w:b/>
          <w:bCs/>
          <w:color w:val="14121F"/>
        </w:rPr>
        <w:t xml:space="preserve">5. Functional requirements</w:t>
      </w:r>
    </w:p>
    <w:p>
      <w:pPr>
        <w:pStyle w:val="Heading2"/>
        <w:spacing w:after="100" w:before="240"/>
      </w:pPr>
      <w:r>
        <w:rPr>
          <w:b/>
          <w:bCs/>
          <w:color w:val="5B3DF5"/>
        </w:rPr>
        <w:t xml:space="preserve">5.1 Merchant — checkout page creation</w:t>
      </w:r>
    </w:p>
    <w:tbl>
      <w:tblPr>
        <w:tblW w:type="dxa" w:w="9360"/>
        <w:tblBorders>
          <w:top w:val="single" w:color="D9D5E8" w:sz="4"/>
          <w:left w:val="single" w:color="D9D5E8" w:sz="4"/>
          <w:bottom w:val="single" w:color="D9D5E8" w:sz="4"/>
          <w:right w:val="single" w:color="D9D5E8" w:sz="4"/>
          <w:insideH w:val="single" w:color="D9D5E8" w:sz="4"/>
          <w:insideV w:val="single" w:color="D9D5E8" w:sz="4"/>
        </w:tblBorders>
      </w:tblPr>
      <w:tblGrid>
        <w:gridCol w:w="900"/>
        <w:gridCol w:w="6960"/>
        <w:gridCol w:w="1500"/>
      </w:tblGrid>
      <w:tr>
        <w:trPr>
          <w:tblHeader/>
        </w:trPr>
        <w:tc>
          <w:tcPr>
            <w:tcW w:type="dxa" w:w="900"/>
            <w:shd w:fill="5B3DF5" w:color="auto" w:val="clear"/>
            <w:tcMar>
              <w:top w:type="dxa" w:w="70"/>
              <w:left w:type="dxa" w:w="110"/>
              <w:bottom w:type="dxa" w:w="70"/>
              <w:right w:type="dxa" w:w="110"/>
            </w:tcMar>
          </w:tcPr>
          <w:p>
            <w:pPr>
              <w:jc w:val="left"/>
            </w:pPr>
            <w:r>
              <w:rPr>
                <w:b/>
                <w:bCs/>
                <w:color w:val="FFFFFF"/>
                <w:sz w:val="19"/>
                <w:szCs w:val="19"/>
              </w:rPr>
              <w:t xml:space="preserve">ID</w:t>
            </w:r>
          </w:p>
        </w:tc>
        <w:tc>
          <w:tcPr>
            <w:tcW w:type="dxa" w:w="6960"/>
            <w:shd w:fill="5B3DF5" w:color="auto" w:val="clear"/>
            <w:tcMar>
              <w:top w:type="dxa" w:w="70"/>
              <w:left w:type="dxa" w:w="110"/>
              <w:bottom w:type="dxa" w:w="70"/>
              <w:right w:type="dxa" w:w="110"/>
            </w:tcMar>
          </w:tcPr>
          <w:p>
            <w:pPr>
              <w:jc w:val="left"/>
            </w:pPr>
            <w:r>
              <w:rPr>
                <w:b/>
                <w:bCs/>
                <w:color w:val="FFFFFF"/>
                <w:sz w:val="19"/>
                <w:szCs w:val="19"/>
              </w:rPr>
              <w:t xml:space="preserve">Requirement</w:t>
            </w:r>
          </w:p>
        </w:tc>
        <w:tc>
          <w:tcPr>
            <w:tcW w:type="dxa" w:w="1500"/>
            <w:shd w:fill="5B3DF5" w:color="auto" w:val="clear"/>
            <w:tcMar>
              <w:top w:type="dxa" w:w="70"/>
              <w:left w:type="dxa" w:w="110"/>
              <w:bottom w:type="dxa" w:w="70"/>
              <w:right w:type="dxa" w:w="110"/>
            </w:tcMar>
          </w:tcPr>
          <w:p>
            <w:pPr>
              <w:jc w:val="left"/>
            </w:pPr>
            <w:r>
              <w:rPr>
                <w:b/>
                <w:bCs/>
                <w:color w:val="FFFFFF"/>
                <w:sz w:val="19"/>
                <w:szCs w:val="19"/>
              </w:rPr>
              <w:t xml:space="preserve">Priority</w:t>
            </w:r>
          </w:p>
        </w:tc>
      </w:tr>
      <w:tr>
        <w:tc>
          <w:tcPr>
            <w:tcW w:type="dxa" w:w="900"/>
            <w:tcMar>
              <w:top w:type="dxa" w:w="60"/>
              <w:left w:type="dxa" w:w="110"/>
              <w:bottom w:type="dxa" w:w="60"/>
              <w:right w:type="dxa" w:w="110"/>
            </w:tcMar>
          </w:tcPr>
          <w:p>
            <w:r>
              <w:rPr>
                <w:color w:val="14121F"/>
                <w:sz w:val="19"/>
                <w:szCs w:val="19"/>
              </w:rPr>
              <w:t xml:space="preserve">M-1</w:t>
            </w:r>
          </w:p>
        </w:tc>
        <w:tc>
          <w:tcPr>
            <w:tcW w:type="dxa" w:w="6960"/>
            <w:tcMar>
              <w:top w:type="dxa" w:w="60"/>
              <w:left w:type="dxa" w:w="110"/>
              <w:bottom w:type="dxa" w:w="60"/>
              <w:right w:type="dxa" w:w="110"/>
            </w:tcMar>
          </w:tcPr>
          <w:p>
            <w:r>
              <w:rPr>
                <w:color w:val="14121F"/>
                <w:sz w:val="19"/>
                <w:szCs w:val="19"/>
              </w:rPr>
              <w:t xml:space="preserve">Create a checkout page with page name, reference, settlement currency, and amount.</w:t>
            </w:r>
          </w:p>
        </w:tc>
        <w:tc>
          <w:tcPr>
            <w:tcW w:type="dxa" w:w="1500"/>
            <w:tcMar>
              <w:top w:type="dxa" w:w="60"/>
              <w:left w:type="dxa" w:w="110"/>
              <w:bottom w:type="dxa" w:w="60"/>
              <w:right w:type="dxa" w:w="110"/>
            </w:tcMar>
          </w:tcPr>
          <w:p>
            <w:r>
              <w:rPr>
                <w:color w:val="14121F"/>
                <w:sz w:val="19"/>
                <w:szCs w:val="19"/>
              </w:rPr>
              <w:t xml:space="preserve">P0</w:t>
            </w:r>
          </w:p>
        </w:tc>
      </w:tr>
      <w:tr>
        <w:tc>
          <w:tcPr>
            <w:tcW w:type="dxa" w:w="900"/>
            <w:shd w:fill="F7F6FC" w:color="auto" w:val="clear"/>
            <w:tcMar>
              <w:top w:type="dxa" w:w="60"/>
              <w:left w:type="dxa" w:w="110"/>
              <w:bottom w:type="dxa" w:w="60"/>
              <w:right w:type="dxa" w:w="110"/>
            </w:tcMar>
          </w:tcPr>
          <w:p>
            <w:r>
              <w:rPr>
                <w:color w:val="14121F"/>
                <w:sz w:val="19"/>
                <w:szCs w:val="19"/>
              </w:rPr>
              <w:t xml:space="preserve">M-2</w:t>
            </w:r>
          </w:p>
        </w:tc>
        <w:tc>
          <w:tcPr>
            <w:tcW w:type="dxa" w:w="6960"/>
            <w:shd w:fill="F7F6FC" w:color="auto" w:val="clear"/>
            <w:tcMar>
              <w:top w:type="dxa" w:w="60"/>
              <w:left w:type="dxa" w:w="110"/>
              <w:bottom w:type="dxa" w:w="60"/>
              <w:right w:type="dxa" w:w="110"/>
            </w:tcMar>
          </w:tcPr>
          <w:p>
            <w:r>
              <w:rPr>
                <w:color w:val="14121F"/>
                <w:sz w:val="19"/>
                <w:szCs w:val="19"/>
              </w:rPr>
              <w:t xml:space="preserve">Select the settlement currency (USD, EUR, GBP, and stablecoin/USDC where enabled).</w:t>
            </w:r>
          </w:p>
        </w:tc>
        <w:tc>
          <w:tcPr>
            <w:tcW w:type="dxa" w:w="1500"/>
            <w:shd w:fill="F7F6FC" w:color="auto" w:val="clear"/>
            <w:tcMar>
              <w:top w:type="dxa" w:w="60"/>
              <w:left w:type="dxa" w:w="110"/>
              <w:bottom w:type="dxa" w:w="60"/>
              <w:right w:type="dxa" w:w="110"/>
            </w:tcMar>
          </w:tcPr>
          <w:p>
            <w:r>
              <w:rPr>
                <w:color w:val="14121F"/>
                <w:sz w:val="19"/>
                <w:szCs w:val="19"/>
              </w:rPr>
              <w:t xml:space="preserve">P0</w:t>
            </w:r>
          </w:p>
        </w:tc>
      </w:tr>
      <w:tr>
        <w:tc>
          <w:tcPr>
            <w:tcW w:type="dxa" w:w="900"/>
            <w:tcMar>
              <w:top w:type="dxa" w:w="60"/>
              <w:left w:type="dxa" w:w="110"/>
              <w:bottom w:type="dxa" w:w="60"/>
              <w:right w:type="dxa" w:w="110"/>
            </w:tcMar>
          </w:tcPr>
          <w:p>
            <w:r>
              <w:rPr>
                <w:color w:val="14121F"/>
                <w:sz w:val="19"/>
                <w:szCs w:val="19"/>
              </w:rPr>
              <w:t xml:space="preserve">M-3</w:t>
            </w:r>
          </w:p>
        </w:tc>
        <w:tc>
          <w:tcPr>
            <w:tcW w:type="dxa" w:w="6960"/>
            <w:tcMar>
              <w:top w:type="dxa" w:w="60"/>
              <w:left w:type="dxa" w:w="110"/>
              <w:bottom w:type="dxa" w:w="60"/>
              <w:right w:type="dxa" w:w="110"/>
            </w:tcMar>
          </w:tcPr>
          <w:p>
            <w:r>
              <w:rPr>
                <w:color w:val="14121F"/>
                <w:sz w:val="19"/>
                <w:szCs w:val="19"/>
              </w:rPr>
              <w:t xml:space="preserve">Multi-select the currencies payers may pay in, grouped by region (EMEA / APAC / LATAM).</w:t>
            </w:r>
          </w:p>
        </w:tc>
        <w:tc>
          <w:tcPr>
            <w:tcW w:type="dxa" w:w="1500"/>
            <w:tcMar>
              <w:top w:type="dxa" w:w="60"/>
              <w:left w:type="dxa" w:w="110"/>
              <w:bottom w:type="dxa" w:w="60"/>
              <w:right w:type="dxa" w:w="110"/>
            </w:tcMar>
          </w:tcPr>
          <w:p>
            <w:r>
              <w:rPr>
                <w:color w:val="14121F"/>
                <w:sz w:val="19"/>
                <w:szCs w:val="19"/>
              </w:rPr>
              <w:t xml:space="preserve">P0</w:t>
            </w:r>
          </w:p>
        </w:tc>
      </w:tr>
      <w:tr>
        <w:tc>
          <w:tcPr>
            <w:tcW w:type="dxa" w:w="900"/>
            <w:shd w:fill="F7F6FC" w:color="auto" w:val="clear"/>
            <w:tcMar>
              <w:top w:type="dxa" w:w="60"/>
              <w:left w:type="dxa" w:w="110"/>
              <w:bottom w:type="dxa" w:w="60"/>
              <w:right w:type="dxa" w:w="110"/>
            </w:tcMar>
          </w:tcPr>
          <w:p>
            <w:r>
              <w:rPr>
                <w:color w:val="14121F"/>
                <w:sz w:val="19"/>
                <w:szCs w:val="19"/>
              </w:rPr>
              <w:t xml:space="preserve">M-4</w:t>
            </w:r>
          </w:p>
        </w:tc>
        <w:tc>
          <w:tcPr>
            <w:tcW w:type="dxa" w:w="6960"/>
            <w:shd w:fill="F7F6FC" w:color="auto" w:val="clear"/>
            <w:tcMar>
              <w:top w:type="dxa" w:w="60"/>
              <w:left w:type="dxa" w:w="110"/>
              <w:bottom w:type="dxa" w:w="60"/>
              <w:right w:type="dxa" w:w="110"/>
            </w:tcMar>
          </w:tcPr>
          <w:p>
            <w:r>
              <w:rPr>
                <w:color w:val="14121F"/>
                <w:sz w:val="19"/>
                <w:szCs w:val="19"/>
              </w:rPr>
              <w:t xml:space="preserve">Multi-select allowed channels: virtual accounts, mobile money, digital wallets, cards.</w:t>
            </w:r>
          </w:p>
        </w:tc>
        <w:tc>
          <w:tcPr>
            <w:tcW w:type="dxa" w:w="1500"/>
            <w:shd w:fill="F7F6FC" w:color="auto" w:val="clear"/>
            <w:tcMar>
              <w:top w:type="dxa" w:w="60"/>
              <w:left w:type="dxa" w:w="110"/>
              <w:bottom w:type="dxa" w:w="60"/>
              <w:right w:type="dxa" w:w="110"/>
            </w:tcMar>
          </w:tcPr>
          <w:p>
            <w:r>
              <w:rPr>
                <w:color w:val="14121F"/>
                <w:sz w:val="19"/>
                <w:szCs w:val="19"/>
              </w:rPr>
              <w:t xml:space="preserve">P0</w:t>
            </w:r>
          </w:p>
        </w:tc>
      </w:tr>
      <w:tr>
        <w:tc>
          <w:tcPr>
            <w:tcW w:type="dxa" w:w="900"/>
            <w:tcMar>
              <w:top w:type="dxa" w:w="60"/>
              <w:left w:type="dxa" w:w="110"/>
              <w:bottom w:type="dxa" w:w="60"/>
              <w:right w:type="dxa" w:w="110"/>
            </w:tcMar>
          </w:tcPr>
          <w:p>
            <w:r>
              <w:rPr>
                <w:color w:val="14121F"/>
                <w:sz w:val="19"/>
                <w:szCs w:val="19"/>
              </w:rPr>
              <w:t xml:space="preserve">M-5</w:t>
            </w:r>
          </w:p>
        </w:tc>
        <w:tc>
          <w:tcPr>
            <w:tcW w:type="dxa" w:w="6960"/>
            <w:tcMar>
              <w:top w:type="dxa" w:w="60"/>
              <w:left w:type="dxa" w:w="110"/>
              <w:bottom w:type="dxa" w:w="60"/>
              <w:right w:type="dxa" w:w="110"/>
            </w:tcMar>
          </w:tcPr>
          <w:p>
            <w:r>
              <w:rPr>
                <w:color w:val="14121F"/>
                <w:sz w:val="19"/>
                <w:szCs w:val="19"/>
              </w:rPr>
              <w:t xml:space="preserve">Toggle Afriex Link (saved methods) on/off for the page.</w:t>
            </w:r>
          </w:p>
        </w:tc>
        <w:tc>
          <w:tcPr>
            <w:tcW w:type="dxa" w:w="1500"/>
            <w:tcMar>
              <w:top w:type="dxa" w:w="60"/>
              <w:left w:type="dxa" w:w="110"/>
              <w:bottom w:type="dxa" w:w="60"/>
              <w:right w:type="dxa" w:w="110"/>
            </w:tcMar>
          </w:tcPr>
          <w:p>
            <w:r>
              <w:rPr>
                <w:color w:val="14121F"/>
                <w:sz w:val="19"/>
                <w:szCs w:val="19"/>
              </w:rPr>
              <w:t xml:space="preserve">P1</w:t>
            </w:r>
          </w:p>
        </w:tc>
      </w:tr>
      <w:tr>
        <w:tc>
          <w:tcPr>
            <w:tcW w:type="dxa" w:w="900"/>
            <w:shd w:fill="F7F6FC" w:color="auto" w:val="clear"/>
            <w:tcMar>
              <w:top w:type="dxa" w:w="60"/>
              <w:left w:type="dxa" w:w="110"/>
              <w:bottom w:type="dxa" w:w="60"/>
              <w:right w:type="dxa" w:w="110"/>
            </w:tcMar>
          </w:tcPr>
          <w:p>
            <w:r>
              <w:rPr>
                <w:color w:val="14121F"/>
                <w:sz w:val="19"/>
                <w:szCs w:val="19"/>
              </w:rPr>
              <w:t xml:space="preserve">M-6</w:t>
            </w:r>
          </w:p>
        </w:tc>
        <w:tc>
          <w:tcPr>
            <w:tcW w:type="dxa" w:w="6960"/>
            <w:shd w:fill="F7F6FC" w:color="auto" w:val="clear"/>
            <w:tcMar>
              <w:top w:type="dxa" w:w="60"/>
              <w:left w:type="dxa" w:w="110"/>
              <w:bottom w:type="dxa" w:w="60"/>
              <w:right w:type="dxa" w:w="110"/>
            </w:tcMar>
          </w:tcPr>
          <w:p>
            <w:r>
              <w:rPr>
                <w:color w:val="14121F"/>
                <w:sz w:val="19"/>
                <w:szCs w:val="19"/>
              </w:rPr>
              <w:t xml:space="preserve">Generate a shareable URL, QR code, and embeddable snippet.</w:t>
            </w:r>
          </w:p>
        </w:tc>
        <w:tc>
          <w:tcPr>
            <w:tcW w:type="dxa" w:w="1500"/>
            <w:shd w:fill="F7F6FC" w:color="auto" w:val="clear"/>
            <w:tcMar>
              <w:top w:type="dxa" w:w="60"/>
              <w:left w:type="dxa" w:w="110"/>
              <w:bottom w:type="dxa" w:w="60"/>
              <w:right w:type="dxa" w:w="110"/>
            </w:tcMar>
          </w:tcPr>
          <w:p>
            <w:r>
              <w:rPr>
                <w:color w:val="14121F"/>
                <w:sz w:val="19"/>
                <w:szCs w:val="19"/>
              </w:rPr>
              <w:t xml:space="preserve">P0</w:t>
            </w:r>
          </w:p>
        </w:tc>
      </w:tr>
      <w:tr>
        <w:tc>
          <w:tcPr>
            <w:tcW w:type="dxa" w:w="900"/>
            <w:tcMar>
              <w:top w:type="dxa" w:w="60"/>
              <w:left w:type="dxa" w:w="110"/>
              <w:bottom w:type="dxa" w:w="60"/>
              <w:right w:type="dxa" w:w="110"/>
            </w:tcMar>
          </w:tcPr>
          <w:p>
            <w:r>
              <w:rPr>
                <w:color w:val="14121F"/>
                <w:sz w:val="19"/>
                <w:szCs w:val="19"/>
              </w:rPr>
              <w:t xml:space="preserve">M-7</w:t>
            </w:r>
          </w:p>
        </w:tc>
        <w:tc>
          <w:tcPr>
            <w:tcW w:type="dxa" w:w="6960"/>
            <w:tcMar>
              <w:top w:type="dxa" w:w="60"/>
              <w:left w:type="dxa" w:w="110"/>
              <w:bottom w:type="dxa" w:w="60"/>
              <w:right w:type="dxa" w:w="110"/>
            </w:tcMar>
          </w:tcPr>
          <w:p>
            <w:r>
              <w:rPr>
                <w:color w:val="14121F"/>
                <w:sz w:val="19"/>
                <w:szCs w:val="19"/>
              </w:rPr>
              <w:t xml:space="preserve">Set optional expiry, single-use vs. reusable, and amount type (fixed vs. payer-entered).</w:t>
            </w:r>
          </w:p>
        </w:tc>
        <w:tc>
          <w:tcPr>
            <w:tcW w:type="dxa" w:w="1500"/>
            <w:tcMar>
              <w:top w:type="dxa" w:w="60"/>
              <w:left w:type="dxa" w:w="110"/>
              <w:bottom w:type="dxa" w:w="60"/>
              <w:right w:type="dxa" w:w="110"/>
            </w:tcMar>
          </w:tcPr>
          <w:p>
            <w:r>
              <w:rPr>
                <w:color w:val="14121F"/>
                <w:sz w:val="19"/>
                <w:szCs w:val="19"/>
              </w:rPr>
              <w:t xml:space="preserve">P1</w:t>
            </w:r>
          </w:p>
        </w:tc>
      </w:tr>
      <w:tr>
        <w:tc>
          <w:tcPr>
            <w:tcW w:type="dxa" w:w="900"/>
            <w:shd w:fill="F7F6FC" w:color="auto" w:val="clear"/>
            <w:tcMar>
              <w:top w:type="dxa" w:w="60"/>
              <w:left w:type="dxa" w:w="110"/>
              <w:bottom w:type="dxa" w:w="60"/>
              <w:right w:type="dxa" w:w="110"/>
            </w:tcMar>
          </w:tcPr>
          <w:p>
            <w:r>
              <w:rPr>
                <w:color w:val="14121F"/>
                <w:sz w:val="19"/>
                <w:szCs w:val="19"/>
              </w:rPr>
              <w:t xml:space="preserve">M-8</w:t>
            </w:r>
          </w:p>
        </w:tc>
        <w:tc>
          <w:tcPr>
            <w:tcW w:type="dxa" w:w="6960"/>
            <w:shd w:fill="F7F6FC" w:color="auto" w:val="clear"/>
            <w:tcMar>
              <w:top w:type="dxa" w:w="60"/>
              <w:left w:type="dxa" w:w="110"/>
              <w:bottom w:type="dxa" w:w="60"/>
              <w:right w:type="dxa" w:w="110"/>
            </w:tcMar>
          </w:tcPr>
          <w:p>
            <w:r>
              <w:rPr>
                <w:color w:val="14121F"/>
                <w:sz w:val="19"/>
                <w:szCs w:val="19"/>
              </w:rPr>
              <w:t xml:space="preserve">View live status of payments against the page (viewed / pending / paid).</w:t>
            </w:r>
          </w:p>
        </w:tc>
        <w:tc>
          <w:tcPr>
            <w:tcW w:type="dxa" w:w="1500"/>
            <w:shd w:fill="F7F6FC" w:color="auto" w:val="clear"/>
            <w:tcMar>
              <w:top w:type="dxa" w:w="60"/>
              <w:left w:type="dxa" w:w="110"/>
              <w:bottom w:type="dxa" w:w="60"/>
              <w:right w:type="dxa" w:w="110"/>
            </w:tcMar>
          </w:tcPr>
          <w:p>
            <w:r>
              <w:rPr>
                <w:color w:val="14121F"/>
                <w:sz w:val="19"/>
                <w:szCs w:val="19"/>
              </w:rPr>
              <w:t xml:space="preserve">P1</w:t>
            </w:r>
          </w:p>
        </w:tc>
      </w:tr>
    </w:tbl>
    <w:p>
      <w:pPr>
        <w:pStyle w:val="Heading2"/>
        <w:spacing w:after="100" w:before="240"/>
      </w:pPr>
      <w:r>
        <w:rPr>
          <w:b/>
          <w:bCs/>
          <w:color w:val="5B3DF5"/>
        </w:rPr>
        <w:t xml:space="preserve">5.2 Payer — checkout experience</w:t>
      </w:r>
    </w:p>
    <w:tbl>
      <w:tblPr>
        <w:tblW w:type="dxa" w:w="9360"/>
        <w:tblBorders>
          <w:top w:val="single" w:color="D9D5E8" w:sz="4"/>
          <w:left w:val="single" w:color="D9D5E8" w:sz="4"/>
          <w:bottom w:val="single" w:color="D9D5E8" w:sz="4"/>
          <w:right w:val="single" w:color="D9D5E8" w:sz="4"/>
          <w:insideH w:val="single" w:color="D9D5E8" w:sz="4"/>
          <w:insideV w:val="single" w:color="D9D5E8" w:sz="4"/>
        </w:tblBorders>
      </w:tblPr>
      <w:tblGrid>
        <w:gridCol w:w="900"/>
        <w:gridCol w:w="6960"/>
        <w:gridCol w:w="1500"/>
      </w:tblGrid>
      <w:tr>
        <w:trPr>
          <w:tblHeader/>
        </w:trPr>
        <w:tc>
          <w:tcPr>
            <w:tcW w:type="dxa" w:w="900"/>
            <w:shd w:fill="5B3DF5" w:color="auto" w:val="clear"/>
            <w:tcMar>
              <w:top w:type="dxa" w:w="70"/>
              <w:left w:type="dxa" w:w="110"/>
              <w:bottom w:type="dxa" w:w="70"/>
              <w:right w:type="dxa" w:w="110"/>
            </w:tcMar>
          </w:tcPr>
          <w:p>
            <w:pPr>
              <w:jc w:val="left"/>
            </w:pPr>
            <w:r>
              <w:rPr>
                <w:b/>
                <w:bCs/>
                <w:color w:val="FFFFFF"/>
                <w:sz w:val="19"/>
                <w:szCs w:val="19"/>
              </w:rPr>
              <w:t xml:space="preserve">ID</w:t>
            </w:r>
          </w:p>
        </w:tc>
        <w:tc>
          <w:tcPr>
            <w:tcW w:type="dxa" w:w="6960"/>
            <w:shd w:fill="5B3DF5" w:color="auto" w:val="clear"/>
            <w:tcMar>
              <w:top w:type="dxa" w:w="70"/>
              <w:left w:type="dxa" w:w="110"/>
              <w:bottom w:type="dxa" w:w="70"/>
              <w:right w:type="dxa" w:w="110"/>
            </w:tcMar>
          </w:tcPr>
          <w:p>
            <w:pPr>
              <w:jc w:val="left"/>
            </w:pPr>
            <w:r>
              <w:rPr>
                <w:b/>
                <w:bCs/>
                <w:color w:val="FFFFFF"/>
                <w:sz w:val="19"/>
                <w:szCs w:val="19"/>
              </w:rPr>
              <w:t xml:space="preserve">Requirement</w:t>
            </w:r>
          </w:p>
        </w:tc>
        <w:tc>
          <w:tcPr>
            <w:tcW w:type="dxa" w:w="1500"/>
            <w:shd w:fill="5B3DF5" w:color="auto" w:val="clear"/>
            <w:tcMar>
              <w:top w:type="dxa" w:w="70"/>
              <w:left w:type="dxa" w:w="110"/>
              <w:bottom w:type="dxa" w:w="70"/>
              <w:right w:type="dxa" w:w="110"/>
            </w:tcMar>
          </w:tcPr>
          <w:p>
            <w:pPr>
              <w:jc w:val="left"/>
            </w:pPr>
            <w:r>
              <w:rPr>
                <w:b/>
                <w:bCs/>
                <w:color w:val="FFFFFF"/>
                <w:sz w:val="19"/>
                <w:szCs w:val="19"/>
              </w:rPr>
              <w:t xml:space="preserve">Priority</w:t>
            </w:r>
          </w:p>
        </w:tc>
      </w:tr>
      <w:tr>
        <w:tc>
          <w:tcPr>
            <w:tcW w:type="dxa" w:w="900"/>
            <w:tcMar>
              <w:top w:type="dxa" w:w="60"/>
              <w:left w:type="dxa" w:w="110"/>
              <w:bottom w:type="dxa" w:w="60"/>
              <w:right w:type="dxa" w:w="110"/>
            </w:tcMar>
          </w:tcPr>
          <w:p>
            <w:r>
              <w:rPr>
                <w:color w:val="14121F"/>
                <w:sz w:val="19"/>
                <w:szCs w:val="19"/>
              </w:rPr>
              <w:t xml:space="preserve">P-1</w:t>
            </w:r>
          </w:p>
        </w:tc>
        <w:tc>
          <w:tcPr>
            <w:tcW w:type="dxa" w:w="6960"/>
            <w:tcMar>
              <w:top w:type="dxa" w:w="60"/>
              <w:left w:type="dxa" w:w="110"/>
              <w:bottom w:type="dxa" w:w="60"/>
              <w:right w:type="dxa" w:w="110"/>
            </w:tcMar>
          </w:tcPr>
          <w:p>
            <w:r>
              <w:rPr>
                <w:color w:val="14121F"/>
                <w:sz w:val="19"/>
                <w:szCs w:val="19"/>
              </w:rPr>
              <w:t xml:space="preserve">Display merchant identity, reference, and amount due in settlement currency.</w:t>
            </w:r>
          </w:p>
        </w:tc>
        <w:tc>
          <w:tcPr>
            <w:tcW w:type="dxa" w:w="1500"/>
            <w:tcMar>
              <w:top w:type="dxa" w:w="60"/>
              <w:left w:type="dxa" w:w="110"/>
              <w:bottom w:type="dxa" w:w="60"/>
              <w:right w:type="dxa" w:w="110"/>
            </w:tcMar>
          </w:tcPr>
          <w:p>
            <w:r>
              <w:rPr>
                <w:color w:val="14121F"/>
                <w:sz w:val="19"/>
                <w:szCs w:val="19"/>
              </w:rPr>
              <w:t xml:space="preserve">P0</w:t>
            </w:r>
          </w:p>
        </w:tc>
      </w:tr>
      <w:tr>
        <w:tc>
          <w:tcPr>
            <w:tcW w:type="dxa" w:w="900"/>
            <w:shd w:fill="F7F6FC" w:color="auto" w:val="clear"/>
            <w:tcMar>
              <w:top w:type="dxa" w:w="60"/>
              <w:left w:type="dxa" w:w="110"/>
              <w:bottom w:type="dxa" w:w="60"/>
              <w:right w:type="dxa" w:w="110"/>
            </w:tcMar>
          </w:tcPr>
          <w:p>
            <w:r>
              <w:rPr>
                <w:color w:val="14121F"/>
                <w:sz w:val="19"/>
                <w:szCs w:val="19"/>
              </w:rPr>
              <w:t xml:space="preserve">P-2</w:t>
            </w:r>
          </w:p>
        </w:tc>
        <w:tc>
          <w:tcPr>
            <w:tcW w:type="dxa" w:w="6960"/>
            <w:shd w:fill="F7F6FC" w:color="auto" w:val="clear"/>
            <w:tcMar>
              <w:top w:type="dxa" w:w="60"/>
              <w:left w:type="dxa" w:w="110"/>
              <w:bottom w:type="dxa" w:w="60"/>
              <w:right w:type="dxa" w:w="110"/>
            </w:tcMar>
          </w:tcPr>
          <w:p>
            <w:r>
              <w:rPr>
                <w:color w:val="14121F"/>
                <w:sz w:val="19"/>
                <w:szCs w:val="19"/>
              </w:rPr>
              <w:t xml:space="preserve">Present the list of supported pay-in currencies with converted amount and applied market rate.</w:t>
            </w:r>
          </w:p>
        </w:tc>
        <w:tc>
          <w:tcPr>
            <w:tcW w:type="dxa" w:w="1500"/>
            <w:shd w:fill="F7F6FC" w:color="auto" w:val="clear"/>
            <w:tcMar>
              <w:top w:type="dxa" w:w="60"/>
              <w:left w:type="dxa" w:w="110"/>
              <w:bottom w:type="dxa" w:w="60"/>
              <w:right w:type="dxa" w:w="110"/>
            </w:tcMar>
          </w:tcPr>
          <w:p>
            <w:r>
              <w:rPr>
                <w:color w:val="14121F"/>
                <w:sz w:val="19"/>
                <w:szCs w:val="19"/>
              </w:rPr>
              <w:t xml:space="preserve">P0</w:t>
            </w:r>
          </w:p>
        </w:tc>
      </w:tr>
      <w:tr>
        <w:tc>
          <w:tcPr>
            <w:tcW w:type="dxa" w:w="900"/>
            <w:tcMar>
              <w:top w:type="dxa" w:w="60"/>
              <w:left w:type="dxa" w:w="110"/>
              <w:bottom w:type="dxa" w:w="60"/>
              <w:right w:type="dxa" w:w="110"/>
            </w:tcMar>
          </w:tcPr>
          <w:p>
            <w:r>
              <w:rPr>
                <w:color w:val="14121F"/>
                <w:sz w:val="19"/>
                <w:szCs w:val="19"/>
              </w:rPr>
              <w:t xml:space="preserve">P-3</w:t>
            </w:r>
          </w:p>
        </w:tc>
        <w:tc>
          <w:tcPr>
            <w:tcW w:type="dxa" w:w="6960"/>
            <w:tcMar>
              <w:top w:type="dxa" w:w="60"/>
              <w:left w:type="dxa" w:w="110"/>
              <w:bottom w:type="dxa" w:w="60"/>
              <w:right w:type="dxa" w:w="110"/>
            </w:tcMar>
          </w:tcPr>
          <w:p>
            <w:r>
              <w:rPr>
                <w:color w:val="14121F"/>
                <w:sz w:val="19"/>
                <w:szCs w:val="19"/>
              </w:rPr>
              <w:t xml:space="preserve">On currency selection, present only channels supported for that currency.</w:t>
            </w:r>
          </w:p>
        </w:tc>
        <w:tc>
          <w:tcPr>
            <w:tcW w:type="dxa" w:w="1500"/>
            <w:tcMar>
              <w:top w:type="dxa" w:w="60"/>
              <w:left w:type="dxa" w:w="110"/>
              <w:bottom w:type="dxa" w:w="60"/>
              <w:right w:type="dxa" w:w="110"/>
            </w:tcMar>
          </w:tcPr>
          <w:p>
            <w:r>
              <w:rPr>
                <w:color w:val="14121F"/>
                <w:sz w:val="19"/>
                <w:szCs w:val="19"/>
              </w:rPr>
              <w:t xml:space="preserve">P0</w:t>
            </w:r>
          </w:p>
        </w:tc>
      </w:tr>
      <w:tr>
        <w:tc>
          <w:tcPr>
            <w:tcW w:type="dxa" w:w="900"/>
            <w:shd w:fill="F7F6FC" w:color="auto" w:val="clear"/>
            <w:tcMar>
              <w:top w:type="dxa" w:w="60"/>
              <w:left w:type="dxa" w:w="110"/>
              <w:bottom w:type="dxa" w:w="60"/>
              <w:right w:type="dxa" w:w="110"/>
            </w:tcMar>
          </w:tcPr>
          <w:p>
            <w:r>
              <w:rPr>
                <w:color w:val="14121F"/>
                <w:sz w:val="19"/>
                <w:szCs w:val="19"/>
              </w:rPr>
              <w:t xml:space="preserve">P-4</w:t>
            </w:r>
          </w:p>
        </w:tc>
        <w:tc>
          <w:tcPr>
            <w:tcW w:type="dxa" w:w="6960"/>
            <w:shd w:fill="F7F6FC" w:color="auto" w:val="clear"/>
            <w:tcMar>
              <w:top w:type="dxa" w:w="60"/>
              <w:left w:type="dxa" w:w="110"/>
              <w:bottom w:type="dxa" w:w="60"/>
              <w:right w:type="dxa" w:w="110"/>
            </w:tcMar>
          </w:tcPr>
          <w:p>
            <w:r>
              <w:rPr>
                <w:color w:val="14121F"/>
                <w:sz w:val="19"/>
                <w:szCs w:val="19"/>
              </w:rPr>
              <w:t xml:space="preserve">Lock the FX rate for a defined window (e.g. 15 min) at channel-continue; show a countdown.</w:t>
            </w:r>
          </w:p>
        </w:tc>
        <w:tc>
          <w:tcPr>
            <w:tcW w:type="dxa" w:w="1500"/>
            <w:shd w:fill="F7F6FC" w:color="auto" w:val="clear"/>
            <w:tcMar>
              <w:top w:type="dxa" w:w="60"/>
              <w:left w:type="dxa" w:w="110"/>
              <w:bottom w:type="dxa" w:w="60"/>
              <w:right w:type="dxa" w:w="110"/>
            </w:tcMar>
          </w:tcPr>
          <w:p>
            <w:r>
              <w:rPr>
                <w:color w:val="14121F"/>
                <w:sz w:val="19"/>
                <w:szCs w:val="19"/>
              </w:rPr>
              <w:t xml:space="preserve">P0</w:t>
            </w:r>
          </w:p>
        </w:tc>
      </w:tr>
      <w:tr>
        <w:tc>
          <w:tcPr>
            <w:tcW w:type="dxa" w:w="900"/>
            <w:tcMar>
              <w:top w:type="dxa" w:w="60"/>
              <w:left w:type="dxa" w:w="110"/>
              <w:bottom w:type="dxa" w:w="60"/>
              <w:right w:type="dxa" w:w="110"/>
            </w:tcMar>
          </w:tcPr>
          <w:p>
            <w:r>
              <w:rPr>
                <w:color w:val="14121F"/>
                <w:sz w:val="19"/>
                <w:szCs w:val="19"/>
              </w:rPr>
              <w:t xml:space="preserve">P-5</w:t>
            </w:r>
          </w:p>
        </w:tc>
        <w:tc>
          <w:tcPr>
            <w:tcW w:type="dxa" w:w="6960"/>
            <w:tcMar>
              <w:top w:type="dxa" w:w="60"/>
              <w:left w:type="dxa" w:w="110"/>
              <w:bottom w:type="dxa" w:w="60"/>
              <w:right w:type="dxa" w:w="110"/>
            </w:tcMar>
          </w:tcPr>
          <w:p>
            <w:r>
              <w:rPr>
                <w:color w:val="14121F"/>
                <w:sz w:val="19"/>
                <w:szCs w:val="19"/>
              </w:rPr>
              <w:t xml:space="preserve">Capture payer details (name, email, phone) with validation.</w:t>
            </w:r>
          </w:p>
        </w:tc>
        <w:tc>
          <w:tcPr>
            <w:tcW w:type="dxa" w:w="1500"/>
            <w:tcMar>
              <w:top w:type="dxa" w:w="60"/>
              <w:left w:type="dxa" w:w="110"/>
              <w:bottom w:type="dxa" w:w="60"/>
              <w:right w:type="dxa" w:w="110"/>
            </w:tcMar>
          </w:tcPr>
          <w:p>
            <w:r>
              <w:rPr>
                <w:color w:val="14121F"/>
                <w:sz w:val="19"/>
                <w:szCs w:val="19"/>
              </w:rPr>
              <w:t xml:space="preserve">P0</w:t>
            </w:r>
          </w:p>
        </w:tc>
      </w:tr>
      <w:tr>
        <w:tc>
          <w:tcPr>
            <w:tcW w:type="dxa" w:w="900"/>
            <w:shd w:fill="F7F6FC" w:color="auto" w:val="clear"/>
            <w:tcMar>
              <w:top w:type="dxa" w:w="60"/>
              <w:left w:type="dxa" w:w="110"/>
              <w:bottom w:type="dxa" w:w="60"/>
              <w:right w:type="dxa" w:w="110"/>
            </w:tcMar>
          </w:tcPr>
          <w:p>
            <w:r>
              <w:rPr>
                <w:color w:val="14121F"/>
                <w:sz w:val="19"/>
                <w:szCs w:val="19"/>
              </w:rPr>
              <w:t xml:space="preserve">P-6</w:t>
            </w:r>
          </w:p>
        </w:tc>
        <w:tc>
          <w:tcPr>
            <w:tcW w:type="dxa" w:w="6960"/>
            <w:shd w:fill="F7F6FC" w:color="auto" w:val="clear"/>
            <w:tcMar>
              <w:top w:type="dxa" w:w="60"/>
              <w:left w:type="dxa" w:w="110"/>
              <w:bottom w:type="dxa" w:w="60"/>
              <w:right w:type="dxa" w:w="110"/>
            </w:tcMar>
          </w:tcPr>
          <w:p>
            <w:r>
              <w:rPr>
                <w:color w:val="14121F"/>
                <w:sz w:val="19"/>
                <w:szCs w:val="19"/>
              </w:rPr>
              <w:t xml:space="preserve">Offer 'Save with Afriex Link' and persist the preferred method on success.</w:t>
            </w:r>
          </w:p>
        </w:tc>
        <w:tc>
          <w:tcPr>
            <w:tcW w:type="dxa" w:w="1500"/>
            <w:shd w:fill="F7F6FC" w:color="auto" w:val="clear"/>
            <w:tcMar>
              <w:top w:type="dxa" w:w="60"/>
              <w:left w:type="dxa" w:w="110"/>
              <w:bottom w:type="dxa" w:w="60"/>
              <w:right w:type="dxa" w:w="110"/>
            </w:tcMar>
          </w:tcPr>
          <w:p>
            <w:r>
              <w:rPr>
                <w:color w:val="14121F"/>
                <w:sz w:val="19"/>
                <w:szCs w:val="19"/>
              </w:rPr>
              <w:t xml:space="preserve">P1</w:t>
            </w:r>
          </w:p>
        </w:tc>
      </w:tr>
      <w:tr>
        <w:tc>
          <w:tcPr>
            <w:tcW w:type="dxa" w:w="900"/>
            <w:tcMar>
              <w:top w:type="dxa" w:w="60"/>
              <w:left w:type="dxa" w:w="110"/>
              <w:bottom w:type="dxa" w:w="60"/>
              <w:right w:type="dxa" w:w="110"/>
            </w:tcMar>
          </w:tcPr>
          <w:p>
            <w:r>
              <w:rPr>
                <w:color w:val="14121F"/>
                <w:sz w:val="19"/>
                <w:szCs w:val="19"/>
              </w:rPr>
              <w:t xml:space="preserve">P-7</w:t>
            </w:r>
          </w:p>
        </w:tc>
        <w:tc>
          <w:tcPr>
            <w:tcW w:type="dxa" w:w="6960"/>
            <w:tcMar>
              <w:top w:type="dxa" w:w="60"/>
              <w:left w:type="dxa" w:w="110"/>
              <w:bottom w:type="dxa" w:w="60"/>
              <w:right w:type="dxa" w:w="110"/>
            </w:tcMar>
          </w:tcPr>
          <w:p>
            <w:r>
              <w:rPr>
                <w:color w:val="14121F"/>
                <w:sz w:val="19"/>
                <w:szCs w:val="19"/>
              </w:rPr>
              <w:t xml:space="preserve">Render channel-specific payment instructions (virtual account details, mobile-money prompt, wallet auth, card form).</w:t>
            </w:r>
          </w:p>
        </w:tc>
        <w:tc>
          <w:tcPr>
            <w:tcW w:type="dxa" w:w="1500"/>
            <w:tcMar>
              <w:top w:type="dxa" w:w="60"/>
              <w:left w:type="dxa" w:w="110"/>
              <w:bottom w:type="dxa" w:w="60"/>
              <w:right w:type="dxa" w:w="110"/>
            </w:tcMar>
          </w:tcPr>
          <w:p>
            <w:r>
              <w:rPr>
                <w:color w:val="14121F"/>
                <w:sz w:val="19"/>
                <w:szCs w:val="19"/>
              </w:rPr>
              <w:t xml:space="preserve">P0</w:t>
            </w:r>
          </w:p>
        </w:tc>
      </w:tr>
      <w:tr>
        <w:tc>
          <w:tcPr>
            <w:tcW w:type="dxa" w:w="900"/>
            <w:shd w:fill="F7F6FC" w:color="auto" w:val="clear"/>
            <w:tcMar>
              <w:top w:type="dxa" w:w="60"/>
              <w:left w:type="dxa" w:w="110"/>
              <w:bottom w:type="dxa" w:w="60"/>
              <w:right w:type="dxa" w:w="110"/>
            </w:tcMar>
          </w:tcPr>
          <w:p>
            <w:r>
              <w:rPr>
                <w:color w:val="14121F"/>
                <w:sz w:val="19"/>
                <w:szCs w:val="19"/>
              </w:rPr>
              <w:t xml:space="preserve">P-8</w:t>
            </w:r>
          </w:p>
        </w:tc>
        <w:tc>
          <w:tcPr>
            <w:tcW w:type="dxa" w:w="6960"/>
            <w:shd w:fill="F7F6FC" w:color="auto" w:val="clear"/>
            <w:tcMar>
              <w:top w:type="dxa" w:w="60"/>
              <w:left w:type="dxa" w:w="110"/>
              <w:bottom w:type="dxa" w:w="60"/>
              <w:right w:type="dxa" w:w="110"/>
            </w:tcMar>
          </w:tcPr>
          <w:p>
            <w:r>
              <w:rPr>
                <w:color w:val="14121F"/>
                <w:sz w:val="19"/>
                <w:szCs w:val="19"/>
              </w:rPr>
              <w:t xml:space="preserve">Auto-detect / confirm settlement and show a success screen with receipt and reference.</w:t>
            </w:r>
          </w:p>
        </w:tc>
        <w:tc>
          <w:tcPr>
            <w:tcW w:type="dxa" w:w="1500"/>
            <w:shd w:fill="F7F6FC" w:color="auto" w:val="clear"/>
            <w:tcMar>
              <w:top w:type="dxa" w:w="60"/>
              <w:left w:type="dxa" w:w="110"/>
              <w:bottom w:type="dxa" w:w="60"/>
              <w:right w:type="dxa" w:w="110"/>
            </w:tcMar>
          </w:tcPr>
          <w:p>
            <w:r>
              <w:rPr>
                <w:color w:val="14121F"/>
                <w:sz w:val="19"/>
                <w:szCs w:val="19"/>
              </w:rPr>
              <w:t xml:space="preserve">P0</w:t>
            </w:r>
          </w:p>
        </w:tc>
      </w:tr>
      <w:tr>
        <w:tc>
          <w:tcPr>
            <w:tcW w:type="dxa" w:w="900"/>
            <w:tcMar>
              <w:top w:type="dxa" w:w="60"/>
              <w:left w:type="dxa" w:w="110"/>
              <w:bottom w:type="dxa" w:w="60"/>
              <w:right w:type="dxa" w:w="110"/>
            </w:tcMar>
          </w:tcPr>
          <w:p>
            <w:r>
              <w:rPr>
                <w:color w:val="14121F"/>
                <w:sz w:val="19"/>
                <w:szCs w:val="19"/>
              </w:rPr>
              <w:t xml:space="preserve">P-9</w:t>
            </w:r>
          </w:p>
        </w:tc>
        <w:tc>
          <w:tcPr>
            <w:tcW w:type="dxa" w:w="6960"/>
            <w:tcMar>
              <w:top w:type="dxa" w:w="60"/>
              <w:left w:type="dxa" w:w="110"/>
              <w:bottom w:type="dxa" w:w="60"/>
              <w:right w:type="dxa" w:w="110"/>
            </w:tcMar>
          </w:tcPr>
          <w:p>
            <w:r>
              <w:rPr>
                <w:color w:val="14121F"/>
                <w:sz w:val="19"/>
                <w:szCs w:val="19"/>
              </w:rPr>
              <w:t xml:space="preserve">Recognise returning payers and default to their saved method (1-tap pay).</w:t>
            </w:r>
          </w:p>
        </w:tc>
        <w:tc>
          <w:tcPr>
            <w:tcW w:type="dxa" w:w="1500"/>
            <w:tcMar>
              <w:top w:type="dxa" w:w="60"/>
              <w:left w:type="dxa" w:w="110"/>
              <w:bottom w:type="dxa" w:w="60"/>
              <w:right w:type="dxa" w:w="110"/>
            </w:tcMar>
          </w:tcPr>
          <w:p>
            <w:r>
              <w:rPr>
                <w:color w:val="14121F"/>
                <w:sz w:val="19"/>
                <w:szCs w:val="19"/>
              </w:rPr>
              <w:t xml:space="preserve">P1</w:t>
            </w:r>
          </w:p>
        </w:tc>
      </w:tr>
      <w:tr>
        <w:tc>
          <w:tcPr>
            <w:tcW w:type="dxa" w:w="900"/>
            <w:shd w:fill="F7F6FC" w:color="auto" w:val="clear"/>
            <w:tcMar>
              <w:top w:type="dxa" w:w="60"/>
              <w:left w:type="dxa" w:w="110"/>
              <w:bottom w:type="dxa" w:w="60"/>
              <w:right w:type="dxa" w:w="110"/>
            </w:tcMar>
          </w:tcPr>
          <w:p>
            <w:r>
              <w:rPr>
                <w:color w:val="14121F"/>
                <w:sz w:val="19"/>
                <w:szCs w:val="19"/>
              </w:rPr>
              <w:t xml:space="preserve">P-10</w:t>
            </w:r>
          </w:p>
        </w:tc>
        <w:tc>
          <w:tcPr>
            <w:tcW w:type="dxa" w:w="6960"/>
            <w:shd w:fill="F7F6FC" w:color="auto" w:val="clear"/>
            <w:tcMar>
              <w:top w:type="dxa" w:w="60"/>
              <w:left w:type="dxa" w:w="110"/>
              <w:bottom w:type="dxa" w:w="60"/>
              <w:right w:type="dxa" w:w="110"/>
            </w:tcMar>
          </w:tcPr>
          <w:p>
            <w:r>
              <w:rPr>
                <w:color w:val="14121F"/>
                <w:sz w:val="19"/>
                <w:szCs w:val="19"/>
              </w:rPr>
              <w:t xml:space="preserve">Allow the payer to change currency or channel at any step before payment.</w:t>
            </w:r>
          </w:p>
        </w:tc>
        <w:tc>
          <w:tcPr>
            <w:tcW w:type="dxa" w:w="1500"/>
            <w:shd w:fill="F7F6FC" w:color="auto" w:val="clear"/>
            <w:tcMar>
              <w:top w:type="dxa" w:w="60"/>
              <w:left w:type="dxa" w:w="110"/>
              <w:bottom w:type="dxa" w:w="60"/>
              <w:right w:type="dxa" w:w="110"/>
            </w:tcMar>
          </w:tcPr>
          <w:p>
            <w:r>
              <w:rPr>
                <w:color w:val="14121F"/>
                <w:sz w:val="19"/>
                <w:szCs w:val="19"/>
              </w:rPr>
              <w:t xml:space="preserve">P0</w:t>
            </w:r>
          </w:p>
        </w:tc>
      </w:tr>
    </w:tbl>
    <w:p>
      <w:pPr>
        <w:pStyle w:val="Heading2"/>
        <w:spacing w:after="100" w:before="240"/>
      </w:pPr>
      <w:r>
        <w:rPr>
          <w:b/>
          <w:bCs/>
          <w:color w:val="5B3DF5"/>
        </w:rPr>
        <w:t xml:space="preserve">5.3 FX &amp; market rates</w:t>
      </w:r>
    </w:p>
    <w:p>
      <w:pPr>
        <w:pStyle w:val="ListParagraph"/>
        <w:numPr>
          <w:ilvl w:val="0"/>
          <w:numId w:val="2"/>
        </w:numPr>
        <w:spacing w:after="60" w:line="268"/>
      </w:pPr>
      <w:r>
        <w:t xml:space="preserve">Rates are set and owned by Afriex treasury per corridor; the checkout consumes a rate-quote service, it does not compute rates itself.</w:t>
      </w:r>
    </w:p>
    <w:p>
      <w:pPr>
        <w:pStyle w:val="ListParagraph"/>
        <w:numPr>
          <w:ilvl w:val="0"/>
          <w:numId w:val="2"/>
        </w:numPr>
        <w:spacing w:after="60" w:line="268"/>
      </w:pPr>
      <w:r>
        <w:t xml:space="preserve">Each pay-in currency option shows the converted amount and the effective rate (e.g. 1 USD = ₦1,530). Fees/spread are shown as 'included' unless configured otherwise.</w:t>
      </w:r>
    </w:p>
    <w:p>
      <w:pPr>
        <w:pStyle w:val="ListParagraph"/>
        <w:numPr>
          <w:ilvl w:val="0"/>
          <w:numId w:val="2"/>
        </w:numPr>
        <w:spacing w:after="60" w:line="268"/>
      </w:pPr>
      <w:r>
        <w:t xml:space="preserve">On channel-continue, a rate quote is locked with an expiry (default 15 min). The locked rate and quote ID persist through payment instructions and confirmation.</w:t>
      </w:r>
    </w:p>
    <w:p>
      <w:pPr>
        <w:pStyle w:val="ListParagraph"/>
        <w:numPr>
          <w:ilvl w:val="0"/>
          <w:numId w:val="2"/>
        </w:numPr>
        <w:spacing w:after="60" w:line="268"/>
      </w:pPr>
      <w:r>
        <w:t xml:space="preserve">If the lock expires before settlement, the payer is re-quoted and must accept the new amount before proceeding.</w:t>
      </w:r>
    </w:p>
    <w:p>
      <w:pPr>
        <w:pStyle w:val="ListParagraph"/>
        <w:numPr>
          <w:ilvl w:val="0"/>
          <w:numId w:val="2"/>
        </w:numPr>
        <w:spacing w:after="60" w:line="268"/>
      </w:pPr>
      <w:r>
        <w:t xml:space="preserve">The merchant always settles the configured amount; Afriex bears intra-window rate movement within the lock.</w:t>
      </w:r>
    </w:p>
    <w:p>
      <w:pPr>
        <w:pStyle w:val="Heading2"/>
        <w:spacing w:after="100" w:before="240"/>
      </w:pPr>
      <w:r>
        <w:rPr>
          <w:b/>
          <w:bCs/>
          <w:color w:val="5B3DF5"/>
        </w:rPr>
        <w:t xml:space="preserve">5.4 Channels by region</w:t>
      </w:r>
    </w:p>
    <w:p>
      <w:pPr>
        <w:spacing w:after="120" w:line="276"/>
      </w:pPr>
      <w:r>
        <w:t xml:space="preserve">Availability is corridor-dependent and gated by Afriex partner coverage. Indicative mapping:</w:t>
      </w:r>
    </w:p>
    <w:tbl>
      <w:tblPr>
        <w:tblW w:type="dxa" w:w="9360"/>
        <w:tblBorders>
          <w:top w:val="single" w:color="D9D5E8" w:sz="4"/>
          <w:left w:val="single" w:color="D9D5E8" w:sz="4"/>
          <w:bottom w:val="single" w:color="D9D5E8" w:sz="4"/>
          <w:right w:val="single" w:color="D9D5E8" w:sz="4"/>
          <w:insideH w:val="single" w:color="D9D5E8" w:sz="4"/>
          <w:insideV w:val="single" w:color="D9D5E8" w:sz="4"/>
        </w:tblBorders>
      </w:tblPr>
      <w:tblGrid>
        <w:gridCol w:w="1300"/>
        <w:gridCol w:w="2100"/>
        <w:gridCol w:w="2100"/>
        <w:gridCol w:w="2060"/>
        <w:gridCol w:w="1800"/>
      </w:tblGrid>
      <w:tr>
        <w:trPr>
          <w:tblHeader/>
        </w:trPr>
        <w:tc>
          <w:tcPr>
            <w:tcW w:type="dxa" w:w="1300"/>
            <w:shd w:fill="5B3DF5" w:color="auto" w:val="clear"/>
            <w:tcMar>
              <w:top w:type="dxa" w:w="70"/>
              <w:left w:type="dxa" w:w="110"/>
              <w:bottom w:type="dxa" w:w="70"/>
              <w:right w:type="dxa" w:w="110"/>
            </w:tcMar>
          </w:tcPr>
          <w:p>
            <w:pPr>
              <w:jc w:val="left"/>
            </w:pPr>
            <w:r>
              <w:rPr>
                <w:b/>
                <w:bCs/>
                <w:color w:val="FFFFFF"/>
                <w:sz w:val="19"/>
                <w:szCs w:val="19"/>
              </w:rPr>
              <w:t xml:space="preserve">Region</w:t>
            </w:r>
          </w:p>
        </w:tc>
        <w:tc>
          <w:tcPr>
            <w:tcW w:type="dxa" w:w="2100"/>
            <w:shd w:fill="5B3DF5" w:color="auto" w:val="clear"/>
            <w:tcMar>
              <w:top w:type="dxa" w:w="70"/>
              <w:left w:type="dxa" w:w="110"/>
              <w:bottom w:type="dxa" w:w="70"/>
              <w:right w:type="dxa" w:w="110"/>
            </w:tcMar>
          </w:tcPr>
          <w:p>
            <w:pPr>
              <w:jc w:val="left"/>
            </w:pPr>
            <w:r>
              <w:rPr>
                <w:b/>
                <w:bCs/>
                <w:color w:val="FFFFFF"/>
                <w:sz w:val="19"/>
                <w:szCs w:val="19"/>
              </w:rPr>
              <w:t xml:space="preserve">Virtual accounts</w:t>
            </w:r>
          </w:p>
        </w:tc>
        <w:tc>
          <w:tcPr>
            <w:tcW w:type="dxa" w:w="2100"/>
            <w:shd w:fill="5B3DF5" w:color="auto" w:val="clear"/>
            <w:tcMar>
              <w:top w:type="dxa" w:w="70"/>
              <w:left w:type="dxa" w:w="110"/>
              <w:bottom w:type="dxa" w:w="70"/>
              <w:right w:type="dxa" w:w="110"/>
            </w:tcMar>
          </w:tcPr>
          <w:p>
            <w:pPr>
              <w:jc w:val="left"/>
            </w:pPr>
            <w:r>
              <w:rPr>
                <w:b/>
                <w:bCs/>
                <w:color w:val="FFFFFF"/>
                <w:sz w:val="19"/>
                <w:szCs w:val="19"/>
              </w:rPr>
              <w:t xml:space="preserve">Mobile money</w:t>
            </w:r>
          </w:p>
        </w:tc>
        <w:tc>
          <w:tcPr>
            <w:tcW w:type="dxa" w:w="2060"/>
            <w:shd w:fill="5B3DF5" w:color="auto" w:val="clear"/>
            <w:tcMar>
              <w:top w:type="dxa" w:w="70"/>
              <w:left w:type="dxa" w:w="110"/>
              <w:bottom w:type="dxa" w:w="70"/>
              <w:right w:type="dxa" w:w="110"/>
            </w:tcMar>
          </w:tcPr>
          <w:p>
            <w:pPr>
              <w:jc w:val="left"/>
            </w:pPr>
            <w:r>
              <w:rPr>
                <w:b/>
                <w:bCs/>
                <w:color w:val="FFFFFF"/>
                <w:sz w:val="19"/>
                <w:szCs w:val="19"/>
              </w:rPr>
              <w:t xml:space="preserve">Digital wallets</w:t>
            </w:r>
          </w:p>
        </w:tc>
        <w:tc>
          <w:tcPr>
            <w:tcW w:type="dxa" w:w="1800"/>
            <w:shd w:fill="5B3DF5" w:color="auto" w:val="clear"/>
            <w:tcMar>
              <w:top w:type="dxa" w:w="70"/>
              <w:left w:type="dxa" w:w="110"/>
              <w:bottom w:type="dxa" w:w="70"/>
              <w:right w:type="dxa" w:w="110"/>
            </w:tcMar>
          </w:tcPr>
          <w:p>
            <w:pPr>
              <w:jc w:val="left"/>
            </w:pPr>
            <w:r>
              <w:rPr>
                <w:b/>
                <w:bCs/>
                <w:color w:val="FFFFFF"/>
                <w:sz w:val="19"/>
                <w:szCs w:val="19"/>
              </w:rPr>
              <w:t xml:space="preserve">Cards</w:t>
            </w:r>
          </w:p>
        </w:tc>
      </w:tr>
      <w:tr>
        <w:tc>
          <w:tcPr>
            <w:tcW w:type="dxa" w:w="1300"/>
            <w:tcMar>
              <w:top w:type="dxa" w:w="60"/>
              <w:left w:type="dxa" w:w="110"/>
              <w:bottom w:type="dxa" w:w="60"/>
              <w:right w:type="dxa" w:w="110"/>
            </w:tcMar>
          </w:tcPr>
          <w:p>
            <w:r>
              <w:rPr>
                <w:color w:val="14121F"/>
                <w:sz w:val="19"/>
                <w:szCs w:val="19"/>
              </w:rPr>
              <w:t xml:space="preserve">EMEA</w:t>
            </w:r>
          </w:p>
        </w:tc>
        <w:tc>
          <w:tcPr>
            <w:tcW w:type="dxa" w:w="2100"/>
            <w:tcMar>
              <w:top w:type="dxa" w:w="60"/>
              <w:left w:type="dxa" w:w="110"/>
              <w:bottom w:type="dxa" w:w="60"/>
              <w:right w:type="dxa" w:w="110"/>
            </w:tcMar>
          </w:tcPr>
          <w:p>
            <w:r>
              <w:rPr>
                <w:color w:val="14121F"/>
                <w:sz w:val="19"/>
                <w:szCs w:val="19"/>
              </w:rPr>
              <w:t xml:space="preserve">NGN, KES, GHS, ZAR, EUR/GBP IBAN</w:t>
            </w:r>
          </w:p>
        </w:tc>
        <w:tc>
          <w:tcPr>
            <w:tcW w:type="dxa" w:w="2100"/>
            <w:tcMar>
              <w:top w:type="dxa" w:w="60"/>
              <w:left w:type="dxa" w:w="110"/>
              <w:bottom w:type="dxa" w:w="60"/>
              <w:right w:type="dxa" w:w="110"/>
            </w:tcMar>
          </w:tcPr>
          <w:p>
            <w:r>
              <w:rPr>
                <w:color w:val="14121F"/>
                <w:sz w:val="19"/>
                <w:szCs w:val="19"/>
              </w:rPr>
              <w:t xml:space="preserve">M-Pesa, MTN MoMo, Airtel</w:t>
            </w:r>
          </w:p>
        </w:tc>
        <w:tc>
          <w:tcPr>
            <w:tcW w:type="dxa" w:w="2060"/>
            <w:tcMar>
              <w:top w:type="dxa" w:w="60"/>
              <w:left w:type="dxa" w:w="110"/>
              <w:bottom w:type="dxa" w:w="60"/>
              <w:right w:type="dxa" w:w="110"/>
            </w:tcMar>
          </w:tcPr>
          <w:p>
            <w:r>
              <w:rPr>
                <w:color w:val="14121F"/>
                <w:sz w:val="19"/>
                <w:szCs w:val="19"/>
              </w:rPr>
              <w:t xml:space="preserve">OPay, PalmPay, Afriex wallet</w:t>
            </w:r>
          </w:p>
        </w:tc>
        <w:tc>
          <w:tcPr>
            <w:tcW w:type="dxa" w:w="1800"/>
            <w:tcMar>
              <w:top w:type="dxa" w:w="60"/>
              <w:left w:type="dxa" w:w="110"/>
              <w:bottom w:type="dxa" w:w="60"/>
              <w:right w:type="dxa" w:w="110"/>
            </w:tcMar>
          </w:tcPr>
          <w:p>
            <w:r>
              <w:rPr>
                <w:color w:val="14121F"/>
                <w:sz w:val="19"/>
                <w:szCs w:val="19"/>
              </w:rPr>
              <w:t xml:space="preserve">Verve, Visa, Mastercard</w:t>
            </w:r>
          </w:p>
        </w:tc>
      </w:tr>
      <w:tr>
        <w:tc>
          <w:tcPr>
            <w:tcW w:type="dxa" w:w="1300"/>
            <w:shd w:fill="F7F6FC" w:color="auto" w:val="clear"/>
            <w:tcMar>
              <w:top w:type="dxa" w:w="60"/>
              <w:left w:type="dxa" w:w="110"/>
              <w:bottom w:type="dxa" w:w="60"/>
              <w:right w:type="dxa" w:w="110"/>
            </w:tcMar>
          </w:tcPr>
          <w:p>
            <w:r>
              <w:rPr>
                <w:color w:val="14121F"/>
                <w:sz w:val="19"/>
                <w:szCs w:val="19"/>
              </w:rPr>
              <w:t xml:space="preserve">APAC</w:t>
            </w:r>
          </w:p>
        </w:tc>
        <w:tc>
          <w:tcPr>
            <w:tcW w:type="dxa" w:w="2100"/>
            <w:shd w:fill="F7F6FC" w:color="auto" w:val="clear"/>
            <w:tcMar>
              <w:top w:type="dxa" w:w="60"/>
              <w:left w:type="dxa" w:w="110"/>
              <w:bottom w:type="dxa" w:w="60"/>
              <w:right w:type="dxa" w:w="110"/>
            </w:tcMar>
          </w:tcPr>
          <w:p>
            <w:r>
              <w:rPr>
                <w:color w:val="14121F"/>
                <w:sz w:val="19"/>
                <w:szCs w:val="19"/>
              </w:rPr>
              <w:t xml:space="preserve">PHP, IDR, INR</w:t>
            </w:r>
          </w:p>
        </w:tc>
        <w:tc>
          <w:tcPr>
            <w:tcW w:type="dxa" w:w="2100"/>
            <w:shd w:fill="F7F6FC" w:color="auto" w:val="clear"/>
            <w:tcMar>
              <w:top w:type="dxa" w:w="60"/>
              <w:left w:type="dxa" w:w="110"/>
              <w:bottom w:type="dxa" w:w="60"/>
              <w:right w:type="dxa" w:w="110"/>
            </w:tcMar>
          </w:tcPr>
          <w:p>
            <w:r>
              <w:rPr>
                <w:color w:val="14121F"/>
                <w:sz w:val="19"/>
                <w:szCs w:val="19"/>
              </w:rPr>
              <w:t xml:space="preserve">GCash, Maya, OVO, DANA</w:t>
            </w:r>
          </w:p>
        </w:tc>
        <w:tc>
          <w:tcPr>
            <w:tcW w:type="dxa" w:w="2060"/>
            <w:shd w:fill="F7F6FC" w:color="auto" w:val="clear"/>
            <w:tcMar>
              <w:top w:type="dxa" w:w="60"/>
              <w:left w:type="dxa" w:w="110"/>
              <w:bottom w:type="dxa" w:w="60"/>
              <w:right w:type="dxa" w:w="110"/>
            </w:tcMar>
          </w:tcPr>
          <w:p>
            <w:r>
              <w:rPr>
                <w:color w:val="14121F"/>
                <w:sz w:val="19"/>
                <w:szCs w:val="19"/>
              </w:rPr>
              <w:t xml:space="preserve">Afriex wallet, UPI apps</w:t>
            </w:r>
          </w:p>
        </w:tc>
        <w:tc>
          <w:tcPr>
            <w:tcW w:type="dxa" w:w="1800"/>
            <w:shd w:fill="F7F6FC" w:color="auto" w:val="clear"/>
            <w:tcMar>
              <w:top w:type="dxa" w:w="60"/>
              <w:left w:type="dxa" w:w="110"/>
              <w:bottom w:type="dxa" w:w="60"/>
              <w:right w:type="dxa" w:w="110"/>
            </w:tcMar>
          </w:tcPr>
          <w:p>
            <w:r>
              <w:rPr>
                <w:color w:val="14121F"/>
                <w:sz w:val="19"/>
                <w:szCs w:val="19"/>
              </w:rPr>
              <w:t xml:space="preserve">Visa, Mastercard</w:t>
            </w:r>
          </w:p>
        </w:tc>
      </w:tr>
      <w:tr>
        <w:tc>
          <w:tcPr>
            <w:tcW w:type="dxa" w:w="1300"/>
            <w:tcMar>
              <w:top w:type="dxa" w:w="60"/>
              <w:left w:type="dxa" w:w="110"/>
              <w:bottom w:type="dxa" w:w="60"/>
              <w:right w:type="dxa" w:w="110"/>
            </w:tcMar>
          </w:tcPr>
          <w:p>
            <w:r>
              <w:rPr>
                <w:color w:val="14121F"/>
                <w:sz w:val="19"/>
                <w:szCs w:val="19"/>
              </w:rPr>
              <w:t xml:space="preserve">LATAM</w:t>
            </w:r>
          </w:p>
        </w:tc>
        <w:tc>
          <w:tcPr>
            <w:tcW w:type="dxa" w:w="2100"/>
            <w:tcMar>
              <w:top w:type="dxa" w:w="60"/>
              <w:left w:type="dxa" w:w="110"/>
              <w:bottom w:type="dxa" w:w="60"/>
              <w:right w:type="dxa" w:w="110"/>
            </w:tcMar>
          </w:tcPr>
          <w:p>
            <w:r>
              <w:rPr>
                <w:color w:val="14121F"/>
                <w:sz w:val="19"/>
                <w:szCs w:val="19"/>
              </w:rPr>
              <w:t xml:space="preserve">BRL, MXN, COP</w:t>
            </w:r>
          </w:p>
        </w:tc>
        <w:tc>
          <w:tcPr>
            <w:tcW w:type="dxa" w:w="2100"/>
            <w:tcMar>
              <w:top w:type="dxa" w:w="60"/>
              <w:left w:type="dxa" w:w="110"/>
              <w:bottom w:type="dxa" w:w="60"/>
              <w:right w:type="dxa" w:w="110"/>
            </w:tcMar>
          </w:tcPr>
          <w:p>
            <w:r>
              <w:rPr>
                <w:color w:val="14121F"/>
                <w:sz w:val="19"/>
                <w:szCs w:val="19"/>
              </w:rPr>
              <w:t xml:space="preserve">—</w:t>
            </w:r>
          </w:p>
        </w:tc>
        <w:tc>
          <w:tcPr>
            <w:tcW w:type="dxa" w:w="2060"/>
            <w:tcMar>
              <w:top w:type="dxa" w:w="60"/>
              <w:left w:type="dxa" w:w="110"/>
              <w:bottom w:type="dxa" w:w="60"/>
              <w:right w:type="dxa" w:w="110"/>
            </w:tcMar>
          </w:tcPr>
          <w:p>
            <w:r>
              <w:rPr>
                <w:color w:val="14121F"/>
                <w:sz w:val="19"/>
                <w:szCs w:val="19"/>
              </w:rPr>
              <w:t xml:space="preserve">Pix, Mercado Pago, Afriex wallet</w:t>
            </w:r>
          </w:p>
        </w:tc>
        <w:tc>
          <w:tcPr>
            <w:tcW w:type="dxa" w:w="1800"/>
            <w:tcMar>
              <w:top w:type="dxa" w:w="60"/>
              <w:left w:type="dxa" w:w="110"/>
              <w:bottom w:type="dxa" w:w="60"/>
              <w:right w:type="dxa" w:w="110"/>
            </w:tcMar>
          </w:tcPr>
          <w:p>
            <w:r>
              <w:rPr>
                <w:color w:val="14121F"/>
                <w:sz w:val="19"/>
                <w:szCs w:val="19"/>
              </w:rPr>
              <w:t xml:space="preserve">Visa, Mastercard, Elo</w:t>
            </w:r>
          </w:p>
        </w:tc>
      </w:tr>
    </w:tbl>
    <w:p>
      <w:pPr>
        <w:spacing w:after="120"/>
      </w:pPr>
      <w:r>
        <w:rPr>
          <w:b/>
          <w:bCs/>
        </w:rPr>
        <w:t xml:space="preserve">Note: </w:t>
      </w:r>
      <w:r>
        <w:t xml:space="preserve">the list above is illustrative for design. Actual enabled currencies/channels must be driven by a configuration service reflecting live partner and treasury coverage, so the page never offers a route Afriex cannot fulfil.</w:t>
      </w:r>
    </w:p>
    <w:p>
      <w:pPr>
        <w:pStyle w:val="Heading2"/>
        <w:spacing w:after="100" w:before="240"/>
      </w:pPr>
      <w:r>
        <w:rPr>
          <w:b/>
          <w:bCs/>
          <w:color w:val="5B3DF5"/>
        </w:rPr>
        <w:t xml:space="preserve">5.5 Afriex Link (saved methods)</w:t>
      </w:r>
    </w:p>
    <w:p>
      <w:pPr>
        <w:pStyle w:val="ListParagraph"/>
        <w:numPr>
          <w:ilvl w:val="0"/>
          <w:numId w:val="2"/>
        </w:numPr>
        <w:spacing w:after="60" w:line="268"/>
      </w:pPr>
      <w:r>
        <w:t xml:space="preserve">On opt-in, Afriex stores the payer's identity (email/phone) and tokenised preferred method (channel + currency + masked instrument).</w:t>
      </w:r>
    </w:p>
    <w:p>
      <w:pPr>
        <w:pStyle w:val="ListParagraph"/>
        <w:numPr>
          <w:ilvl w:val="0"/>
          <w:numId w:val="2"/>
        </w:numPr>
        <w:spacing w:after="60" w:line="268"/>
      </w:pPr>
      <w:r>
        <w:t xml:space="preserve">Recognition across any Afriex Collect merchant via email/phone/device signal, with a verification step (OTP) before first cross-merchant reuse.</w:t>
      </w:r>
    </w:p>
    <w:p>
      <w:pPr>
        <w:pStyle w:val="ListParagraph"/>
        <w:numPr>
          <w:ilvl w:val="0"/>
          <w:numId w:val="2"/>
        </w:numPr>
        <w:spacing w:after="60" w:line="268"/>
      </w:pPr>
      <w:r>
        <w:t xml:space="preserve">Returning payers see a pre-converted amount and a 1-tap pay action; they can always fall back to the full currency/channel picker.</w:t>
      </w:r>
    </w:p>
    <w:p>
      <w:pPr>
        <w:pStyle w:val="ListParagraph"/>
        <w:numPr>
          <w:ilvl w:val="0"/>
          <w:numId w:val="2"/>
        </w:numPr>
        <w:spacing w:after="60" w:line="268"/>
      </w:pPr>
      <w:r>
        <w:t xml:space="preserve">Payers can manage/remove saved methods; PII and tokens handled per Afriex data-protection and PCI scope (cards tokenised via PSP, never stored raw).</w:t>
      </w:r>
    </w:p>
    <w:p>
      <w:pPr>
        <w:pStyle w:val="Heading1"/>
        <w:spacing w:after="140" w:before="320"/>
      </w:pPr>
      <w:r>
        <w:rPr>
          <w:b/>
          <w:bCs/>
          <w:color w:val="14121F"/>
        </w:rPr>
        <w:t xml:space="preserve">6. Edge cases &amp; error states</w:t>
      </w:r>
    </w:p>
    <w:tbl>
      <w:tblPr>
        <w:tblW w:type="dxa" w:w="9360"/>
        <w:tblBorders>
          <w:top w:val="single" w:color="D9D5E8" w:sz="4"/>
          <w:left w:val="single" w:color="D9D5E8" w:sz="4"/>
          <w:bottom w:val="single" w:color="D9D5E8" w:sz="4"/>
          <w:right w:val="single" w:color="D9D5E8" w:sz="4"/>
          <w:insideH w:val="single" w:color="D9D5E8" w:sz="4"/>
          <w:insideV w:val="single" w:color="D9D5E8" w:sz="4"/>
        </w:tblBorders>
      </w:tblPr>
      <w:tblGrid>
        <w:gridCol w:w="3000"/>
        <w:gridCol w:w="6360"/>
      </w:tblGrid>
      <w:tr>
        <w:trPr>
          <w:tblHeader/>
        </w:trPr>
        <w:tc>
          <w:tcPr>
            <w:tcW w:type="dxa" w:w="3000"/>
            <w:shd w:fill="5B3DF5" w:color="auto" w:val="clear"/>
            <w:tcMar>
              <w:top w:type="dxa" w:w="70"/>
              <w:left w:type="dxa" w:w="110"/>
              <w:bottom w:type="dxa" w:w="70"/>
              <w:right w:type="dxa" w:w="110"/>
            </w:tcMar>
          </w:tcPr>
          <w:p>
            <w:pPr>
              <w:jc w:val="left"/>
            </w:pPr>
            <w:r>
              <w:rPr>
                <w:b/>
                <w:bCs/>
                <w:color w:val="FFFFFF"/>
                <w:sz w:val="19"/>
                <w:szCs w:val="19"/>
              </w:rPr>
              <w:t xml:space="preserve">Scenario</w:t>
            </w:r>
          </w:p>
        </w:tc>
        <w:tc>
          <w:tcPr>
            <w:tcW w:type="dxa" w:w="6360"/>
            <w:shd w:fill="5B3DF5" w:color="auto" w:val="clear"/>
            <w:tcMar>
              <w:top w:type="dxa" w:w="70"/>
              <w:left w:type="dxa" w:w="110"/>
              <w:bottom w:type="dxa" w:w="70"/>
              <w:right w:type="dxa" w:w="110"/>
            </w:tcMar>
          </w:tcPr>
          <w:p>
            <w:pPr>
              <w:jc w:val="left"/>
            </w:pPr>
            <w:r>
              <w:rPr>
                <w:b/>
                <w:bCs/>
                <w:color w:val="FFFFFF"/>
                <w:sz w:val="19"/>
                <w:szCs w:val="19"/>
              </w:rPr>
              <w:t xml:space="preserve">Expected behaviour</w:t>
            </w:r>
          </w:p>
        </w:tc>
      </w:tr>
      <w:tr>
        <w:tc>
          <w:tcPr>
            <w:tcW w:type="dxa" w:w="3000"/>
            <w:tcMar>
              <w:top w:type="dxa" w:w="60"/>
              <w:left w:type="dxa" w:w="110"/>
              <w:bottom w:type="dxa" w:w="60"/>
              <w:right w:type="dxa" w:w="110"/>
            </w:tcMar>
          </w:tcPr>
          <w:p>
            <w:r>
              <w:rPr>
                <w:color w:val="14121F"/>
                <w:sz w:val="19"/>
                <w:szCs w:val="19"/>
              </w:rPr>
              <w:t xml:space="preserve">Chosen currency has no available channel</w:t>
            </w:r>
          </w:p>
        </w:tc>
        <w:tc>
          <w:tcPr>
            <w:tcW w:type="dxa" w:w="6360"/>
            <w:tcMar>
              <w:top w:type="dxa" w:w="60"/>
              <w:left w:type="dxa" w:w="110"/>
              <w:bottom w:type="dxa" w:w="60"/>
              <w:right w:type="dxa" w:w="110"/>
            </w:tcMar>
          </w:tcPr>
          <w:p>
            <w:r>
              <w:rPr>
                <w:color w:val="14121F"/>
                <w:sz w:val="19"/>
                <w:szCs w:val="19"/>
              </w:rPr>
              <w:t xml:space="preserve">Currency is not offered, or shows disabled with reason; payer prompted to pick another.</w:t>
            </w:r>
          </w:p>
        </w:tc>
      </w:tr>
      <w:tr>
        <w:tc>
          <w:tcPr>
            <w:tcW w:type="dxa" w:w="3000"/>
            <w:shd w:fill="F7F6FC" w:color="auto" w:val="clear"/>
            <w:tcMar>
              <w:top w:type="dxa" w:w="60"/>
              <w:left w:type="dxa" w:w="110"/>
              <w:bottom w:type="dxa" w:w="60"/>
              <w:right w:type="dxa" w:w="110"/>
            </w:tcMar>
          </w:tcPr>
          <w:p>
            <w:r>
              <w:rPr>
                <w:color w:val="14121F"/>
                <w:sz w:val="19"/>
                <w:szCs w:val="19"/>
              </w:rPr>
              <w:t xml:space="preserve">Rate lock expires before payment</w:t>
            </w:r>
          </w:p>
        </w:tc>
        <w:tc>
          <w:tcPr>
            <w:tcW w:type="dxa" w:w="6360"/>
            <w:shd w:fill="F7F6FC" w:color="auto" w:val="clear"/>
            <w:tcMar>
              <w:top w:type="dxa" w:w="60"/>
              <w:left w:type="dxa" w:w="110"/>
              <w:bottom w:type="dxa" w:w="60"/>
              <w:right w:type="dxa" w:w="110"/>
            </w:tcMar>
          </w:tcPr>
          <w:p>
            <w:r>
              <w:rPr>
                <w:color w:val="14121F"/>
                <w:sz w:val="19"/>
                <w:szCs w:val="19"/>
              </w:rPr>
              <w:t xml:space="preserve">Re-quote; payer must accept new converted amount before continuing.</w:t>
            </w:r>
          </w:p>
        </w:tc>
      </w:tr>
      <w:tr>
        <w:tc>
          <w:tcPr>
            <w:tcW w:type="dxa" w:w="3000"/>
            <w:tcMar>
              <w:top w:type="dxa" w:w="60"/>
              <w:left w:type="dxa" w:w="110"/>
              <w:bottom w:type="dxa" w:w="60"/>
              <w:right w:type="dxa" w:w="110"/>
            </w:tcMar>
          </w:tcPr>
          <w:p>
            <w:r>
              <w:rPr>
                <w:color w:val="14121F"/>
                <w:sz w:val="19"/>
                <w:szCs w:val="19"/>
              </w:rPr>
              <w:t xml:space="preserve">Underpayment / overpayment on bank transfer</w:t>
            </w:r>
          </w:p>
        </w:tc>
        <w:tc>
          <w:tcPr>
            <w:tcW w:type="dxa" w:w="6360"/>
            <w:tcMar>
              <w:top w:type="dxa" w:w="60"/>
              <w:left w:type="dxa" w:w="110"/>
              <w:bottom w:type="dxa" w:w="60"/>
              <w:right w:type="dxa" w:w="110"/>
            </w:tcMar>
          </w:tcPr>
          <w:p>
            <w:r>
              <w:rPr>
                <w:color w:val="14121F"/>
                <w:sz w:val="19"/>
                <w:szCs w:val="19"/>
              </w:rPr>
              <w:t xml:space="preserve">Detect variance; underpay → request balance or refund; overpay → refund excess per policy.</w:t>
            </w:r>
          </w:p>
        </w:tc>
      </w:tr>
      <w:tr>
        <w:tc>
          <w:tcPr>
            <w:tcW w:type="dxa" w:w="3000"/>
            <w:shd w:fill="F7F6FC" w:color="auto" w:val="clear"/>
            <w:tcMar>
              <w:top w:type="dxa" w:w="60"/>
              <w:left w:type="dxa" w:w="110"/>
              <w:bottom w:type="dxa" w:w="60"/>
              <w:right w:type="dxa" w:w="110"/>
            </w:tcMar>
          </w:tcPr>
          <w:p>
            <w:r>
              <w:rPr>
                <w:color w:val="14121F"/>
                <w:sz w:val="19"/>
                <w:szCs w:val="19"/>
              </w:rPr>
              <w:t xml:space="preserve">Payer abandons mid-transfer</w:t>
            </w:r>
          </w:p>
        </w:tc>
        <w:tc>
          <w:tcPr>
            <w:tcW w:type="dxa" w:w="6360"/>
            <w:shd w:fill="F7F6FC" w:color="auto" w:val="clear"/>
            <w:tcMar>
              <w:top w:type="dxa" w:w="60"/>
              <w:left w:type="dxa" w:w="110"/>
              <w:bottom w:type="dxa" w:w="60"/>
              <w:right w:type="dxa" w:w="110"/>
            </w:tcMar>
          </w:tcPr>
          <w:p>
            <w:r>
              <w:rPr>
                <w:color w:val="14121F"/>
                <w:sz w:val="19"/>
                <w:szCs w:val="19"/>
              </w:rPr>
              <w:t xml:space="preserve">Page persists pending state with instructions; recover via emailed magic link; auto-expire after window.</w:t>
            </w:r>
          </w:p>
        </w:tc>
      </w:tr>
      <w:tr>
        <w:tc>
          <w:tcPr>
            <w:tcW w:type="dxa" w:w="3000"/>
            <w:tcMar>
              <w:top w:type="dxa" w:w="60"/>
              <w:left w:type="dxa" w:w="110"/>
              <w:bottom w:type="dxa" w:w="60"/>
              <w:right w:type="dxa" w:w="110"/>
            </w:tcMar>
          </w:tcPr>
          <w:p>
            <w:r>
              <w:rPr>
                <w:color w:val="14121F"/>
                <w:sz w:val="19"/>
                <w:szCs w:val="19"/>
              </w:rPr>
              <w:t xml:space="preserve">Partner/channel outage</w:t>
            </w:r>
          </w:p>
        </w:tc>
        <w:tc>
          <w:tcPr>
            <w:tcW w:type="dxa" w:w="6360"/>
            <w:tcMar>
              <w:top w:type="dxa" w:w="60"/>
              <w:left w:type="dxa" w:w="110"/>
              <w:bottom w:type="dxa" w:w="60"/>
              <w:right w:type="dxa" w:w="110"/>
            </w:tcMar>
          </w:tcPr>
          <w:p>
            <w:r>
              <w:rPr>
                <w:color w:val="14121F"/>
                <w:sz w:val="19"/>
                <w:szCs w:val="19"/>
              </w:rPr>
              <w:t xml:space="preserve">Channel hidden or disabled in real time via config; payer routed to alternatives.</w:t>
            </w:r>
          </w:p>
        </w:tc>
      </w:tr>
      <w:tr>
        <w:tc>
          <w:tcPr>
            <w:tcW w:type="dxa" w:w="3000"/>
            <w:shd w:fill="F7F6FC" w:color="auto" w:val="clear"/>
            <w:tcMar>
              <w:top w:type="dxa" w:w="60"/>
              <w:left w:type="dxa" w:w="110"/>
              <w:bottom w:type="dxa" w:w="60"/>
              <w:right w:type="dxa" w:w="110"/>
            </w:tcMar>
          </w:tcPr>
          <w:p>
            <w:r>
              <w:rPr>
                <w:color w:val="14121F"/>
                <w:sz w:val="19"/>
                <w:szCs w:val="19"/>
              </w:rPr>
              <w:t xml:space="preserve">Duplicate payment against same reference</w:t>
            </w:r>
          </w:p>
        </w:tc>
        <w:tc>
          <w:tcPr>
            <w:tcW w:type="dxa" w:w="6360"/>
            <w:shd w:fill="F7F6FC" w:color="auto" w:val="clear"/>
            <w:tcMar>
              <w:top w:type="dxa" w:w="60"/>
              <w:left w:type="dxa" w:w="110"/>
              <w:bottom w:type="dxa" w:w="60"/>
              <w:right w:type="dxa" w:w="110"/>
            </w:tcMar>
          </w:tcPr>
          <w:p>
            <w:r>
              <w:rPr>
                <w:color w:val="14121F"/>
                <w:sz w:val="19"/>
                <w:szCs w:val="19"/>
              </w:rPr>
              <w:t xml:space="preserve">Idempotency on reference + quote ID; second payment flagged for refund/credit.</w:t>
            </w:r>
          </w:p>
        </w:tc>
      </w:tr>
      <w:tr>
        <w:tc>
          <w:tcPr>
            <w:tcW w:type="dxa" w:w="3000"/>
            <w:tcMar>
              <w:top w:type="dxa" w:w="60"/>
              <w:left w:type="dxa" w:w="110"/>
              <w:bottom w:type="dxa" w:w="60"/>
              <w:right w:type="dxa" w:w="110"/>
            </w:tcMar>
          </w:tcPr>
          <w:p>
            <w:r>
              <w:rPr>
                <w:color w:val="14121F"/>
                <w:sz w:val="19"/>
                <w:szCs w:val="19"/>
              </w:rPr>
              <w:t xml:space="preserve">Payer currency = settlement currency</w:t>
            </w:r>
          </w:p>
        </w:tc>
        <w:tc>
          <w:tcPr>
            <w:tcW w:type="dxa" w:w="6360"/>
            <w:tcMar>
              <w:top w:type="dxa" w:w="60"/>
              <w:left w:type="dxa" w:w="110"/>
              <w:bottom w:type="dxa" w:w="60"/>
              <w:right w:type="dxa" w:w="110"/>
            </w:tcMar>
          </w:tcPr>
          <w:p>
            <w:r>
              <w:rPr>
                <w:color w:val="14121F"/>
                <w:sz w:val="19"/>
                <w:szCs w:val="19"/>
              </w:rPr>
              <w:t xml:space="preserve">No conversion shown; channel selection proceeds directly.</w:t>
            </w:r>
          </w:p>
        </w:tc>
      </w:tr>
      <w:tr>
        <w:tc>
          <w:tcPr>
            <w:tcW w:type="dxa" w:w="3000"/>
            <w:shd w:fill="F7F6FC" w:color="auto" w:val="clear"/>
            <w:tcMar>
              <w:top w:type="dxa" w:w="60"/>
              <w:left w:type="dxa" w:w="110"/>
              <w:bottom w:type="dxa" w:w="60"/>
              <w:right w:type="dxa" w:w="110"/>
            </w:tcMar>
          </w:tcPr>
          <w:p>
            <w:r>
              <w:rPr>
                <w:color w:val="14121F"/>
                <w:sz w:val="19"/>
                <w:szCs w:val="19"/>
              </w:rPr>
              <w:t xml:space="preserve">Link recognition on shared/public device</w:t>
            </w:r>
          </w:p>
        </w:tc>
        <w:tc>
          <w:tcPr>
            <w:tcW w:type="dxa" w:w="6360"/>
            <w:shd w:fill="F7F6FC" w:color="auto" w:val="clear"/>
            <w:tcMar>
              <w:top w:type="dxa" w:w="60"/>
              <w:left w:type="dxa" w:w="110"/>
              <w:bottom w:type="dxa" w:w="60"/>
              <w:right w:type="dxa" w:w="110"/>
            </w:tcMar>
          </w:tcPr>
          <w:p>
            <w:r>
              <w:rPr>
                <w:color w:val="14121F"/>
                <w:sz w:val="19"/>
                <w:szCs w:val="19"/>
              </w:rPr>
              <w:t xml:space="preserve">Require OTP re-auth before exposing saved method; never auto-pay without confirmation.</w:t>
            </w:r>
          </w:p>
        </w:tc>
      </w:tr>
      <w:tr>
        <w:tc>
          <w:tcPr>
            <w:tcW w:type="dxa" w:w="3000"/>
            <w:tcMar>
              <w:top w:type="dxa" w:w="60"/>
              <w:left w:type="dxa" w:w="110"/>
              <w:bottom w:type="dxa" w:w="60"/>
              <w:right w:type="dxa" w:w="110"/>
            </w:tcMar>
          </w:tcPr>
          <w:p>
            <w:r>
              <w:rPr>
                <w:color w:val="14121F"/>
                <w:sz w:val="19"/>
                <w:szCs w:val="19"/>
              </w:rPr>
              <w:t xml:space="preserve">Amount below channel minimum / above limit</w:t>
            </w:r>
          </w:p>
        </w:tc>
        <w:tc>
          <w:tcPr>
            <w:tcW w:type="dxa" w:w="6360"/>
            <w:tcMar>
              <w:top w:type="dxa" w:w="60"/>
              <w:left w:type="dxa" w:w="110"/>
              <w:bottom w:type="dxa" w:w="60"/>
              <w:right w:type="dxa" w:w="110"/>
            </w:tcMar>
          </w:tcPr>
          <w:p>
            <w:r>
              <w:rPr>
                <w:color w:val="14121F"/>
                <w:sz w:val="19"/>
                <w:szCs w:val="19"/>
              </w:rPr>
              <w:t xml:space="preserve">Validate against channel limits; surface message and suggest alternate channel.</w:t>
            </w:r>
          </w:p>
        </w:tc>
      </w:tr>
    </w:tbl>
    <w:p>
      <w:pPr>
        <w:pStyle w:val="Heading1"/>
        <w:spacing w:after="140" w:before="320"/>
      </w:pPr>
      <w:r>
        <w:rPr>
          <w:b/>
          <w:bCs/>
          <w:color w:val="14121F"/>
        </w:rPr>
        <w:t xml:space="preserve">7. Technical considerations</w:t>
      </w:r>
    </w:p>
    <w:p>
      <w:pPr>
        <w:pStyle w:val="ListParagraph"/>
        <w:numPr>
          <w:ilvl w:val="0"/>
          <w:numId w:val="2"/>
        </w:numPr>
        <w:spacing w:after="60" w:line="268"/>
      </w:pPr>
      <w:r>
        <w:rPr>
          <w:b/>
          <w:bCs/>
        </w:rPr>
        <w:t xml:space="preserve">Configuration-driven availability: </w:t>
      </w:r>
      <w:r>
        <w:t xml:space="preserve">a corridor/coverage service is the single source of truth for which currencies and channels render, decoupling UI from partner state.</w:t>
      </w:r>
    </w:p>
    <w:p>
      <w:pPr>
        <w:pStyle w:val="ListParagraph"/>
        <w:numPr>
          <w:ilvl w:val="0"/>
          <w:numId w:val="2"/>
        </w:numPr>
        <w:spacing w:after="60" w:line="268"/>
      </w:pPr>
      <w:r>
        <w:rPr>
          <w:b/>
          <w:bCs/>
        </w:rPr>
        <w:t xml:space="preserve">Rate-quote service: </w:t>
      </w:r>
      <w:r>
        <w:t xml:space="preserve">issues locked quotes with an ID and expiry; checkout, instructions, and settlement all reference the same quote for reconciliation.</w:t>
      </w:r>
    </w:p>
    <w:p>
      <w:pPr>
        <w:pStyle w:val="ListParagraph"/>
        <w:numPr>
          <w:ilvl w:val="0"/>
          <w:numId w:val="2"/>
        </w:numPr>
        <w:spacing w:after="60" w:line="268"/>
      </w:pPr>
      <w:r>
        <w:rPr>
          <w:b/>
          <w:bCs/>
        </w:rPr>
        <w:t xml:space="preserve">Settlement detection: </w:t>
      </w:r>
      <w:r>
        <w:t xml:space="preserve">webhook/polling from banking and mobile-money partners to auto-confirm; virtual accounts keyed per transaction for matching.</w:t>
      </w:r>
    </w:p>
    <w:p>
      <w:pPr>
        <w:pStyle w:val="ListParagraph"/>
        <w:numPr>
          <w:ilvl w:val="0"/>
          <w:numId w:val="2"/>
        </w:numPr>
        <w:spacing w:after="60" w:line="268"/>
      </w:pPr>
      <w:r>
        <w:rPr>
          <w:b/>
          <w:bCs/>
        </w:rPr>
        <w:t xml:space="preserve">Idempotency &amp; reconciliation: </w:t>
      </w:r>
      <w:r>
        <w:t xml:space="preserve">every payment tied to reference + quote ID; treasury reconciles collected vs. settled per corridor.</w:t>
      </w:r>
    </w:p>
    <w:p>
      <w:pPr>
        <w:pStyle w:val="ListParagraph"/>
        <w:numPr>
          <w:ilvl w:val="0"/>
          <w:numId w:val="2"/>
        </w:numPr>
        <w:spacing w:after="60" w:line="268"/>
      </w:pPr>
      <w:r>
        <w:rPr>
          <w:b/>
          <w:bCs/>
        </w:rPr>
        <w:t xml:space="preserve">Afriex Link identity: </w:t>
      </w:r>
      <w:r>
        <w:t xml:space="preserve">tokenised method vault, cross-merchant recognition with OTP verification, PCI-compliant card tokenisation via PSP.</w:t>
      </w:r>
    </w:p>
    <w:p>
      <w:pPr>
        <w:pStyle w:val="ListParagraph"/>
        <w:numPr>
          <w:ilvl w:val="0"/>
          <w:numId w:val="2"/>
        </w:numPr>
        <w:spacing w:after="60" w:line="268"/>
      </w:pPr>
      <w:r>
        <w:rPr>
          <w:b/>
          <w:bCs/>
        </w:rPr>
        <w:t xml:space="preserve">Compliance: </w:t>
      </w:r>
      <w:r>
        <w:t xml:space="preserve">KYC/AML thresholds per corridor, sanctions screening on payer, and per-region data-residency for stored PII.</w:t>
      </w:r>
    </w:p>
    <w:p>
      <w:pPr>
        <w:pStyle w:val="ListParagraph"/>
        <w:numPr>
          <w:ilvl w:val="0"/>
          <w:numId w:val="2"/>
        </w:numPr>
        <w:spacing w:after="60" w:line="268"/>
      </w:pPr>
      <w:r>
        <w:rPr>
          <w:b/>
          <w:bCs/>
        </w:rPr>
        <w:t xml:space="preserve">Localisation: </w:t>
      </w:r>
      <w:r>
        <w:t xml:space="preserve">currency formatting, language, and channel naming per market; mobile-first responsive hosted page.</w:t>
      </w:r>
    </w:p>
    <w:p>
      <w:pPr>
        <w:pStyle w:val="Heading1"/>
        <w:spacing w:after="140" w:before="320"/>
      </w:pPr>
      <w:r>
        <w:rPr>
          <w:b/>
          <w:bCs/>
          <w:color w:val="14121F"/>
        </w:rPr>
        <w:t xml:space="preserve">8. Analytics &amp; instrumentation</w:t>
      </w:r>
    </w:p>
    <w:p>
      <w:pPr>
        <w:spacing w:after="120" w:line="276"/>
      </w:pPr>
      <w:r>
        <w:t xml:space="preserve">Instrument the funnel to measure the success metrics in §1.4:</w:t>
      </w:r>
    </w:p>
    <w:p>
      <w:pPr>
        <w:pStyle w:val="ListParagraph"/>
        <w:numPr>
          <w:ilvl w:val="0"/>
          <w:numId w:val="2"/>
        </w:numPr>
        <w:spacing w:after="60" w:line="268"/>
      </w:pPr>
      <w:r>
        <w:t xml:space="preserve">page_viewed, currency_selected (with currency + rate), channel_shown, channel_selected, details_submitted, link_opt_in, rate_locked, rate_expired, payment_initiated, payment_succeeded, payment_failed.</w:t>
      </w:r>
    </w:p>
    <w:p>
      <w:pPr>
        <w:pStyle w:val="ListParagraph"/>
        <w:numPr>
          <w:ilvl w:val="0"/>
          <w:numId w:val="2"/>
        </w:numPr>
        <w:spacing w:after="60" w:line="268"/>
      </w:pPr>
      <w:r>
        <w:t xml:space="preserve">Returning payer: link_recognised, link_one_tap_paid, link_switch_method.</w:t>
      </w:r>
    </w:p>
    <w:p>
      <w:pPr>
        <w:pStyle w:val="ListParagraph"/>
        <w:numPr>
          <w:ilvl w:val="0"/>
          <w:numId w:val="2"/>
        </w:numPr>
        <w:spacing w:after="60" w:line="268"/>
      </w:pPr>
      <w:r>
        <w:t xml:space="preserve">Merchant: page_created, currencies_enabled_count, channels_enabled_count, link_shared.</w:t>
      </w:r>
    </w:p>
    <w:p>
      <w:pPr>
        <w:pStyle w:val="Heading1"/>
        <w:spacing w:after="140" w:before="320"/>
      </w:pPr>
      <w:r>
        <w:rPr>
          <w:b/>
          <w:bCs/>
          <w:color w:val="14121F"/>
        </w:rPr>
        <w:t xml:space="preserve">9. Rollout plan</w:t>
      </w:r>
    </w:p>
    <w:tbl>
      <w:tblPr>
        <w:tblW w:type="dxa" w:w="9360"/>
        <w:tblBorders>
          <w:top w:val="single" w:color="D9D5E8" w:sz="4"/>
          <w:left w:val="single" w:color="D9D5E8" w:sz="4"/>
          <w:bottom w:val="single" w:color="D9D5E8" w:sz="4"/>
          <w:right w:val="single" w:color="D9D5E8" w:sz="4"/>
          <w:insideH w:val="single" w:color="D9D5E8" w:sz="4"/>
          <w:insideV w:val="single" w:color="D9D5E8" w:sz="4"/>
        </w:tblBorders>
      </w:tblPr>
      <w:tblGrid>
        <w:gridCol w:w="1900"/>
        <w:gridCol w:w="5560"/>
        <w:gridCol w:w="1900"/>
      </w:tblGrid>
      <w:tr>
        <w:trPr>
          <w:tblHeader/>
        </w:trPr>
        <w:tc>
          <w:tcPr>
            <w:tcW w:type="dxa" w:w="1900"/>
            <w:shd w:fill="5B3DF5" w:color="auto" w:val="clear"/>
            <w:tcMar>
              <w:top w:type="dxa" w:w="70"/>
              <w:left w:type="dxa" w:w="110"/>
              <w:bottom w:type="dxa" w:w="70"/>
              <w:right w:type="dxa" w:w="110"/>
            </w:tcMar>
          </w:tcPr>
          <w:p>
            <w:pPr>
              <w:jc w:val="left"/>
            </w:pPr>
            <w:r>
              <w:rPr>
                <w:b/>
                <w:bCs/>
                <w:color w:val="FFFFFF"/>
                <w:sz w:val="19"/>
                <w:szCs w:val="19"/>
              </w:rPr>
              <w:t xml:space="preserve">Phase</w:t>
            </w:r>
          </w:p>
        </w:tc>
        <w:tc>
          <w:tcPr>
            <w:tcW w:type="dxa" w:w="5560"/>
            <w:shd w:fill="5B3DF5" w:color="auto" w:val="clear"/>
            <w:tcMar>
              <w:top w:type="dxa" w:w="70"/>
              <w:left w:type="dxa" w:w="110"/>
              <w:bottom w:type="dxa" w:w="70"/>
              <w:right w:type="dxa" w:w="110"/>
            </w:tcMar>
          </w:tcPr>
          <w:p>
            <w:pPr>
              <w:jc w:val="left"/>
            </w:pPr>
            <w:r>
              <w:rPr>
                <w:b/>
                <w:bCs/>
                <w:color w:val="FFFFFF"/>
                <w:sz w:val="19"/>
                <w:szCs w:val="19"/>
              </w:rPr>
              <w:t xml:space="preserve">Scope</w:t>
            </w:r>
          </w:p>
        </w:tc>
        <w:tc>
          <w:tcPr>
            <w:tcW w:type="dxa" w:w="1900"/>
            <w:shd w:fill="5B3DF5" w:color="auto" w:val="clear"/>
            <w:tcMar>
              <w:top w:type="dxa" w:w="70"/>
              <w:left w:type="dxa" w:w="110"/>
              <w:bottom w:type="dxa" w:w="70"/>
              <w:right w:type="dxa" w:w="110"/>
            </w:tcMar>
          </w:tcPr>
          <w:p>
            <w:pPr>
              <w:jc w:val="left"/>
            </w:pPr>
            <w:r>
              <w:rPr>
                <w:b/>
                <w:bCs/>
                <w:color w:val="FFFFFF"/>
                <w:sz w:val="19"/>
                <w:szCs w:val="19"/>
              </w:rPr>
              <w:t xml:space="preserve">Corridors</w:t>
            </w:r>
          </w:p>
        </w:tc>
      </w:tr>
      <w:tr>
        <w:tc>
          <w:tcPr>
            <w:tcW w:type="dxa" w:w="1900"/>
            <w:tcMar>
              <w:top w:type="dxa" w:w="60"/>
              <w:left w:type="dxa" w:w="110"/>
              <w:bottom w:type="dxa" w:w="60"/>
              <w:right w:type="dxa" w:w="110"/>
            </w:tcMar>
          </w:tcPr>
          <w:p>
            <w:r>
              <w:rPr>
                <w:color w:val="14121F"/>
                <w:sz w:val="19"/>
                <w:szCs w:val="19"/>
              </w:rPr>
              <w:t xml:space="preserve">Phase 1 — MVP</w:t>
            </w:r>
          </w:p>
        </w:tc>
        <w:tc>
          <w:tcPr>
            <w:tcW w:type="dxa" w:w="5560"/>
            <w:tcMar>
              <w:top w:type="dxa" w:w="60"/>
              <w:left w:type="dxa" w:w="110"/>
              <w:bottom w:type="dxa" w:w="60"/>
              <w:right w:type="dxa" w:w="110"/>
            </w:tcMar>
          </w:tcPr>
          <w:p>
            <w:r>
              <w:rPr>
                <w:color w:val="14121F"/>
                <w:sz w:val="19"/>
                <w:szCs w:val="19"/>
              </w:rPr>
              <w:t xml:space="preserve">Amount → currency → channel → pay → confirm. Virtual accounts + mobile money. Guest checkout only.</w:t>
            </w:r>
          </w:p>
        </w:tc>
        <w:tc>
          <w:tcPr>
            <w:tcW w:type="dxa" w:w="1900"/>
            <w:tcMar>
              <w:top w:type="dxa" w:w="60"/>
              <w:left w:type="dxa" w:w="110"/>
              <w:bottom w:type="dxa" w:w="60"/>
              <w:right w:type="dxa" w:w="110"/>
            </w:tcMar>
          </w:tcPr>
          <w:p>
            <w:r>
              <w:rPr>
                <w:color w:val="14121F"/>
                <w:sz w:val="19"/>
                <w:szCs w:val="19"/>
              </w:rPr>
              <w:t xml:space="preserve">EMEA (NGN, KES, GHS)</w:t>
            </w:r>
          </w:p>
        </w:tc>
      </w:tr>
      <w:tr>
        <w:tc>
          <w:tcPr>
            <w:tcW w:type="dxa" w:w="1900"/>
            <w:shd w:fill="F7F6FC" w:color="auto" w:val="clear"/>
            <w:tcMar>
              <w:top w:type="dxa" w:w="60"/>
              <w:left w:type="dxa" w:w="110"/>
              <w:bottom w:type="dxa" w:w="60"/>
              <w:right w:type="dxa" w:w="110"/>
            </w:tcMar>
          </w:tcPr>
          <w:p>
            <w:r>
              <w:rPr>
                <w:color w:val="14121F"/>
                <w:sz w:val="19"/>
                <w:szCs w:val="19"/>
              </w:rPr>
              <w:t xml:space="preserve">Phase 2 — Link</w:t>
            </w:r>
          </w:p>
        </w:tc>
        <w:tc>
          <w:tcPr>
            <w:tcW w:type="dxa" w:w="5560"/>
            <w:shd w:fill="F7F6FC" w:color="auto" w:val="clear"/>
            <w:tcMar>
              <w:top w:type="dxa" w:w="60"/>
              <w:left w:type="dxa" w:w="110"/>
              <w:bottom w:type="dxa" w:w="60"/>
              <w:right w:type="dxa" w:w="110"/>
            </w:tcMar>
          </w:tcPr>
          <w:p>
            <w:r>
              <w:rPr>
                <w:color w:val="14121F"/>
                <w:sz w:val="19"/>
                <w:szCs w:val="19"/>
              </w:rPr>
              <w:t xml:space="preserve">Add saved methods (Afriex Link) + returning-payer 1-tap. Add digital wallets.</w:t>
            </w:r>
          </w:p>
        </w:tc>
        <w:tc>
          <w:tcPr>
            <w:tcW w:type="dxa" w:w="1900"/>
            <w:shd w:fill="F7F6FC" w:color="auto" w:val="clear"/>
            <w:tcMar>
              <w:top w:type="dxa" w:w="60"/>
              <w:left w:type="dxa" w:w="110"/>
              <w:bottom w:type="dxa" w:w="60"/>
              <w:right w:type="dxa" w:w="110"/>
            </w:tcMar>
          </w:tcPr>
          <w:p>
            <w:r>
              <w:rPr>
                <w:color w:val="14121F"/>
                <w:sz w:val="19"/>
                <w:szCs w:val="19"/>
              </w:rPr>
              <w:t xml:space="preserve">EMEA + APAC (PHP, IDR)</w:t>
            </w:r>
          </w:p>
        </w:tc>
      </w:tr>
      <w:tr>
        <w:tc>
          <w:tcPr>
            <w:tcW w:type="dxa" w:w="1900"/>
            <w:tcMar>
              <w:top w:type="dxa" w:w="60"/>
              <w:left w:type="dxa" w:w="110"/>
              <w:bottom w:type="dxa" w:w="60"/>
              <w:right w:type="dxa" w:w="110"/>
            </w:tcMar>
          </w:tcPr>
          <w:p>
            <w:r>
              <w:rPr>
                <w:color w:val="14121F"/>
                <w:sz w:val="19"/>
                <w:szCs w:val="19"/>
              </w:rPr>
              <w:t xml:space="preserve">Phase 3 — Full coverage</w:t>
            </w:r>
          </w:p>
        </w:tc>
        <w:tc>
          <w:tcPr>
            <w:tcW w:type="dxa" w:w="5560"/>
            <w:tcMar>
              <w:top w:type="dxa" w:w="60"/>
              <w:left w:type="dxa" w:w="110"/>
              <w:bottom w:type="dxa" w:w="60"/>
              <w:right w:type="dxa" w:w="110"/>
            </w:tcMar>
          </w:tcPr>
          <w:p>
            <w:r>
              <w:rPr>
                <w:color w:val="14121F"/>
                <w:sz w:val="19"/>
                <w:szCs w:val="19"/>
              </w:rPr>
              <w:t xml:space="preserve">Add LATAM (Pix, BRL, MXN), cards, QR/embed, merchant status views.</w:t>
            </w:r>
          </w:p>
        </w:tc>
        <w:tc>
          <w:tcPr>
            <w:tcW w:type="dxa" w:w="1900"/>
            <w:tcMar>
              <w:top w:type="dxa" w:w="60"/>
              <w:left w:type="dxa" w:w="110"/>
              <w:bottom w:type="dxa" w:w="60"/>
              <w:right w:type="dxa" w:w="110"/>
            </w:tcMar>
          </w:tcPr>
          <w:p>
            <w:r>
              <w:rPr>
                <w:color w:val="14121F"/>
                <w:sz w:val="19"/>
                <w:szCs w:val="19"/>
              </w:rPr>
              <w:t xml:space="preserve">EMEA + APAC + LATAM</w:t>
            </w:r>
          </w:p>
        </w:tc>
      </w:tr>
    </w:tbl>
    <w:p>
      <w:pPr>
        <w:pStyle w:val="Heading1"/>
        <w:spacing w:after="140" w:before="320"/>
      </w:pPr>
      <w:r>
        <w:rPr>
          <w:b/>
          <w:bCs/>
          <w:color w:val="14121F"/>
        </w:rPr>
        <w:t xml:space="preserve">10. Open questions</w:t>
      </w:r>
    </w:p>
    <w:p>
      <w:pPr>
        <w:pStyle w:val="ListParagraph"/>
        <w:numPr>
          <w:ilvl w:val="0"/>
          <w:numId w:val="2"/>
        </w:numPr>
        <w:spacing w:after="60" w:line="268"/>
      </w:pPr>
      <w:r>
        <w:t xml:space="preserve">What is the default rate-lock window per corridor, and who absorbs movement beyond it?</w:t>
      </w:r>
    </w:p>
    <w:p>
      <w:pPr>
        <w:pStyle w:val="ListParagraph"/>
        <w:numPr>
          <w:ilvl w:val="0"/>
          <w:numId w:val="2"/>
        </w:numPr>
        <w:spacing w:after="60" w:line="268"/>
      </w:pPr>
      <w:r>
        <w:t xml:space="preserve">Do we expose the FX spread explicitly, or present rate-inclusive amounts only?</w:t>
      </w:r>
    </w:p>
    <w:p>
      <w:pPr>
        <w:pStyle w:val="ListParagraph"/>
        <w:numPr>
          <w:ilvl w:val="0"/>
          <w:numId w:val="2"/>
        </w:numPr>
        <w:spacing w:after="60" w:line="268"/>
      </w:pPr>
      <w:r>
        <w:t xml:space="preserve">Cross-merchant Link: opt-in per merchant or global to Afriex? What is the re-auth cadence?</w:t>
      </w:r>
    </w:p>
    <w:p>
      <w:pPr>
        <w:pStyle w:val="ListParagraph"/>
        <w:numPr>
          <w:ilvl w:val="0"/>
          <w:numId w:val="2"/>
        </w:numPr>
        <w:spacing w:after="60" w:line="268"/>
      </w:pPr>
      <w:r>
        <w:t xml:space="preserve">Refund policy and mechanics for over/underpayment on bank-transfer channels.</w:t>
      </w:r>
    </w:p>
    <w:p>
      <w:pPr>
        <w:pStyle w:val="ListParagraph"/>
        <w:numPr>
          <w:ilvl w:val="0"/>
          <w:numId w:val="2"/>
        </w:numPr>
        <w:spacing w:after="60" w:line="268"/>
      </w:pPr>
      <w:r>
        <w:t xml:space="preserve">Minimum viable set of channels per corridor for Phase 1 based on partner readiness.</w:t>
      </w:r>
    </w:p>
    <w:p>
      <w:pPr>
        <w:pStyle w:val="Heading1"/>
        <w:spacing w:after="140" w:before="320"/>
      </w:pPr>
      <w:r>
        <w:rPr>
          <w:b/>
          <w:bCs/>
          <w:color w:val="14121F"/>
        </w:rPr>
        <w:t xml:space="preserve">11. Appendix — screen inventory</w:t>
      </w:r>
    </w:p>
    <w:tbl>
      <w:tblPr>
        <w:tblW w:type="dxa" w:w="9360"/>
        <w:tblBorders>
          <w:top w:val="single" w:color="D9D5E8" w:sz="4"/>
          <w:left w:val="single" w:color="D9D5E8" w:sz="4"/>
          <w:bottom w:val="single" w:color="D9D5E8" w:sz="4"/>
          <w:right w:val="single" w:color="D9D5E8" w:sz="4"/>
          <w:insideH w:val="single" w:color="D9D5E8" w:sz="4"/>
          <w:insideV w:val="single" w:color="D9D5E8" w:sz="4"/>
        </w:tblBorders>
      </w:tblPr>
      <w:tblGrid>
        <w:gridCol w:w="2100"/>
        <w:gridCol w:w="2700"/>
        <w:gridCol w:w="4560"/>
      </w:tblGrid>
      <w:tr>
        <w:trPr>
          <w:tblHeader/>
        </w:trPr>
        <w:tc>
          <w:tcPr>
            <w:tcW w:type="dxa" w:w="2100"/>
            <w:shd w:fill="5B3DF5" w:color="auto" w:val="clear"/>
            <w:tcMar>
              <w:top w:type="dxa" w:w="70"/>
              <w:left w:type="dxa" w:w="110"/>
              <w:bottom w:type="dxa" w:w="70"/>
              <w:right w:type="dxa" w:w="110"/>
            </w:tcMar>
          </w:tcPr>
          <w:p>
            <w:pPr>
              <w:jc w:val="left"/>
            </w:pPr>
            <w:r>
              <w:rPr>
                <w:b/>
                <w:bCs/>
                <w:color w:val="FFFFFF"/>
                <w:sz w:val="19"/>
                <w:szCs w:val="19"/>
              </w:rPr>
              <w:t xml:space="preserve">Screen</w:t>
            </w:r>
          </w:p>
        </w:tc>
        <w:tc>
          <w:tcPr>
            <w:tcW w:type="dxa" w:w="2700"/>
            <w:shd w:fill="5B3DF5" w:color="auto" w:val="clear"/>
            <w:tcMar>
              <w:top w:type="dxa" w:w="70"/>
              <w:left w:type="dxa" w:w="110"/>
              <w:bottom w:type="dxa" w:w="70"/>
              <w:right w:type="dxa" w:w="110"/>
            </w:tcMar>
          </w:tcPr>
          <w:p>
            <w:pPr>
              <w:jc w:val="left"/>
            </w:pPr>
            <w:r>
              <w:rPr>
                <w:b/>
                <w:bCs/>
                <w:color w:val="FFFFFF"/>
                <w:sz w:val="19"/>
                <w:szCs w:val="19"/>
              </w:rPr>
              <w:t xml:space="preserve">Purpose</w:t>
            </w:r>
          </w:p>
        </w:tc>
        <w:tc>
          <w:tcPr>
            <w:tcW w:type="dxa" w:w="4560"/>
            <w:shd w:fill="5B3DF5" w:color="auto" w:val="clear"/>
            <w:tcMar>
              <w:top w:type="dxa" w:w="70"/>
              <w:left w:type="dxa" w:w="110"/>
              <w:bottom w:type="dxa" w:w="70"/>
              <w:right w:type="dxa" w:w="110"/>
            </w:tcMar>
          </w:tcPr>
          <w:p>
            <w:pPr>
              <w:jc w:val="left"/>
            </w:pPr>
            <w:r>
              <w:rPr>
                <w:b/>
                <w:bCs/>
                <w:color w:val="FFFFFF"/>
                <w:sz w:val="19"/>
                <w:szCs w:val="19"/>
              </w:rPr>
              <w:t xml:space="preserve">Key elements</w:t>
            </w:r>
          </w:p>
        </w:tc>
      </w:tr>
      <w:tr>
        <w:tc>
          <w:tcPr>
            <w:tcW w:type="dxa" w:w="2100"/>
            <w:tcMar>
              <w:top w:type="dxa" w:w="60"/>
              <w:left w:type="dxa" w:w="110"/>
              <w:bottom w:type="dxa" w:w="60"/>
              <w:right w:type="dxa" w:w="110"/>
            </w:tcMar>
          </w:tcPr>
          <w:p>
            <w:r>
              <w:rPr>
                <w:color w:val="14121F"/>
                <w:sz w:val="19"/>
                <w:szCs w:val="19"/>
              </w:rPr>
              <w:t xml:space="preserve">1–2 Amount &amp; currency</w:t>
            </w:r>
          </w:p>
        </w:tc>
        <w:tc>
          <w:tcPr>
            <w:tcW w:type="dxa" w:w="2700"/>
            <w:tcMar>
              <w:top w:type="dxa" w:w="60"/>
              <w:left w:type="dxa" w:w="110"/>
              <w:bottom w:type="dxa" w:w="60"/>
              <w:right w:type="dxa" w:w="110"/>
            </w:tcMar>
          </w:tcPr>
          <w:p>
            <w:r>
              <w:rPr>
                <w:color w:val="14121F"/>
                <w:sz w:val="19"/>
                <w:szCs w:val="19"/>
              </w:rPr>
              <w:t xml:space="preserve">Show amount due, pick pay-in currency</w:t>
            </w:r>
          </w:p>
        </w:tc>
        <w:tc>
          <w:tcPr>
            <w:tcW w:type="dxa" w:w="4560"/>
            <w:tcMar>
              <w:top w:type="dxa" w:w="60"/>
              <w:left w:type="dxa" w:w="110"/>
              <w:bottom w:type="dxa" w:w="60"/>
              <w:right w:type="dxa" w:w="110"/>
            </w:tcMar>
          </w:tcPr>
          <w:p>
            <w:r>
              <w:rPr>
                <w:color w:val="14121F"/>
                <w:sz w:val="19"/>
                <w:szCs w:val="19"/>
              </w:rPr>
              <w:t xml:space="preserve">Merchant header, amount box, currency list with converted amount + rate</w:t>
            </w:r>
          </w:p>
        </w:tc>
      </w:tr>
      <w:tr>
        <w:tc>
          <w:tcPr>
            <w:tcW w:type="dxa" w:w="2100"/>
            <w:shd w:fill="F7F6FC" w:color="auto" w:val="clear"/>
            <w:tcMar>
              <w:top w:type="dxa" w:w="60"/>
              <w:left w:type="dxa" w:w="110"/>
              <w:bottom w:type="dxa" w:w="60"/>
              <w:right w:type="dxa" w:w="110"/>
            </w:tcMar>
          </w:tcPr>
          <w:p>
            <w:r>
              <w:rPr>
                <w:color w:val="14121F"/>
                <w:sz w:val="19"/>
                <w:szCs w:val="19"/>
              </w:rPr>
              <w:t xml:space="preserve">3 Channel</w:t>
            </w:r>
          </w:p>
        </w:tc>
        <w:tc>
          <w:tcPr>
            <w:tcW w:type="dxa" w:w="2700"/>
            <w:shd w:fill="F7F6FC" w:color="auto" w:val="clear"/>
            <w:tcMar>
              <w:top w:type="dxa" w:w="60"/>
              <w:left w:type="dxa" w:w="110"/>
              <w:bottom w:type="dxa" w:w="60"/>
              <w:right w:type="dxa" w:w="110"/>
            </w:tcMar>
          </w:tcPr>
          <w:p>
            <w:r>
              <w:rPr>
                <w:color w:val="14121F"/>
                <w:sz w:val="19"/>
                <w:szCs w:val="19"/>
              </w:rPr>
              <w:t xml:space="preserve">Pick channel valid for chosen currency</w:t>
            </w:r>
          </w:p>
        </w:tc>
        <w:tc>
          <w:tcPr>
            <w:tcW w:type="dxa" w:w="4560"/>
            <w:shd w:fill="F7F6FC" w:color="auto" w:val="clear"/>
            <w:tcMar>
              <w:top w:type="dxa" w:w="60"/>
              <w:left w:type="dxa" w:w="110"/>
              <w:bottom w:type="dxa" w:w="60"/>
              <w:right w:type="dxa" w:w="110"/>
            </w:tcMar>
          </w:tcPr>
          <w:p>
            <w:r>
              <w:rPr>
                <w:color w:val="14121F"/>
                <w:sz w:val="19"/>
                <w:szCs w:val="19"/>
              </w:rPr>
              <w:t xml:space="preserve">Channel list, rate-lock chip, back-to-currency</w:t>
            </w:r>
          </w:p>
        </w:tc>
      </w:tr>
      <w:tr>
        <w:tc>
          <w:tcPr>
            <w:tcW w:type="dxa" w:w="2100"/>
            <w:tcMar>
              <w:top w:type="dxa" w:w="60"/>
              <w:left w:type="dxa" w:w="110"/>
              <w:bottom w:type="dxa" w:w="60"/>
              <w:right w:type="dxa" w:w="110"/>
            </w:tcMar>
          </w:tcPr>
          <w:p>
            <w:r>
              <w:rPr>
                <w:color w:val="14121F"/>
                <w:sz w:val="19"/>
                <w:szCs w:val="19"/>
              </w:rPr>
              <w:t xml:space="preserve">4 Details + save</w:t>
            </w:r>
          </w:p>
        </w:tc>
        <w:tc>
          <w:tcPr>
            <w:tcW w:type="dxa" w:w="2700"/>
            <w:tcMar>
              <w:top w:type="dxa" w:w="60"/>
              <w:left w:type="dxa" w:w="110"/>
              <w:bottom w:type="dxa" w:w="60"/>
              <w:right w:type="dxa" w:w="110"/>
            </w:tcMar>
          </w:tcPr>
          <w:p>
            <w:r>
              <w:rPr>
                <w:color w:val="14121F"/>
                <w:sz w:val="19"/>
                <w:szCs w:val="19"/>
              </w:rPr>
              <w:t xml:space="preserve">Capture payer info, offer Link save</w:t>
            </w:r>
          </w:p>
        </w:tc>
        <w:tc>
          <w:tcPr>
            <w:tcW w:type="dxa" w:w="4560"/>
            <w:tcMar>
              <w:top w:type="dxa" w:w="60"/>
              <w:left w:type="dxa" w:w="110"/>
              <w:bottom w:type="dxa" w:w="60"/>
              <w:right w:type="dxa" w:w="110"/>
            </w:tcMar>
          </w:tcPr>
          <w:p>
            <w:r>
              <w:rPr>
                <w:color w:val="14121F"/>
                <w:sz w:val="19"/>
                <w:szCs w:val="19"/>
              </w:rPr>
              <w:t xml:space="preserve">Name/email/phone, Afriex Link save toggle</w:t>
            </w:r>
          </w:p>
        </w:tc>
      </w:tr>
      <w:tr>
        <w:tc>
          <w:tcPr>
            <w:tcW w:type="dxa" w:w="2100"/>
            <w:shd w:fill="F7F6FC" w:color="auto" w:val="clear"/>
            <w:tcMar>
              <w:top w:type="dxa" w:w="60"/>
              <w:left w:type="dxa" w:w="110"/>
              <w:bottom w:type="dxa" w:w="60"/>
              <w:right w:type="dxa" w:w="110"/>
            </w:tcMar>
          </w:tcPr>
          <w:p>
            <w:r>
              <w:rPr>
                <w:color w:val="14121F"/>
                <w:sz w:val="19"/>
                <w:szCs w:val="19"/>
              </w:rPr>
              <w:t xml:space="preserve">5 Pay</w:t>
            </w:r>
          </w:p>
        </w:tc>
        <w:tc>
          <w:tcPr>
            <w:tcW w:type="dxa" w:w="2700"/>
            <w:shd w:fill="F7F6FC" w:color="auto" w:val="clear"/>
            <w:tcMar>
              <w:top w:type="dxa" w:w="60"/>
              <w:left w:type="dxa" w:w="110"/>
              <w:bottom w:type="dxa" w:w="60"/>
              <w:right w:type="dxa" w:w="110"/>
            </w:tcMar>
          </w:tcPr>
          <w:p>
            <w:r>
              <w:rPr>
                <w:color w:val="14121F"/>
                <w:sz w:val="19"/>
                <w:szCs w:val="19"/>
              </w:rPr>
              <w:t xml:space="preserve">Channel-specific payment</w:t>
            </w:r>
          </w:p>
        </w:tc>
        <w:tc>
          <w:tcPr>
            <w:tcW w:type="dxa" w:w="4560"/>
            <w:shd w:fill="F7F6FC" w:color="auto" w:val="clear"/>
            <w:tcMar>
              <w:top w:type="dxa" w:w="60"/>
              <w:left w:type="dxa" w:w="110"/>
              <w:bottom w:type="dxa" w:w="60"/>
              <w:right w:type="dxa" w:w="110"/>
            </w:tcMar>
          </w:tcPr>
          <w:p>
            <w:r>
              <w:rPr>
                <w:color w:val="14121F"/>
                <w:sz w:val="19"/>
                <w:szCs w:val="19"/>
              </w:rPr>
              <w:t xml:space="preserve">Virtual account details, countdown, cost breakdown</w:t>
            </w:r>
          </w:p>
        </w:tc>
      </w:tr>
      <w:tr>
        <w:tc>
          <w:tcPr>
            <w:tcW w:type="dxa" w:w="2100"/>
            <w:tcMar>
              <w:top w:type="dxa" w:w="60"/>
              <w:left w:type="dxa" w:w="110"/>
              <w:bottom w:type="dxa" w:w="60"/>
              <w:right w:type="dxa" w:w="110"/>
            </w:tcMar>
          </w:tcPr>
          <w:p>
            <w:r>
              <w:rPr>
                <w:color w:val="14121F"/>
                <w:sz w:val="19"/>
                <w:szCs w:val="19"/>
              </w:rPr>
              <w:t xml:space="preserve">6 Confirmation</w:t>
            </w:r>
          </w:p>
        </w:tc>
        <w:tc>
          <w:tcPr>
            <w:tcW w:type="dxa" w:w="2700"/>
            <w:tcMar>
              <w:top w:type="dxa" w:w="60"/>
              <w:left w:type="dxa" w:w="110"/>
              <w:bottom w:type="dxa" w:w="60"/>
              <w:right w:type="dxa" w:w="110"/>
            </w:tcMar>
          </w:tcPr>
          <w:p>
            <w:r>
              <w:rPr>
                <w:color w:val="14121F"/>
                <w:sz w:val="19"/>
                <w:szCs w:val="19"/>
              </w:rPr>
              <w:t xml:space="preserve">Success + receipt</w:t>
            </w:r>
          </w:p>
        </w:tc>
        <w:tc>
          <w:tcPr>
            <w:tcW w:type="dxa" w:w="4560"/>
            <w:tcMar>
              <w:top w:type="dxa" w:w="60"/>
              <w:left w:type="dxa" w:w="110"/>
              <w:bottom w:type="dxa" w:w="60"/>
              <w:right w:type="dxa" w:w="110"/>
            </w:tcMar>
          </w:tcPr>
          <w:p>
            <w:r>
              <w:rPr>
                <w:color w:val="14121F"/>
                <w:sz w:val="19"/>
                <w:szCs w:val="19"/>
              </w:rPr>
              <w:t xml:space="preserve">Success state, reference, paid vs. received, saved-method badge</w:t>
            </w:r>
          </w:p>
        </w:tc>
      </w:tr>
      <w:tr>
        <w:tc>
          <w:tcPr>
            <w:tcW w:type="dxa" w:w="2100"/>
            <w:shd w:fill="F7F6FC" w:color="auto" w:val="clear"/>
            <w:tcMar>
              <w:top w:type="dxa" w:w="60"/>
              <w:left w:type="dxa" w:w="110"/>
              <w:bottom w:type="dxa" w:w="60"/>
              <w:right w:type="dxa" w:w="110"/>
            </w:tcMar>
          </w:tcPr>
          <w:p>
            <w:r>
              <w:rPr>
                <w:color w:val="14121F"/>
                <w:sz w:val="19"/>
                <w:szCs w:val="19"/>
              </w:rPr>
              <w:t xml:space="preserve">Returning payer (Link)</w:t>
            </w:r>
          </w:p>
        </w:tc>
        <w:tc>
          <w:tcPr>
            <w:tcW w:type="dxa" w:w="2700"/>
            <w:shd w:fill="F7F6FC" w:color="auto" w:val="clear"/>
            <w:tcMar>
              <w:top w:type="dxa" w:w="60"/>
              <w:left w:type="dxa" w:w="110"/>
              <w:bottom w:type="dxa" w:w="60"/>
              <w:right w:type="dxa" w:w="110"/>
            </w:tcMar>
          </w:tcPr>
          <w:p>
            <w:r>
              <w:rPr>
                <w:color w:val="14121F"/>
                <w:sz w:val="19"/>
                <w:szCs w:val="19"/>
              </w:rPr>
              <w:t xml:space="preserve">1-tap reuse</w:t>
            </w:r>
          </w:p>
        </w:tc>
        <w:tc>
          <w:tcPr>
            <w:tcW w:type="dxa" w:w="4560"/>
            <w:shd w:fill="F7F6FC" w:color="auto" w:val="clear"/>
            <w:tcMar>
              <w:top w:type="dxa" w:w="60"/>
              <w:left w:type="dxa" w:w="110"/>
              <w:bottom w:type="dxa" w:w="60"/>
              <w:right w:type="dxa" w:w="110"/>
            </w:tcMar>
          </w:tcPr>
          <w:p>
            <w:r>
              <w:rPr>
                <w:color w:val="14121F"/>
                <w:sz w:val="19"/>
                <w:szCs w:val="19"/>
              </w:rPr>
              <w:t xml:space="preserve">Recognition banner, saved method, pre-converted amount, change option</w:t>
            </w:r>
          </w:p>
        </w:tc>
      </w:tr>
      <w:tr>
        <w:tc>
          <w:tcPr>
            <w:tcW w:type="dxa" w:w="2100"/>
            <w:tcMar>
              <w:top w:type="dxa" w:w="60"/>
              <w:left w:type="dxa" w:w="110"/>
              <w:bottom w:type="dxa" w:w="60"/>
              <w:right w:type="dxa" w:w="110"/>
            </w:tcMar>
          </w:tcPr>
          <w:p>
            <w:r>
              <w:rPr>
                <w:color w:val="14121F"/>
                <w:sz w:val="19"/>
                <w:szCs w:val="19"/>
              </w:rPr>
              <w:t xml:space="preserve">Merchant create</w:t>
            </w:r>
          </w:p>
        </w:tc>
        <w:tc>
          <w:tcPr>
            <w:tcW w:type="dxa" w:w="2700"/>
            <w:tcMar>
              <w:top w:type="dxa" w:w="60"/>
              <w:left w:type="dxa" w:w="110"/>
              <w:bottom w:type="dxa" w:w="60"/>
              <w:right w:type="dxa" w:w="110"/>
            </w:tcMar>
          </w:tcPr>
          <w:p>
            <w:r>
              <w:rPr>
                <w:color w:val="14121F"/>
                <w:sz w:val="19"/>
                <w:szCs w:val="19"/>
              </w:rPr>
              <w:t xml:space="preserve">Configure checkout page</w:t>
            </w:r>
          </w:p>
        </w:tc>
        <w:tc>
          <w:tcPr>
            <w:tcW w:type="dxa" w:w="4560"/>
            <w:tcMar>
              <w:top w:type="dxa" w:w="60"/>
              <w:left w:type="dxa" w:w="110"/>
              <w:bottom w:type="dxa" w:w="60"/>
              <w:right w:type="dxa" w:w="110"/>
            </w:tcMar>
          </w:tcPr>
          <w:p>
            <w:r>
              <w:rPr>
                <w:color w:val="14121F"/>
                <w:sz w:val="19"/>
                <w:szCs w:val="19"/>
              </w:rPr>
              <w:t xml:space="preserve">Amount, settlement currency, currency multi-select, channel multi-select, Link toggle, generate link</w:t>
            </w:r>
          </w:p>
        </w:tc>
      </w:tr>
    </w:tbl>
    <w:p>
      <w:pPr>
        <w:pBdr>
          <w:bottom w:val="single" w:color="D9D5E8" w:sz="6"/>
        </w:pBdr>
        <w:spacing w:after="160" w:before="60"/>
      </w:pPr>
    </w:p>
    <w:p>
      <w:pPr>
        <w:spacing w:after="120" w:line="276"/>
      </w:pPr>
      <w:r>
        <w:rPr>
          <w:i/>
          <w:iCs/>
          <w:color w:val="6B6880"/>
        </w:rPr>
        <w:t xml:space="preserve">Companion prototype: </w:t>
      </w:r>
      <w:r>
        <w:rPr>
          <w:i/>
          <w:iCs/>
          <w:color w:val="5B3DF5"/>
        </w:rPr>
        <w:t xml:space="preserve">afriex-collect-checkout-mockup.html</w:t>
      </w:r>
      <w:r>
        <w:rPr>
          <w:i/>
          <w:iCs/>
          <w:color w:val="6B6880"/>
        </w:rPr>
        <w:t xml:space="preserve"> — open in a browser and click through both the payer and merchant tabs.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5E8" w:sz="4"/>
      </w:pBdr>
      <w:spacing w:before="100"/>
      <w:jc w:val="center"/>
    </w:pPr>
    <w:r>
      <w:rPr>
        <w:color w:val="6B6880"/>
        <w:sz w:val="16"/>
        <w:szCs w:val="16"/>
      </w:rPr>
      <w:t xml:space="preserve">Afriex Collect — Multi-Currency Checkout PRD  ·  Confidential  ·  Page </w:t>
    </w:r>
    <w:r>
      <w:rPr>
        <w:color w:val="6B68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rPr>
        <w:color w:val="5B3DF5"/>
      </w:rPr>
    </w:lvl>
    <w:lvl w:ilvl="1" w15:tentative="1">
      <w:start w:val="1"/>
      <w:numFmt w:val="bullet"/>
      <w:lvlText w:val="–"/>
      <w:lvlJc w:val="left"/>
      <w:pPr>
        <w:ind w:left="900" w:hanging="240"/>
      </w:pPr>
    </w:lvl>
  </w:abstractNum>
  <w:abstractNum w:abstractNumId="3" w15:restartNumberingAfterBreak="0">
    <w:multiLevelType w:val="hybridMultilevel"/>
    <w:lvl w:ilvl="0" w15:tentative="1">
      <w:start w:val="1"/>
      <w:numFmt w:val="decimal"/>
      <w:lvlText w:val="%1."/>
      <w:lvlJc w:val="left"/>
      <w:pPr>
        <w:ind w:left="460" w:hanging="260"/>
      </w:pPr>
      <w:rPr>
        <w:b/>
        <w:bCs/>
        <w:color w:val="5B3DF5"/>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4121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pPr>
    <w:rPr>
      <w:rFonts w:ascii="Calibri" w:cs="Calibri" w:eastAsia="Calibri" w:hAnsi="Calibri"/>
      <w:b/>
      <w:bCs/>
      <w:color w:val="14121F"/>
      <w:sz w:val="30"/>
      <w:szCs w:val="30"/>
    </w:rPr>
  </w:style>
  <w:style w:type="paragraph" w:styleId="Heading2">
    <w:name w:val="Heading 2"/>
    <w:basedOn w:val="Normal"/>
    <w:next w:val="Normal"/>
    <w:qFormat/>
    <w:pPr>
      <w:spacing w:after="100" w:before="240"/>
    </w:pPr>
    <w:rPr>
      <w:rFonts w:ascii="Calibri" w:cs="Calibri" w:eastAsia="Calibri" w:hAnsi="Calibri"/>
      <w:b/>
      <w:bCs/>
      <w:color w:val="5B3DF5"/>
      <w:sz w:val="25"/>
      <w:szCs w:val="25"/>
    </w:rPr>
  </w:style>
  <w:style w:type="paragraph" w:styleId="Heading3">
    <w:name w:val="Heading 3"/>
    <w:basedOn w:val="Normal"/>
    <w:next w:val="Normal"/>
    <w:qFormat/>
    <w:pPr>
      <w:spacing w:after="70" w:before="180"/>
    </w:pPr>
    <w:rPr>
      <w:rFonts w:ascii="Calibri" w:cs="Calibri" w:eastAsia="Calibri" w:hAnsi="Calibri"/>
      <w:b/>
      <w:bCs/>
      <w:color w:val="14121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Afriex Collect — Multi-Currency Checkout PRD</dc:title>
  <dc:creator>Afriex</dc:creator>
  <cp:lastModifiedBy>Un-named</cp:lastModifiedBy>
  <cp:revision>1</cp:revision>
  <dcterms:created xsi:type="dcterms:W3CDTF">2026-07-31T18:02:24.768Z</dcterms:created>
  <dcterms:modified xsi:type="dcterms:W3CDTF">2026-07-31T18:02:24.768Z</dcterms:modified>
</cp:coreProperties>
</file>

<file path=docProps/custom.xml><?xml version="1.0" encoding="utf-8"?>
<Properties xmlns="http://schemas.openxmlformats.org/officeDocument/2006/custom-properties" xmlns:vt="http://schemas.openxmlformats.org/officeDocument/2006/docPropsVTypes"/>
</file>