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5B3DF5"/>
          <w:spacing w:val="40"/>
          <w:sz w:val="30"/>
          <w:szCs w:val="30"/>
        </w:rPr>
        <w:t xml:space="preserve">AFRIEX</w:t>
      </w:r>
    </w:p>
    <w:p>
      <w:pPr>
        <w:spacing w:after="40"/>
      </w:pPr>
      <w:r>
        <w:rPr>
          <w:color w:val="6B6880"/>
          <w:sz w:val="24"/>
          <w:szCs w:val="24"/>
        </w:rPr>
        <w:t xml:space="preserve">Product Requirements Document</w:t>
      </w:r>
    </w:p>
    <w:p>
      <w:pPr>
        <w:spacing w:after="60" w:before="60"/>
      </w:pPr>
      <w:r>
        <w:rPr>
          <w:b/>
          <w:bCs/>
          <w:color w:val="14121F"/>
          <w:sz w:val="52"/>
          <w:szCs w:val="52"/>
        </w:rPr>
        <w:t xml:space="preserve">Send to China — CNAPS-Guided Transfers</w:t>
      </w:r>
    </w:p>
    <w:p>
      <w:pPr>
        <w:spacing w:after="400"/>
      </w:pPr>
      <w:r>
        <w:rPr>
          <w:i/>
          <w:iCs/>
          <w:color w:val="6B6880"/>
          <w:sz w:val="24"/>
          <w:szCs w:val="24"/>
        </w:rPr>
        <w:t xml:space="preserve">Removing CNAPS-code friction by mapping every supported bank and branch, so senders select routing details from dropdowns instead of sourcing a 12-digit code.</w:t>
      </w:r>
    </w:p>
    <w:tbl>
      <w:tblPr>
        <w:tblW w:type="dxa" w:w="6200"/>
        <w:tblBorders>
          <w:top w:val="none"/>
          <w:left w:val="none"/>
          <w:bottom w:val="none"/>
          <w:right w:val="none"/>
          <w:insideH w:val="single" w:color="D9D5E8" w:sz="4"/>
          <w:insideV w:val="none"/>
        </w:tblBorders>
      </w:tblPr>
      <w:tblGrid>
        <w:gridCol w:w="2100"/>
        <w:gridCol w:w="4100"/>
      </w:tblGrid>
      <w:tr>
        <w:tc>
          <w:tcPr>
            <w:tcW w:type="dxa" w:w="2100"/>
            <w:tcMar>
              <w:top w:type="dxa" w:w="60"/>
              <w:left w:type="dxa" w:w="0"/>
              <w:bottom w:type="dxa" w:w="60"/>
              <w:right w:type="dxa" w:w="80"/>
            </w:tcMar>
          </w:tcPr>
          <w:p>
            <w:r>
              <w:rPr>
                <w:b/>
                <w:bCs/>
                <w:color w:val="6B6880"/>
                <w:sz w:val="19"/>
                <w:szCs w:val="19"/>
              </w:rPr>
              <w:t xml:space="preserve">Product area</w:t>
            </w:r>
          </w:p>
        </w:tc>
        <w:tc>
          <w:tcPr>
            <w:tcW w:type="dxa" w:w="4100"/>
            <w:tcMar>
              <w:top w:type="dxa" w:w="60"/>
              <w:left w:type="dxa" w:w="80"/>
              <w:bottom w:type="dxa" w:w="60"/>
              <w:right w:type="dxa" w:w="0"/>
            </w:tcMar>
          </w:tcPr>
          <w:p>
            <w:r>
              <w:rPr>
                <w:color w:val="14121F"/>
                <w:sz w:val="19"/>
                <w:szCs w:val="19"/>
              </w:rPr>
              <w:t xml:space="preserve">Afriex Transfers · China (CNY) corridor</w:t>
            </w:r>
          </w:p>
        </w:tc>
      </w:tr>
      <w:tr>
        <w:tc>
          <w:tcPr>
            <w:tcW w:type="dxa" w:w="2100"/>
            <w:tcMar>
              <w:top w:type="dxa" w:w="60"/>
              <w:left w:type="dxa" w:w="0"/>
              <w:bottom w:type="dxa" w:w="60"/>
              <w:right w:type="dxa" w:w="80"/>
            </w:tcMar>
          </w:tcPr>
          <w:p>
            <w:r>
              <w:rPr>
                <w:b/>
                <w:bCs/>
                <w:color w:val="6B6880"/>
                <w:sz w:val="19"/>
                <w:szCs w:val="19"/>
              </w:rPr>
              <w:t xml:space="preserve">Document owner</w:t>
            </w:r>
          </w:p>
        </w:tc>
        <w:tc>
          <w:tcPr>
            <w:tcW w:type="dxa" w:w="4100"/>
            <w:tcMar>
              <w:top w:type="dxa" w:w="60"/>
              <w:left w:type="dxa" w:w="80"/>
              <w:bottom w:type="dxa" w:w="60"/>
              <w:right w:type="dxa" w:w="0"/>
            </w:tcMar>
          </w:tcPr>
          <w:p>
            <w:r>
              <w:rPr>
                <w:color w:val="14121F"/>
                <w:sz w:val="19"/>
                <w:szCs w:val="19"/>
              </w:rPr>
              <w:t xml:space="preserve">Ifeanyi (ifeanyi@afriex.co)</w:t>
            </w:r>
          </w:p>
        </w:tc>
      </w:tr>
      <w:tr>
        <w:tc>
          <w:tcPr>
            <w:tcW w:type="dxa" w:w="2100"/>
            <w:tcMar>
              <w:top w:type="dxa" w:w="60"/>
              <w:left w:type="dxa" w:w="0"/>
              <w:bottom w:type="dxa" w:w="60"/>
              <w:right w:type="dxa" w:w="80"/>
            </w:tcMar>
          </w:tcPr>
          <w:p>
            <w:r>
              <w:rPr>
                <w:b/>
                <w:bCs/>
                <w:color w:val="6B6880"/>
                <w:sz w:val="19"/>
                <w:szCs w:val="19"/>
              </w:rPr>
              <w:t xml:space="preserve">Status</w:t>
            </w:r>
          </w:p>
        </w:tc>
        <w:tc>
          <w:tcPr>
            <w:tcW w:type="dxa" w:w="4100"/>
            <w:tcMar>
              <w:top w:type="dxa" w:w="60"/>
              <w:left w:type="dxa" w:w="80"/>
              <w:bottom w:type="dxa" w:w="60"/>
              <w:right w:type="dxa" w:w="0"/>
            </w:tcMar>
          </w:tcPr>
          <w:p>
            <w:r>
              <w:rPr>
                <w:color w:val="14121F"/>
                <w:sz w:val="19"/>
                <w:szCs w:val="19"/>
              </w:rPr>
              <w:t xml:space="preserve">Draft for review</w:t>
            </w:r>
          </w:p>
        </w:tc>
      </w:tr>
      <w:tr>
        <w:tc>
          <w:tcPr>
            <w:tcW w:type="dxa" w:w="2100"/>
            <w:tcMar>
              <w:top w:type="dxa" w:w="60"/>
              <w:left w:type="dxa" w:w="0"/>
              <w:bottom w:type="dxa" w:w="60"/>
              <w:right w:type="dxa" w:w="80"/>
            </w:tcMar>
          </w:tcPr>
          <w:p>
            <w:r>
              <w:rPr>
                <w:b/>
                <w:bCs/>
                <w:color w:val="6B6880"/>
                <w:sz w:val="19"/>
                <w:szCs w:val="19"/>
              </w:rPr>
              <w:t xml:space="preserve">Version</w:t>
            </w:r>
          </w:p>
        </w:tc>
        <w:tc>
          <w:tcPr>
            <w:tcW w:type="dxa" w:w="4100"/>
            <w:tcMar>
              <w:top w:type="dxa" w:w="60"/>
              <w:left w:type="dxa" w:w="80"/>
              <w:bottom w:type="dxa" w:w="60"/>
              <w:right w:type="dxa" w:w="0"/>
            </w:tcMar>
          </w:tcPr>
          <w:p>
            <w:r>
              <w:rPr>
                <w:color w:val="14121F"/>
                <w:sz w:val="19"/>
                <w:szCs w:val="19"/>
              </w:rPr>
              <w:t xml:space="preserve">0.1</w:t>
            </w:r>
          </w:p>
        </w:tc>
      </w:tr>
      <w:tr>
        <w:tc>
          <w:tcPr>
            <w:tcW w:type="dxa" w:w="2100"/>
            <w:tcMar>
              <w:top w:type="dxa" w:w="60"/>
              <w:left w:type="dxa" w:w="0"/>
              <w:bottom w:type="dxa" w:w="60"/>
              <w:right w:type="dxa" w:w="80"/>
            </w:tcMar>
          </w:tcPr>
          <w:p>
            <w:r>
              <w:rPr>
                <w:b/>
                <w:bCs/>
                <w:color w:val="6B6880"/>
                <w:sz w:val="19"/>
                <w:szCs w:val="19"/>
              </w:rPr>
              <w:t xml:space="preserve">Date</w:t>
            </w:r>
          </w:p>
        </w:tc>
        <w:tc>
          <w:tcPr>
            <w:tcW w:type="dxa" w:w="4100"/>
            <w:tcMar>
              <w:top w:type="dxa" w:w="60"/>
              <w:left w:type="dxa" w:w="80"/>
              <w:bottom w:type="dxa" w:w="60"/>
              <w:right w:type="dxa" w:w="0"/>
            </w:tcMar>
          </w:tcPr>
          <w:p>
            <w:r>
              <w:rPr>
                <w:color w:val="14121F"/>
                <w:sz w:val="19"/>
                <w:szCs w:val="19"/>
              </w:rPr>
              <w:t xml:space="preserve">31 July 2026</w:t>
            </w:r>
          </w:p>
        </w:tc>
      </w:tr>
      <w:tr>
        <w:tc>
          <w:tcPr>
            <w:tcW w:type="dxa" w:w="2100"/>
            <w:tcMar>
              <w:top w:type="dxa" w:w="60"/>
              <w:left w:type="dxa" w:w="0"/>
              <w:bottom w:type="dxa" w:w="60"/>
              <w:right w:type="dxa" w:w="80"/>
            </w:tcMar>
          </w:tcPr>
          <w:p>
            <w:r>
              <w:rPr>
                <w:b/>
                <w:bCs/>
                <w:color w:val="6B6880"/>
                <w:sz w:val="19"/>
                <w:szCs w:val="19"/>
              </w:rPr>
              <w:t xml:space="preserve">Audience</w:t>
            </w:r>
          </w:p>
        </w:tc>
        <w:tc>
          <w:tcPr>
            <w:tcW w:type="dxa" w:w="4100"/>
            <w:tcMar>
              <w:top w:type="dxa" w:w="60"/>
              <w:left w:type="dxa" w:w="80"/>
              <w:bottom w:type="dxa" w:w="60"/>
              <w:right w:type="dxa" w:w="0"/>
            </w:tcMar>
          </w:tcPr>
          <w:p>
            <w:r>
              <w:rPr>
                <w:color w:val="14121F"/>
                <w:sz w:val="19"/>
                <w:szCs w:val="19"/>
              </w:rPr>
              <w:t xml:space="preserve">Engineering &amp; Design</w:t>
            </w:r>
          </w:p>
        </w:tc>
      </w:tr>
    </w:tbl>
    <w:p>
      <w:r>
        <w:br w:type="page"/>
      </w:r>
    </w:p>
    <w:p>
      <w:pPr>
        <w:pStyle w:val="Heading1"/>
        <w:spacing w:after="120"/>
      </w:pPr>
      <w:r>
        <w:rPr>
          <w:b/>
          <w:bCs/>
          <w:color w:val="14121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color w:val="14121F"/>
        </w:rPr>
        <w:t xml:space="preserve">1. Overview</w:t>
      </w:r>
    </w:p>
    <w:p>
      <w:pPr>
        <w:spacing w:after="120" w:line="276"/>
      </w:pPr>
      <w:r>
        <w:t xml:space="preserve">This PRD covers the redesign of Afriex's </w:t>
      </w:r>
      <w:r>
        <w:rPr>
          <w:b/>
          <w:bCs/>
        </w:rPr>
        <w:t xml:space="preserve">Send to China</w:t>
      </w:r>
      <w:r>
        <w:t xml:space="preserve"> flow for transfers settling in local currency (CNY). Domestic RMB settlement requires a </w:t>
      </w:r>
      <w:r>
        <w:rPr>
          <w:b/>
          <w:bCs/>
        </w:rPr>
        <w:t xml:space="preserve">CNAPS code</w:t>
      </w:r>
      <w:r>
        <w:t xml:space="preserve"> — a 12-digit China National Advanced Payment System identifier that routes a payment to the exact receiving bank branch. The rail requires it; the question is who does the work of finding it.</w:t>
      </w:r>
    </w:p>
    <w:p>
      <w:pPr>
        <w:spacing w:after="120" w:line="276"/>
      </w:pPr>
      <w:r>
        <w:t xml:space="preserve">An initial release exposed the CNAPS requirement directly, asking senders to source and enter the code, branch and postal details themselves. Reception was lukewarm: senders were accustomed to sending to China without ever handling a CNAPS code, so the added burden felt regressive and drove drop-off. This PRD moves the complexity from the customer to the product: Afriex maps every supported bank, branch and location to its CNAPS and postal code, and the sender simply selects </w:t>
      </w:r>
      <w:r>
        <w:rPr>
          <w:b/>
          <w:bCs/>
        </w:rPr>
        <w:t xml:space="preserve">Bank → Province → City → Branch</w:t>
      </w:r>
      <w:r>
        <w:t xml:space="preserve"> from dropdowns. The routing details resolve automatically.</w:t>
      </w:r>
    </w:p>
    <w:p>
      <w:pPr>
        <w:pStyle w:val="Heading2"/>
      </w:pPr>
      <w:r>
        <w:rPr>
          <w:b/>
          <w:bCs/>
          <w:color w:val="5B3DF5"/>
        </w:rPr>
        <w:t xml:space="preserve">1.1 Problem statement</w:t>
      </w:r>
    </w:p>
    <w:p>
      <w:pPr>
        <w:spacing w:after="120" w:line="276"/>
      </w:pPr>
      <w:r>
        <w:t xml:space="preserve">Cross-border transfers to China in CNY need accurate CNAPS branch routing. Requiring the sender to provide it produces two failures: friction (customers don't know or want to look up a 12-digit code, so they abandon) and errors (codes that are guessed or mistyped cause failed or misrouted transfers). Competing processors avoid both by resolving CNAPS in the background. Afriex must do the same.</w:t>
      </w:r>
    </w:p>
    <w:p>
      <w:pPr>
        <w:pStyle w:val="Heading2"/>
      </w:pPr>
      <w:r>
        <w:rPr>
          <w:b/>
          <w:bCs/>
          <w:color w:val="5B3DF5"/>
        </w:rPr>
        <w:t xml:space="preserve">1.2 Goals</w:t>
      </w:r>
    </w:p>
    <w:p>
      <w:pPr>
        <w:pStyle w:val="ListParagraph"/>
        <w:numPr>
          <w:ilvl w:val="0"/>
          <w:numId w:val="2"/>
        </w:numPr>
        <w:spacing w:after="60" w:line="268"/>
      </w:pPr>
      <w:r>
        <w:t xml:space="preserve">Eliminate manual CNAPS-code entry: the sender never types or looks up a routing code.</w:t>
      </w:r>
    </w:p>
    <w:p>
      <w:pPr>
        <w:pStyle w:val="ListParagraph"/>
        <w:numPr>
          <w:ilvl w:val="0"/>
          <w:numId w:val="2"/>
        </w:numPr>
        <w:spacing w:after="60" w:line="268"/>
      </w:pPr>
      <w:r>
        <w:t xml:space="preserve">Let the sender specify the recipient bank via cascading dropdowns (bank, province, city, branch).</w:t>
      </w:r>
    </w:p>
    <w:p>
      <w:pPr>
        <w:pStyle w:val="ListParagraph"/>
        <w:numPr>
          <w:ilvl w:val="0"/>
          <w:numId w:val="2"/>
        </w:numPr>
        <w:spacing w:after="60" w:line="268"/>
      </w:pPr>
      <w:r>
        <w:t xml:space="preserve">Auto-resolve and attach the correct CNAPS and postal code to every transfer.</w:t>
      </w:r>
    </w:p>
    <w:p>
      <w:pPr>
        <w:pStyle w:val="ListParagraph"/>
        <w:numPr>
          <w:ilvl w:val="0"/>
          <w:numId w:val="2"/>
        </w:numPr>
        <w:spacing w:after="60" w:line="268"/>
      </w:pPr>
      <w:r>
        <w:t xml:space="preserve">Collect only what is genuinely required from the sender (beneficiary identity and account), since sender details are on file.</w:t>
      </w:r>
    </w:p>
    <w:p>
      <w:pPr>
        <w:pStyle w:val="ListParagraph"/>
        <w:numPr>
          <w:ilvl w:val="0"/>
          <w:numId w:val="2"/>
        </w:numPr>
        <w:spacing w:after="60" w:line="268"/>
      </w:pPr>
      <w:r>
        <w:t xml:space="preserve">Reduce failed/misrouted transfers caused by incorrect routing details.</w:t>
      </w:r>
    </w:p>
    <w:p>
      <w:pPr>
        <w:pStyle w:val="ListParagraph"/>
        <w:numPr>
          <w:ilvl w:val="0"/>
          <w:numId w:val="2"/>
        </w:numPr>
        <w:spacing w:after="60" w:line="268"/>
      </w:pPr>
      <w:r>
        <w:t xml:space="preserve">Recover the adoption lost in the first release.</w:t>
      </w:r>
    </w:p>
    <w:p>
      <w:pPr>
        <w:pStyle w:val="Heading2"/>
      </w:pPr>
      <w:r>
        <w:rPr>
          <w:b/>
          <w:bCs/>
          <w:color w:val="5B3DF5"/>
        </w:rPr>
        <w:t xml:space="preserve">1.3 Non-goals</w:t>
      </w:r>
    </w:p>
    <w:p>
      <w:pPr>
        <w:pStyle w:val="ListParagraph"/>
        <w:numPr>
          <w:ilvl w:val="0"/>
          <w:numId w:val="2"/>
        </w:numPr>
        <w:spacing w:after="60" w:line="268"/>
      </w:pPr>
      <w:r>
        <w:t xml:space="preserve">Supporting currencies or corridors other than CNY to China.</w:t>
      </w:r>
    </w:p>
    <w:p>
      <w:pPr>
        <w:pStyle w:val="ListParagraph"/>
        <w:numPr>
          <w:ilvl w:val="0"/>
          <w:numId w:val="2"/>
        </w:numPr>
        <w:spacing w:after="60" w:line="268"/>
      </w:pPr>
      <w:r>
        <w:t xml:space="preserve">Free-text CNAPS entry as a primary path (may exist only as an advanced fallback).</w:t>
      </w:r>
    </w:p>
    <w:p>
      <w:pPr>
        <w:pStyle w:val="ListParagraph"/>
        <w:numPr>
          <w:ilvl w:val="0"/>
          <w:numId w:val="2"/>
        </w:numPr>
        <w:spacing w:after="60" w:line="268"/>
      </w:pPr>
      <w:r>
        <w:t xml:space="preserve">Real-time validation against the receiving bank's core system (handled downstream by the processor).</w:t>
      </w:r>
    </w:p>
    <w:p>
      <w:pPr>
        <w:pStyle w:val="ListParagraph"/>
        <w:numPr>
          <w:ilvl w:val="0"/>
          <w:numId w:val="2"/>
        </w:numPr>
        <w:spacing w:after="60" w:line="268"/>
      </w:pPr>
      <w:r>
        <w:t xml:space="preserve">Changes to sender onboarding/KYC, which are assumed already complete.</w:t>
      </w:r>
    </w:p>
    <w:p>
      <w:pPr>
        <w:pStyle w:val="Heading2"/>
      </w:pPr>
      <w:r>
        <w:rPr>
          <w:b/>
          <w:bCs/>
          <w:color w:val="5B3DF5"/>
        </w:rPr>
        <w:t xml:space="preserve">1.4 Success metrics</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600"/>
        <w:gridCol w:w="4260"/>
        <w:gridCol w:w="2500"/>
      </w:tblGrid>
      <w:tr>
        <w:trPr>
          <w:tblHeader/>
        </w:trPr>
        <w:tc>
          <w:tcPr>
            <w:tcW w:type="dxa" w:w="2600"/>
            <w:shd w:fill="5B3DF5" w:color="auto" w:val="clear"/>
            <w:tcMar>
              <w:top w:type="dxa" w:w="70"/>
              <w:left w:type="dxa" w:w="110"/>
              <w:bottom w:type="dxa" w:w="70"/>
              <w:right w:type="dxa" w:w="110"/>
            </w:tcMar>
          </w:tcPr>
          <w:p>
            <w:r>
              <w:rPr>
                <w:b/>
                <w:bCs/>
                <w:color w:val="FFFFFF"/>
                <w:sz w:val="19"/>
                <w:szCs w:val="19"/>
              </w:rPr>
              <w:t xml:space="preserve">Metric</w:t>
            </w:r>
          </w:p>
        </w:tc>
        <w:tc>
          <w:tcPr>
            <w:tcW w:type="dxa" w:w="4260"/>
            <w:shd w:fill="5B3DF5" w:color="auto" w:val="clear"/>
            <w:tcMar>
              <w:top w:type="dxa" w:w="70"/>
              <w:left w:type="dxa" w:w="110"/>
              <w:bottom w:type="dxa" w:w="70"/>
              <w:right w:type="dxa" w:w="110"/>
            </w:tcMar>
          </w:tcPr>
          <w:p>
            <w:r>
              <w:rPr>
                <w:b/>
                <w:bCs/>
                <w:color w:val="FFFFFF"/>
                <w:sz w:val="19"/>
                <w:szCs w:val="19"/>
              </w:rPr>
              <w:t xml:space="preserve">Definition</w:t>
            </w:r>
          </w:p>
        </w:tc>
        <w:tc>
          <w:tcPr>
            <w:tcW w:type="dxa" w:w="2500"/>
            <w:shd w:fill="5B3DF5" w:color="auto" w:val="clear"/>
            <w:tcMar>
              <w:top w:type="dxa" w:w="70"/>
              <w:left w:type="dxa" w:w="110"/>
              <w:bottom w:type="dxa" w:w="70"/>
              <w:right w:type="dxa" w:w="110"/>
            </w:tcMar>
          </w:tcPr>
          <w:p>
            <w:r>
              <w:rPr>
                <w:b/>
                <w:bCs/>
                <w:color w:val="FFFFFF"/>
                <w:sz w:val="19"/>
                <w:szCs w:val="19"/>
              </w:rPr>
              <w:t xml:space="preserve">Target</w:t>
            </w:r>
          </w:p>
        </w:tc>
      </w:tr>
      <w:tr>
        <w:tc>
          <w:tcPr>
            <w:tcW w:type="dxa" w:w="2600"/>
            <w:tcMar>
              <w:top w:type="dxa" w:w="60"/>
              <w:left w:type="dxa" w:w="110"/>
              <w:bottom w:type="dxa" w:w="60"/>
              <w:right w:type="dxa" w:w="110"/>
            </w:tcMar>
          </w:tcPr>
          <w:p>
            <w:r>
              <w:rPr>
                <w:color w:val="14121F"/>
                <w:sz w:val="19"/>
                <w:szCs w:val="19"/>
              </w:rPr>
              <w:t xml:space="preserve">Manual CNAPS entries</w:t>
            </w:r>
          </w:p>
        </w:tc>
        <w:tc>
          <w:tcPr>
            <w:tcW w:type="dxa" w:w="4260"/>
            <w:tcMar>
              <w:top w:type="dxa" w:w="60"/>
              <w:left w:type="dxa" w:w="110"/>
              <w:bottom w:type="dxa" w:w="60"/>
              <w:right w:type="dxa" w:w="110"/>
            </w:tcMar>
          </w:tcPr>
          <w:p>
            <w:r>
              <w:rPr>
                <w:color w:val="14121F"/>
                <w:sz w:val="19"/>
                <w:szCs w:val="19"/>
              </w:rPr>
              <w:t xml:space="preserve">Transfers where the sender typed a CNAPS code</w:t>
            </w:r>
          </w:p>
        </w:tc>
        <w:tc>
          <w:tcPr>
            <w:tcW w:type="dxa" w:w="2500"/>
            <w:tcMar>
              <w:top w:type="dxa" w:w="60"/>
              <w:left w:type="dxa" w:w="110"/>
              <w:bottom w:type="dxa" w:w="60"/>
              <w:right w:type="dxa" w:w="110"/>
            </w:tcMar>
          </w:tcPr>
          <w:p>
            <w:r>
              <w:rPr>
                <w:color w:val="14121F"/>
                <w:sz w:val="19"/>
                <w:szCs w:val="19"/>
              </w:rPr>
              <w:t xml:space="preserve">0 (dropdown-resolved)</w:t>
            </w:r>
          </w:p>
        </w:tc>
      </w:tr>
      <w:tr>
        <w:tc>
          <w:tcPr>
            <w:tcW w:type="dxa" w:w="2600"/>
            <w:shd w:fill="F7F6FC" w:color="auto" w:val="clear"/>
            <w:tcMar>
              <w:top w:type="dxa" w:w="60"/>
              <w:left w:type="dxa" w:w="110"/>
              <w:bottom w:type="dxa" w:w="60"/>
              <w:right w:type="dxa" w:w="110"/>
            </w:tcMar>
          </w:tcPr>
          <w:p>
            <w:r>
              <w:rPr>
                <w:color w:val="14121F"/>
                <w:sz w:val="19"/>
                <w:szCs w:val="19"/>
              </w:rPr>
              <w:t xml:space="preserve">Bank-details completion</w:t>
            </w:r>
          </w:p>
        </w:tc>
        <w:tc>
          <w:tcPr>
            <w:tcW w:type="dxa" w:w="4260"/>
            <w:shd w:fill="F7F6FC" w:color="auto" w:val="clear"/>
            <w:tcMar>
              <w:top w:type="dxa" w:w="60"/>
              <w:left w:type="dxa" w:w="110"/>
              <w:bottom w:type="dxa" w:w="60"/>
              <w:right w:type="dxa" w:w="110"/>
            </w:tcMar>
          </w:tcPr>
          <w:p>
            <w:r>
              <w:rPr>
                <w:color w:val="14121F"/>
                <w:sz w:val="19"/>
                <w:szCs w:val="19"/>
              </w:rPr>
              <w:t xml:space="preserve">% starting the flow who complete recipient bank details</w:t>
            </w:r>
          </w:p>
        </w:tc>
        <w:tc>
          <w:tcPr>
            <w:tcW w:type="dxa" w:w="2500"/>
            <w:shd w:fill="F7F6FC" w:color="auto" w:val="clear"/>
            <w:tcMar>
              <w:top w:type="dxa" w:w="60"/>
              <w:left w:type="dxa" w:w="110"/>
              <w:bottom w:type="dxa" w:w="60"/>
              <w:right w:type="dxa" w:w="110"/>
            </w:tcMar>
          </w:tcPr>
          <w:p>
            <w:r>
              <w:rPr>
                <w:color w:val="14121F"/>
                <w:sz w:val="19"/>
                <w:szCs w:val="19"/>
              </w:rPr>
              <w:t xml:space="preserve">≥ 90%</w:t>
            </w:r>
          </w:p>
        </w:tc>
      </w:tr>
      <w:tr>
        <w:tc>
          <w:tcPr>
            <w:tcW w:type="dxa" w:w="2600"/>
            <w:tcMar>
              <w:top w:type="dxa" w:w="60"/>
              <w:left w:type="dxa" w:w="110"/>
              <w:bottom w:type="dxa" w:w="60"/>
              <w:right w:type="dxa" w:w="110"/>
            </w:tcMar>
          </w:tcPr>
          <w:p>
            <w:r>
              <w:rPr>
                <w:color w:val="14121F"/>
                <w:sz w:val="19"/>
                <w:szCs w:val="19"/>
              </w:rPr>
              <w:t xml:space="preserve">Misrouted / returned transfers</w:t>
            </w:r>
          </w:p>
        </w:tc>
        <w:tc>
          <w:tcPr>
            <w:tcW w:type="dxa" w:w="4260"/>
            <w:tcMar>
              <w:top w:type="dxa" w:w="60"/>
              <w:left w:type="dxa" w:w="110"/>
              <w:bottom w:type="dxa" w:w="60"/>
              <w:right w:type="dxa" w:w="110"/>
            </w:tcMar>
          </w:tcPr>
          <w:p>
            <w:r>
              <w:rPr>
                <w:color w:val="14121F"/>
                <w:sz w:val="19"/>
                <w:szCs w:val="19"/>
              </w:rPr>
              <w:t xml:space="preserve">% failed due to wrong routing details</w:t>
            </w:r>
          </w:p>
        </w:tc>
        <w:tc>
          <w:tcPr>
            <w:tcW w:type="dxa" w:w="2500"/>
            <w:tcMar>
              <w:top w:type="dxa" w:w="60"/>
              <w:left w:type="dxa" w:w="110"/>
              <w:bottom w:type="dxa" w:w="60"/>
              <w:right w:type="dxa" w:w="110"/>
            </w:tcMar>
          </w:tcPr>
          <w:p>
            <w:r>
              <w:rPr>
                <w:color w:val="14121F"/>
                <w:sz w:val="19"/>
                <w:szCs w:val="19"/>
              </w:rPr>
              <w:t xml:space="preserve">↓ vs. first release</w:t>
            </w:r>
          </w:p>
        </w:tc>
      </w:tr>
      <w:tr>
        <w:tc>
          <w:tcPr>
            <w:tcW w:type="dxa" w:w="2600"/>
            <w:shd w:fill="F7F6FC" w:color="auto" w:val="clear"/>
            <w:tcMar>
              <w:top w:type="dxa" w:w="60"/>
              <w:left w:type="dxa" w:w="110"/>
              <w:bottom w:type="dxa" w:w="60"/>
              <w:right w:type="dxa" w:w="110"/>
            </w:tcMar>
          </w:tcPr>
          <w:p>
            <w:r>
              <w:rPr>
                <w:color w:val="14121F"/>
                <w:sz w:val="19"/>
                <w:szCs w:val="19"/>
              </w:rPr>
              <w:t xml:space="preserve">Time to enter bank details</w:t>
            </w:r>
          </w:p>
        </w:tc>
        <w:tc>
          <w:tcPr>
            <w:tcW w:type="dxa" w:w="4260"/>
            <w:shd w:fill="F7F6FC" w:color="auto" w:val="clear"/>
            <w:tcMar>
              <w:top w:type="dxa" w:w="60"/>
              <w:left w:type="dxa" w:w="110"/>
              <w:bottom w:type="dxa" w:w="60"/>
              <w:right w:type="dxa" w:w="110"/>
            </w:tcMar>
          </w:tcPr>
          <w:p>
            <w:r>
              <w:rPr>
                <w:color w:val="14121F"/>
                <w:sz w:val="19"/>
                <w:szCs w:val="19"/>
              </w:rPr>
              <w:t xml:space="preserve">Median time on the bank-details step</w:t>
            </w:r>
          </w:p>
        </w:tc>
        <w:tc>
          <w:tcPr>
            <w:tcW w:type="dxa" w:w="2500"/>
            <w:shd w:fill="F7F6FC" w:color="auto" w:val="clear"/>
            <w:tcMar>
              <w:top w:type="dxa" w:w="60"/>
              <w:left w:type="dxa" w:w="110"/>
              <w:bottom w:type="dxa" w:w="60"/>
              <w:right w:type="dxa" w:w="110"/>
            </w:tcMar>
          </w:tcPr>
          <w:p>
            <w:r>
              <w:rPr>
                <w:color w:val="14121F"/>
                <w:sz w:val="19"/>
                <w:szCs w:val="19"/>
              </w:rPr>
              <w:t xml:space="preserve">&lt; 45 seconds</w:t>
            </w:r>
          </w:p>
        </w:tc>
      </w:tr>
      <w:tr>
        <w:tc>
          <w:tcPr>
            <w:tcW w:type="dxa" w:w="2600"/>
            <w:tcMar>
              <w:top w:type="dxa" w:w="60"/>
              <w:left w:type="dxa" w:w="110"/>
              <w:bottom w:type="dxa" w:w="60"/>
              <w:right w:type="dxa" w:w="110"/>
            </w:tcMar>
          </w:tcPr>
          <w:p>
            <w:r>
              <w:rPr>
                <w:color w:val="14121F"/>
                <w:sz w:val="19"/>
                <w:szCs w:val="19"/>
              </w:rPr>
              <w:t xml:space="preserve">Feature adoption</w:t>
            </w:r>
          </w:p>
        </w:tc>
        <w:tc>
          <w:tcPr>
            <w:tcW w:type="dxa" w:w="4260"/>
            <w:tcMar>
              <w:top w:type="dxa" w:w="60"/>
              <w:left w:type="dxa" w:w="110"/>
              <w:bottom w:type="dxa" w:w="60"/>
              <w:right w:type="dxa" w:w="110"/>
            </w:tcMar>
          </w:tcPr>
          <w:p>
            <w:r>
              <w:rPr>
                <w:color w:val="14121F"/>
                <w:sz w:val="19"/>
                <w:szCs w:val="19"/>
              </w:rPr>
              <w:t xml:space="preserve">% of China transfers using the guided flow</w:t>
            </w:r>
          </w:p>
        </w:tc>
        <w:tc>
          <w:tcPr>
            <w:tcW w:type="dxa" w:w="2500"/>
            <w:tcMar>
              <w:top w:type="dxa" w:w="60"/>
              <w:left w:type="dxa" w:w="110"/>
              <w:bottom w:type="dxa" w:w="60"/>
              <w:right w:type="dxa" w:w="110"/>
            </w:tcMar>
          </w:tcPr>
          <w:p>
            <w:r>
              <w:rPr>
                <w:color w:val="14121F"/>
                <w:sz w:val="19"/>
                <w:szCs w:val="19"/>
              </w:rPr>
              <w:t xml:space="preserve">Recover to ≥ pre-drop baseline</w:t>
            </w:r>
          </w:p>
        </w:tc>
      </w:tr>
    </w:tbl>
    <w:p>
      <w:pPr>
        <w:pStyle w:val="Heading1"/>
      </w:pPr>
      <w:r>
        <w:rPr>
          <w:b/>
          <w:bCs/>
          <w:color w:val="14121F"/>
        </w:rPr>
        <w:t xml:space="preserve">2. Users</w:t>
      </w:r>
    </w:p>
    <w:p>
      <w:pPr>
        <w:pStyle w:val="Heading3"/>
      </w:pPr>
      <w:r>
        <w:rPr>
          <w:b/>
          <w:bCs/>
          <w:color w:val="14121F"/>
        </w:rPr>
        <w:t xml:space="preserve">Sender (customer)</w:t>
      </w:r>
    </w:p>
    <w:p>
      <w:pPr>
        <w:spacing w:after="120" w:line="276"/>
      </w:pPr>
      <w:r>
        <w:t xml:space="preserve">An Afriex user sending money to a recipient in China. Already KYC-verified with details on file. Wants to send quickly without understanding Chinese banking routing.</w:t>
      </w:r>
    </w:p>
    <w:p>
      <w:pPr>
        <w:pStyle w:val="Heading3"/>
      </w:pPr>
      <w:r>
        <w:rPr>
          <w:b/>
          <w:bCs/>
          <w:color w:val="14121F"/>
        </w:rPr>
        <w:t xml:space="preserve">Beneficiary (recipient)</w:t>
      </w:r>
    </w:p>
    <w:p>
      <w:pPr>
        <w:spacing w:after="120" w:line="276"/>
      </w:pPr>
      <w:r>
        <w:t xml:space="preserve">The person receiving CNY into a Chinese bank account. Their bank, branch, account and ID details determine routing and crediting.</w:t>
      </w:r>
    </w:p>
    <w:p>
      <w:pPr>
        <w:pStyle w:val="Heading3"/>
      </w:pPr>
      <w:r>
        <w:rPr>
          <w:b/>
          <w:bCs/>
          <w:color w:val="14121F"/>
        </w:rPr>
        <w:t xml:space="preserve">Application owner / operations</w:t>
      </w:r>
    </w:p>
    <w:p>
      <w:pPr>
        <w:spacing w:after="120" w:line="276"/>
      </w:pPr>
      <w:r>
        <w:t xml:space="preserve">Internal team responsible for sourcing and maintaining the bank/branch/CNAPS mapping and monitoring transfer success rates.</w:t>
      </w:r>
    </w:p>
    <w:p>
      <w:pPr>
        <w:pStyle w:val="Heading1"/>
      </w:pPr>
      <w:r>
        <w:rPr>
          <w:b/>
          <w:bCs/>
          <w:color w:val="14121F"/>
        </w:rPr>
        <w:t xml:space="preserve">3. User stories</w:t>
      </w:r>
    </w:p>
    <w:p>
      <w:pPr>
        <w:pStyle w:val="ListParagraph"/>
        <w:numPr>
          <w:ilvl w:val="0"/>
          <w:numId w:val="2"/>
        </w:numPr>
        <w:spacing w:after="60" w:line="268"/>
      </w:pPr>
      <w:r>
        <w:t xml:space="preserve">As a sender, I select the recipient's bank, province, city and branch from dropdowns, so I never have to find a CNAPS code.</w:t>
      </w:r>
    </w:p>
    <w:p>
      <w:pPr>
        <w:pStyle w:val="ListParagraph"/>
        <w:numPr>
          <w:ilvl w:val="0"/>
          <w:numId w:val="2"/>
        </w:numPr>
        <w:spacing w:after="60" w:line="268"/>
      </w:pPr>
      <w:r>
        <w:t xml:space="preserve">As a sender, I see the resolved routing details before I confirm, so I can trust the transfer will arrive.</w:t>
      </w:r>
    </w:p>
    <w:p>
      <w:pPr>
        <w:pStyle w:val="ListParagraph"/>
        <w:numPr>
          <w:ilvl w:val="0"/>
          <w:numId w:val="2"/>
        </w:numPr>
        <w:spacing w:after="60" w:line="268"/>
      </w:pPr>
      <w:r>
        <w:t xml:space="preserve">As a sender, I only enter the beneficiary's identity and account, so the flow is short.</w:t>
      </w:r>
    </w:p>
    <w:p>
      <w:pPr>
        <w:pStyle w:val="ListParagraph"/>
        <w:numPr>
          <w:ilvl w:val="0"/>
          <w:numId w:val="2"/>
        </w:numPr>
        <w:spacing w:after="60" w:line="268"/>
      </w:pPr>
      <w:r>
        <w:t xml:space="preserve">As an application owner, I maintain one reference dataset that powers all the dropdowns, so coverage is consistent and updatable.</w:t>
      </w:r>
    </w:p>
    <w:p>
      <w:pPr>
        <w:pStyle w:val="Heading1"/>
      </w:pPr>
      <w:r>
        <w:rPr>
          <w:b/>
          <w:bCs/>
          <w:color w:val="14121F"/>
        </w:rPr>
        <w:t xml:space="preserve">4. Experience &amp; flow</w:t>
      </w:r>
    </w:p>
    <w:p>
      <w:pPr>
        <w:spacing w:after="120" w:line="276"/>
      </w:pPr>
      <w:r>
        <w:t xml:space="preserve">Mobile-first, three steps plus confirmation:</w:t>
      </w:r>
    </w:p>
    <w:p>
      <w:pPr>
        <w:pStyle w:val="ListParagraph"/>
        <w:numPr>
          <w:ilvl w:val="0"/>
          <w:numId w:val="3"/>
        </w:numPr>
        <w:spacing w:after="60" w:line="268"/>
      </w:pPr>
      <w:r>
        <w:rPr>
          <w:b/>
          <w:bCs/>
        </w:rPr>
        <w:t xml:space="preserve">Recipient bank details</w:t>
      </w:r>
      <w:r>
        <w:t xml:space="preserve"> — cascading dropdowns: Bank → Province → City → Branch. On branch selection, the CNAPS and postal code resolve and display read-only.</w:t>
      </w:r>
    </w:p>
    <w:p>
      <w:pPr>
        <w:pStyle w:val="ListParagraph"/>
        <w:numPr>
          <w:ilvl w:val="0"/>
          <w:numId w:val="3"/>
        </w:numPr>
        <w:spacing w:after="60" w:line="268"/>
      </w:pPr>
      <w:r>
        <w:rPr>
          <w:b/>
          <w:bCs/>
        </w:rPr>
        <w:t xml:space="preserve">Beneficiary identity</w:t>
      </w:r>
      <w:r>
        <w:t xml:space="preserve"> — beneficiary full name, ID type, ID number, and bank account number. Sender details are pulled from file.</w:t>
      </w:r>
    </w:p>
    <w:p>
      <w:pPr>
        <w:pStyle w:val="ListParagraph"/>
        <w:numPr>
          <w:ilvl w:val="0"/>
          <w:numId w:val="3"/>
        </w:numPr>
        <w:spacing w:after="60" w:line="268"/>
      </w:pPr>
      <w:r>
        <w:rPr>
          <w:b/>
          <w:bCs/>
        </w:rPr>
        <w:t xml:space="preserve">Review &amp; confirm</w:t>
      </w:r>
      <w:r>
        <w:t xml:space="preserve"> — resolved routing (bank, branch, CNAPS, postal) plus beneficiary and amount shown for confirmation before sending.</w:t>
      </w:r>
    </w:p>
    <w:p>
      <w:pPr>
        <w:pStyle w:val="ListParagraph"/>
        <w:numPr>
          <w:ilvl w:val="0"/>
          <w:numId w:val="3"/>
        </w:numPr>
        <w:spacing w:after="60" w:line="268"/>
      </w:pPr>
      <w:r>
        <w:rPr>
          <w:b/>
          <w:bCs/>
        </w:rPr>
        <w:t xml:space="preserve">Submission</w:t>
      </w:r>
      <w:r>
        <w:t xml:space="preserve"> — transfer is submitted with the correct CNAPS routing attached automatically; confirmation with reference is shown.</w:t>
      </w:r>
    </w:p>
    <w:p>
      <w:pPr>
        <w:spacing w:after="60"/>
      </w:pPr>
    </w:p>
    <w:p>
      <w:pPr>
        <w:spacing w:after="120" w:line="276"/>
      </w:pPr>
      <w:r>
        <w:rPr>
          <w:b/>
          <w:bCs/>
        </w:rPr>
        <w:t xml:space="preserve">Interactive prototype: </w:t>
      </w:r>
      <w:r>
        <w:rPr>
          <w:b/>
          <w:bCs/>
          <w:color w:val="5B3DF5"/>
        </w:rPr>
        <w:t xml:space="preserve">send-to-china-mockup.html</w:t>
      </w:r>
      <w:r>
        <w:t xml:space="preserve"> demonstrates the cascade on a curated real slice of the dataset (8 banks · 6 provinces · 802 branches, genuine CNAPS codes).</w:t>
      </w:r>
    </w:p>
    <w:p>
      <w:pPr>
        <w:pStyle w:val="Heading1"/>
      </w:pPr>
      <w:r>
        <w:rPr>
          <w:b/>
          <w:bCs/>
          <w:color w:val="14121F"/>
        </w:rPr>
        <w:t xml:space="preserve">5. Functional requirements</w:t>
      </w:r>
    </w:p>
    <w:p>
      <w:pPr>
        <w:pStyle w:val="Heading2"/>
      </w:pPr>
      <w:r>
        <w:rPr>
          <w:b/>
          <w:bCs/>
          <w:color w:val="5B3DF5"/>
        </w:rPr>
        <w:t xml:space="preserve">5.1 Guided bank selection</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900"/>
        <w:gridCol w:w="6960"/>
        <w:gridCol w:w="1500"/>
      </w:tblGrid>
      <w:tr>
        <w:trPr>
          <w:tblHeader/>
        </w:trPr>
        <w:tc>
          <w:tcPr>
            <w:tcW w:type="dxa" w:w="900"/>
            <w:shd w:fill="5B3DF5" w:color="auto" w:val="clear"/>
            <w:tcMar>
              <w:top w:type="dxa" w:w="70"/>
              <w:left w:type="dxa" w:w="110"/>
              <w:bottom w:type="dxa" w:w="70"/>
              <w:right w:type="dxa" w:w="110"/>
            </w:tcMar>
          </w:tcPr>
          <w:p>
            <w:r>
              <w:rPr>
                <w:b/>
                <w:bCs/>
                <w:color w:val="FFFFFF"/>
                <w:sz w:val="19"/>
                <w:szCs w:val="19"/>
              </w:rPr>
              <w:t xml:space="preserve">ID</w:t>
            </w:r>
          </w:p>
        </w:tc>
        <w:tc>
          <w:tcPr>
            <w:tcW w:type="dxa" w:w="6960"/>
            <w:shd w:fill="5B3DF5" w:color="auto" w:val="clear"/>
            <w:tcMar>
              <w:top w:type="dxa" w:w="70"/>
              <w:left w:type="dxa" w:w="110"/>
              <w:bottom w:type="dxa" w:w="70"/>
              <w:right w:type="dxa" w:w="110"/>
            </w:tcMar>
          </w:tcPr>
          <w:p>
            <w:r>
              <w:rPr>
                <w:b/>
                <w:bCs/>
                <w:color w:val="FFFFFF"/>
                <w:sz w:val="19"/>
                <w:szCs w:val="19"/>
              </w:rPr>
              <w:t xml:space="preserve">Requirement</w:t>
            </w:r>
          </w:p>
        </w:tc>
        <w:tc>
          <w:tcPr>
            <w:tcW w:type="dxa" w:w="1500"/>
            <w:shd w:fill="5B3DF5" w:color="auto" w:val="clear"/>
            <w:tcMar>
              <w:top w:type="dxa" w:w="70"/>
              <w:left w:type="dxa" w:w="110"/>
              <w:bottom w:type="dxa" w:w="70"/>
              <w:right w:type="dxa" w:w="110"/>
            </w:tcMar>
          </w:tcPr>
          <w:p>
            <w:r>
              <w:rPr>
                <w:b/>
                <w:bCs/>
                <w:color w:val="FFFFFF"/>
                <w:sz w:val="19"/>
                <w:szCs w:val="19"/>
              </w:rPr>
              <w:t xml:space="preserve">Priority</w:t>
            </w:r>
          </w:p>
        </w:tc>
      </w:tr>
      <w:tr>
        <w:tc>
          <w:tcPr>
            <w:tcW w:type="dxa" w:w="900"/>
            <w:tcMar>
              <w:top w:type="dxa" w:w="60"/>
              <w:left w:type="dxa" w:w="110"/>
              <w:bottom w:type="dxa" w:w="60"/>
              <w:right w:type="dxa" w:w="110"/>
            </w:tcMar>
          </w:tcPr>
          <w:p>
            <w:r>
              <w:rPr>
                <w:color w:val="14121F"/>
                <w:sz w:val="19"/>
                <w:szCs w:val="19"/>
              </w:rPr>
              <w:t xml:space="preserve">B-1</w:t>
            </w:r>
          </w:p>
        </w:tc>
        <w:tc>
          <w:tcPr>
            <w:tcW w:type="dxa" w:w="6960"/>
            <w:tcMar>
              <w:top w:type="dxa" w:w="60"/>
              <w:left w:type="dxa" w:w="110"/>
              <w:bottom w:type="dxa" w:w="60"/>
              <w:right w:type="dxa" w:w="110"/>
            </w:tcMar>
          </w:tcPr>
          <w:p>
            <w:r>
              <w:rPr>
                <w:color w:val="14121F"/>
                <w:sz w:val="19"/>
                <w:szCs w:val="19"/>
              </w:rPr>
              <w:t xml:space="preserve">Bank dropdown lists all supported banks (selected + other).</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B-2</w:t>
            </w:r>
          </w:p>
        </w:tc>
        <w:tc>
          <w:tcPr>
            <w:tcW w:type="dxa" w:w="6960"/>
            <w:shd w:fill="F7F6FC" w:color="auto" w:val="clear"/>
            <w:tcMar>
              <w:top w:type="dxa" w:w="60"/>
              <w:left w:type="dxa" w:w="110"/>
              <w:bottom w:type="dxa" w:w="60"/>
              <w:right w:type="dxa" w:w="110"/>
            </w:tcMar>
          </w:tcPr>
          <w:p>
            <w:r>
              <w:rPr>
                <w:color w:val="14121F"/>
                <w:sz w:val="19"/>
                <w:szCs w:val="19"/>
              </w:rPr>
              <w:t xml:space="preserve">Province dropdown enables after bank; lists provinces where that bank has branches.</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B-3</w:t>
            </w:r>
          </w:p>
        </w:tc>
        <w:tc>
          <w:tcPr>
            <w:tcW w:type="dxa" w:w="6960"/>
            <w:tcMar>
              <w:top w:type="dxa" w:w="60"/>
              <w:left w:type="dxa" w:w="110"/>
              <w:bottom w:type="dxa" w:w="60"/>
              <w:right w:type="dxa" w:w="110"/>
            </w:tcMar>
          </w:tcPr>
          <w:p>
            <w:r>
              <w:rPr>
                <w:color w:val="14121F"/>
                <w:sz w:val="19"/>
                <w:szCs w:val="19"/>
              </w:rPr>
              <w:t xml:space="preserve">City dropdown enables after province; lists cities for that bank+province.</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B-4</w:t>
            </w:r>
          </w:p>
        </w:tc>
        <w:tc>
          <w:tcPr>
            <w:tcW w:type="dxa" w:w="6960"/>
            <w:shd w:fill="F7F6FC" w:color="auto" w:val="clear"/>
            <w:tcMar>
              <w:top w:type="dxa" w:w="60"/>
              <w:left w:type="dxa" w:w="110"/>
              <w:bottom w:type="dxa" w:w="60"/>
              <w:right w:type="dxa" w:w="110"/>
            </w:tcMar>
          </w:tcPr>
          <w:p>
            <w:r>
              <w:rPr>
                <w:color w:val="14121F"/>
                <w:sz w:val="19"/>
                <w:szCs w:val="19"/>
              </w:rPr>
              <w:t xml:space="preserve">Branch dropdown enables after city; lists branches for that bank+province+city.</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B-5</w:t>
            </w:r>
          </w:p>
        </w:tc>
        <w:tc>
          <w:tcPr>
            <w:tcW w:type="dxa" w:w="6960"/>
            <w:tcMar>
              <w:top w:type="dxa" w:w="60"/>
              <w:left w:type="dxa" w:w="110"/>
              <w:bottom w:type="dxa" w:w="60"/>
              <w:right w:type="dxa" w:w="110"/>
            </w:tcMar>
          </w:tcPr>
          <w:p>
            <w:r>
              <w:rPr>
                <w:color w:val="14121F"/>
                <w:sz w:val="19"/>
                <w:szCs w:val="19"/>
              </w:rPr>
              <w:t xml:space="preserve">On branch selection, CNAPS code and postal code auto-populate, read-only.</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B-6</w:t>
            </w:r>
          </w:p>
        </w:tc>
        <w:tc>
          <w:tcPr>
            <w:tcW w:type="dxa" w:w="6960"/>
            <w:shd w:fill="F7F6FC" w:color="auto" w:val="clear"/>
            <w:tcMar>
              <w:top w:type="dxa" w:w="60"/>
              <w:left w:type="dxa" w:w="110"/>
              <w:bottom w:type="dxa" w:w="60"/>
              <w:right w:type="dxa" w:w="110"/>
            </w:tcMar>
          </w:tcPr>
          <w:p>
            <w:r>
              <w:rPr>
                <w:color w:val="14121F"/>
                <w:sz w:val="19"/>
                <w:szCs w:val="19"/>
              </w:rPr>
              <w:t xml:space="preserve">Dropdowns support type-ahead search for long lists.</w:t>
            </w:r>
          </w:p>
        </w:tc>
        <w:tc>
          <w:tcPr>
            <w:tcW w:type="dxa" w:w="1500"/>
            <w:shd w:fill="F7F6FC" w:color="auto" w:val="clear"/>
            <w:tcMar>
              <w:top w:type="dxa" w:w="60"/>
              <w:left w:type="dxa" w:w="110"/>
              <w:bottom w:type="dxa" w:w="60"/>
              <w:right w:type="dxa" w:w="110"/>
            </w:tcMar>
          </w:tcPr>
          <w:p>
            <w:r>
              <w:rPr>
                <w:color w:val="14121F"/>
                <w:sz w:val="19"/>
                <w:szCs w:val="19"/>
              </w:rPr>
              <w:t xml:space="preserve">P1</w:t>
            </w:r>
          </w:p>
        </w:tc>
      </w:tr>
      <w:tr>
        <w:tc>
          <w:tcPr>
            <w:tcW w:type="dxa" w:w="900"/>
            <w:tcMar>
              <w:top w:type="dxa" w:w="60"/>
              <w:left w:type="dxa" w:w="110"/>
              <w:bottom w:type="dxa" w:w="60"/>
              <w:right w:type="dxa" w:w="110"/>
            </w:tcMar>
          </w:tcPr>
          <w:p>
            <w:r>
              <w:rPr>
                <w:color w:val="14121F"/>
                <w:sz w:val="19"/>
                <w:szCs w:val="19"/>
              </w:rPr>
              <w:t xml:space="preserve">B-7</w:t>
            </w:r>
          </w:p>
        </w:tc>
        <w:tc>
          <w:tcPr>
            <w:tcW w:type="dxa" w:w="6960"/>
            <w:tcMar>
              <w:top w:type="dxa" w:w="60"/>
              <w:left w:type="dxa" w:w="110"/>
              <w:bottom w:type="dxa" w:w="60"/>
              <w:right w:type="dxa" w:w="110"/>
            </w:tcMar>
          </w:tcPr>
          <w:p>
            <w:r>
              <w:rPr>
                <w:color w:val="14121F"/>
                <w:sz w:val="19"/>
                <w:szCs w:val="19"/>
              </w:rPr>
              <w:t xml:space="preserve">Changing an upper-level selection resets and repopulates the lower levels.</w:t>
            </w:r>
          </w:p>
        </w:tc>
        <w:tc>
          <w:tcPr>
            <w:tcW w:type="dxa" w:w="1500"/>
            <w:tcMar>
              <w:top w:type="dxa" w:w="60"/>
              <w:left w:type="dxa" w:w="110"/>
              <w:bottom w:type="dxa" w:w="60"/>
              <w:right w:type="dxa" w:w="110"/>
            </w:tcMar>
          </w:tcPr>
          <w:p>
            <w:r>
              <w:rPr>
                <w:color w:val="14121F"/>
                <w:sz w:val="19"/>
                <w:szCs w:val="19"/>
              </w:rPr>
              <w:t xml:space="preserve">P0</w:t>
            </w:r>
          </w:p>
        </w:tc>
      </w:tr>
    </w:tbl>
    <w:p>
      <w:pPr>
        <w:pStyle w:val="Heading2"/>
      </w:pPr>
      <w:r>
        <w:rPr>
          <w:b/>
          <w:bCs/>
          <w:color w:val="5B3DF5"/>
        </w:rPr>
        <w:t xml:space="preserve">5.2 Beneficiary &amp; sender data</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900"/>
        <w:gridCol w:w="6960"/>
        <w:gridCol w:w="1500"/>
      </w:tblGrid>
      <w:tr>
        <w:trPr>
          <w:tblHeader/>
        </w:trPr>
        <w:tc>
          <w:tcPr>
            <w:tcW w:type="dxa" w:w="900"/>
            <w:shd w:fill="5B3DF5" w:color="auto" w:val="clear"/>
            <w:tcMar>
              <w:top w:type="dxa" w:w="70"/>
              <w:left w:type="dxa" w:w="110"/>
              <w:bottom w:type="dxa" w:w="70"/>
              <w:right w:type="dxa" w:w="110"/>
            </w:tcMar>
          </w:tcPr>
          <w:p>
            <w:r>
              <w:rPr>
                <w:b/>
                <w:bCs/>
                <w:color w:val="FFFFFF"/>
                <w:sz w:val="19"/>
                <w:szCs w:val="19"/>
              </w:rPr>
              <w:t xml:space="preserve">ID</w:t>
            </w:r>
          </w:p>
        </w:tc>
        <w:tc>
          <w:tcPr>
            <w:tcW w:type="dxa" w:w="6960"/>
            <w:shd w:fill="5B3DF5" w:color="auto" w:val="clear"/>
            <w:tcMar>
              <w:top w:type="dxa" w:w="70"/>
              <w:left w:type="dxa" w:w="110"/>
              <w:bottom w:type="dxa" w:w="70"/>
              <w:right w:type="dxa" w:w="110"/>
            </w:tcMar>
          </w:tcPr>
          <w:p>
            <w:r>
              <w:rPr>
                <w:b/>
                <w:bCs/>
                <w:color w:val="FFFFFF"/>
                <w:sz w:val="19"/>
                <w:szCs w:val="19"/>
              </w:rPr>
              <w:t xml:space="preserve">Requirement</w:t>
            </w:r>
          </w:p>
        </w:tc>
        <w:tc>
          <w:tcPr>
            <w:tcW w:type="dxa" w:w="1500"/>
            <w:shd w:fill="5B3DF5" w:color="auto" w:val="clear"/>
            <w:tcMar>
              <w:top w:type="dxa" w:w="70"/>
              <w:left w:type="dxa" w:w="110"/>
              <w:bottom w:type="dxa" w:w="70"/>
              <w:right w:type="dxa" w:w="110"/>
            </w:tcMar>
          </w:tcPr>
          <w:p>
            <w:r>
              <w:rPr>
                <w:b/>
                <w:bCs/>
                <w:color w:val="FFFFFF"/>
                <w:sz w:val="19"/>
                <w:szCs w:val="19"/>
              </w:rPr>
              <w:t xml:space="preserve">Priority</w:t>
            </w:r>
          </w:p>
        </w:tc>
      </w:tr>
      <w:tr>
        <w:tc>
          <w:tcPr>
            <w:tcW w:type="dxa" w:w="900"/>
            <w:tcMar>
              <w:top w:type="dxa" w:w="60"/>
              <w:left w:type="dxa" w:w="110"/>
              <w:bottom w:type="dxa" w:w="60"/>
              <w:right w:type="dxa" w:w="110"/>
            </w:tcMar>
          </w:tcPr>
          <w:p>
            <w:r>
              <w:rPr>
                <w:color w:val="14121F"/>
                <w:sz w:val="19"/>
                <w:szCs w:val="19"/>
              </w:rPr>
              <w:t xml:space="preserve">D-1</w:t>
            </w:r>
          </w:p>
        </w:tc>
        <w:tc>
          <w:tcPr>
            <w:tcW w:type="dxa" w:w="6960"/>
            <w:tcMar>
              <w:top w:type="dxa" w:w="60"/>
              <w:left w:type="dxa" w:w="110"/>
              <w:bottom w:type="dxa" w:w="60"/>
              <w:right w:type="dxa" w:w="110"/>
            </w:tcMar>
          </w:tcPr>
          <w:p>
            <w:r>
              <w:rPr>
                <w:color w:val="14121F"/>
                <w:sz w:val="19"/>
                <w:szCs w:val="19"/>
              </w:rPr>
              <w:t xml:space="preserve">Collect beneficiary full name (as on ID).</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D-2</w:t>
            </w:r>
          </w:p>
        </w:tc>
        <w:tc>
          <w:tcPr>
            <w:tcW w:type="dxa" w:w="6960"/>
            <w:shd w:fill="F7F6FC" w:color="auto" w:val="clear"/>
            <w:tcMar>
              <w:top w:type="dxa" w:w="60"/>
              <w:left w:type="dxa" w:w="110"/>
              <w:bottom w:type="dxa" w:w="60"/>
              <w:right w:type="dxa" w:w="110"/>
            </w:tcMar>
          </w:tcPr>
          <w:p>
            <w:r>
              <w:rPr>
                <w:color w:val="14121F"/>
                <w:sz w:val="19"/>
                <w:szCs w:val="19"/>
              </w:rPr>
              <w:t xml:space="preserve">Collect beneficiary ID type (Resident ID card / Passport) and ID number, with format validation.</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D-3</w:t>
            </w:r>
          </w:p>
        </w:tc>
        <w:tc>
          <w:tcPr>
            <w:tcW w:type="dxa" w:w="6960"/>
            <w:tcMar>
              <w:top w:type="dxa" w:w="60"/>
              <w:left w:type="dxa" w:w="110"/>
              <w:bottom w:type="dxa" w:w="60"/>
              <w:right w:type="dxa" w:w="110"/>
            </w:tcMar>
          </w:tcPr>
          <w:p>
            <w:r>
              <w:rPr>
                <w:color w:val="14121F"/>
                <w:sz w:val="19"/>
                <w:szCs w:val="19"/>
              </w:rPr>
              <w:t xml:space="preserve">Collect beneficiary bank account number, with basic validation.</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D-4</w:t>
            </w:r>
          </w:p>
        </w:tc>
        <w:tc>
          <w:tcPr>
            <w:tcW w:type="dxa" w:w="6960"/>
            <w:shd w:fill="F7F6FC" w:color="auto" w:val="clear"/>
            <w:tcMar>
              <w:top w:type="dxa" w:w="60"/>
              <w:left w:type="dxa" w:w="110"/>
              <w:bottom w:type="dxa" w:w="60"/>
              <w:right w:type="dxa" w:w="110"/>
            </w:tcMar>
          </w:tcPr>
          <w:p>
            <w:r>
              <w:rPr>
                <w:color w:val="14121F"/>
                <w:sz w:val="19"/>
                <w:szCs w:val="19"/>
              </w:rPr>
              <w:t xml:space="preserve">Sender details are read from file and attached automatically; not re-entered.</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D-5</w:t>
            </w:r>
          </w:p>
        </w:tc>
        <w:tc>
          <w:tcPr>
            <w:tcW w:type="dxa" w:w="6960"/>
            <w:tcMar>
              <w:top w:type="dxa" w:w="60"/>
              <w:left w:type="dxa" w:w="110"/>
              <w:bottom w:type="dxa" w:w="60"/>
              <w:right w:type="dxa" w:w="110"/>
            </w:tcMar>
          </w:tcPr>
          <w:p>
            <w:r>
              <w:rPr>
                <w:color w:val="14121F"/>
                <w:sz w:val="19"/>
                <w:szCs w:val="19"/>
              </w:rPr>
              <w:t xml:space="preserve">Attach resolved CNAPS and postal code to the transfer payload sent to the processor.</w:t>
            </w:r>
          </w:p>
        </w:tc>
        <w:tc>
          <w:tcPr>
            <w:tcW w:type="dxa" w:w="1500"/>
            <w:tcMar>
              <w:top w:type="dxa" w:w="60"/>
              <w:left w:type="dxa" w:w="110"/>
              <w:bottom w:type="dxa" w:w="60"/>
              <w:right w:type="dxa" w:w="110"/>
            </w:tcMar>
          </w:tcPr>
          <w:p>
            <w:r>
              <w:rPr>
                <w:color w:val="14121F"/>
                <w:sz w:val="19"/>
                <w:szCs w:val="19"/>
              </w:rPr>
              <w:t xml:space="preserve">P0</w:t>
            </w:r>
          </w:p>
        </w:tc>
      </w:tr>
    </w:tbl>
    <w:p>
      <w:pPr>
        <w:pStyle w:val="Heading2"/>
      </w:pPr>
      <w:r>
        <w:rPr>
          <w:b/>
          <w:bCs/>
          <w:color w:val="5B3DF5"/>
        </w:rPr>
        <w:t xml:space="preserve">5.3 Review &amp; submission</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900"/>
        <w:gridCol w:w="6960"/>
        <w:gridCol w:w="1500"/>
      </w:tblGrid>
      <w:tr>
        <w:trPr>
          <w:tblHeader/>
        </w:trPr>
        <w:tc>
          <w:tcPr>
            <w:tcW w:type="dxa" w:w="900"/>
            <w:shd w:fill="5B3DF5" w:color="auto" w:val="clear"/>
            <w:tcMar>
              <w:top w:type="dxa" w:w="70"/>
              <w:left w:type="dxa" w:w="110"/>
              <w:bottom w:type="dxa" w:w="70"/>
              <w:right w:type="dxa" w:w="110"/>
            </w:tcMar>
          </w:tcPr>
          <w:p>
            <w:r>
              <w:rPr>
                <w:b/>
                <w:bCs/>
                <w:color w:val="FFFFFF"/>
                <w:sz w:val="19"/>
                <w:szCs w:val="19"/>
              </w:rPr>
              <w:t xml:space="preserve">ID</w:t>
            </w:r>
          </w:p>
        </w:tc>
        <w:tc>
          <w:tcPr>
            <w:tcW w:type="dxa" w:w="6960"/>
            <w:shd w:fill="5B3DF5" w:color="auto" w:val="clear"/>
            <w:tcMar>
              <w:top w:type="dxa" w:w="70"/>
              <w:left w:type="dxa" w:w="110"/>
              <w:bottom w:type="dxa" w:w="70"/>
              <w:right w:type="dxa" w:w="110"/>
            </w:tcMar>
          </w:tcPr>
          <w:p>
            <w:r>
              <w:rPr>
                <w:b/>
                <w:bCs/>
                <w:color w:val="FFFFFF"/>
                <w:sz w:val="19"/>
                <w:szCs w:val="19"/>
              </w:rPr>
              <w:t xml:space="preserve">Requirement</w:t>
            </w:r>
          </w:p>
        </w:tc>
        <w:tc>
          <w:tcPr>
            <w:tcW w:type="dxa" w:w="1500"/>
            <w:shd w:fill="5B3DF5" w:color="auto" w:val="clear"/>
            <w:tcMar>
              <w:top w:type="dxa" w:w="70"/>
              <w:left w:type="dxa" w:w="110"/>
              <w:bottom w:type="dxa" w:w="70"/>
              <w:right w:type="dxa" w:w="110"/>
            </w:tcMar>
          </w:tcPr>
          <w:p>
            <w:r>
              <w:rPr>
                <w:b/>
                <w:bCs/>
                <w:color w:val="FFFFFF"/>
                <w:sz w:val="19"/>
                <w:szCs w:val="19"/>
              </w:rPr>
              <w:t xml:space="preserve">Priority</w:t>
            </w:r>
          </w:p>
        </w:tc>
      </w:tr>
      <w:tr>
        <w:tc>
          <w:tcPr>
            <w:tcW w:type="dxa" w:w="900"/>
            <w:tcMar>
              <w:top w:type="dxa" w:w="60"/>
              <w:left w:type="dxa" w:w="110"/>
              <w:bottom w:type="dxa" w:w="60"/>
              <w:right w:type="dxa" w:w="110"/>
            </w:tcMar>
          </w:tcPr>
          <w:p>
            <w:r>
              <w:rPr>
                <w:color w:val="14121F"/>
                <w:sz w:val="19"/>
                <w:szCs w:val="19"/>
              </w:rPr>
              <w:t xml:space="preserve">R-1</w:t>
            </w:r>
          </w:p>
        </w:tc>
        <w:tc>
          <w:tcPr>
            <w:tcW w:type="dxa" w:w="6960"/>
            <w:tcMar>
              <w:top w:type="dxa" w:w="60"/>
              <w:left w:type="dxa" w:w="110"/>
              <w:bottom w:type="dxa" w:w="60"/>
              <w:right w:type="dxa" w:w="110"/>
            </w:tcMar>
          </w:tcPr>
          <w:p>
            <w:r>
              <w:rPr>
                <w:color w:val="14121F"/>
                <w:sz w:val="19"/>
                <w:szCs w:val="19"/>
              </w:rPr>
              <w:t xml:space="preserve">Show a review screen with resolved routing, beneficiary and amount before submission.</w:t>
            </w:r>
          </w:p>
        </w:tc>
        <w:tc>
          <w:tcPr>
            <w:tcW w:type="dxa" w:w="1500"/>
            <w:tcMar>
              <w:top w:type="dxa" w:w="60"/>
              <w:left w:type="dxa" w:w="110"/>
              <w:bottom w:type="dxa" w:w="60"/>
              <w:right w:type="dxa" w:w="110"/>
            </w:tcMar>
          </w:tcPr>
          <w:p>
            <w:r>
              <w:rPr>
                <w:color w:val="14121F"/>
                <w:sz w:val="19"/>
                <w:szCs w:val="19"/>
              </w:rPr>
              <w:t xml:space="preserve">P0</w:t>
            </w:r>
          </w:p>
        </w:tc>
      </w:tr>
      <w:tr>
        <w:tc>
          <w:tcPr>
            <w:tcW w:type="dxa" w:w="900"/>
            <w:shd w:fill="F7F6FC" w:color="auto" w:val="clear"/>
            <w:tcMar>
              <w:top w:type="dxa" w:w="60"/>
              <w:left w:type="dxa" w:w="110"/>
              <w:bottom w:type="dxa" w:w="60"/>
              <w:right w:type="dxa" w:w="110"/>
            </w:tcMar>
          </w:tcPr>
          <w:p>
            <w:r>
              <w:rPr>
                <w:color w:val="14121F"/>
                <w:sz w:val="19"/>
                <w:szCs w:val="19"/>
              </w:rPr>
              <w:t xml:space="preserve">R-2</w:t>
            </w:r>
          </w:p>
        </w:tc>
        <w:tc>
          <w:tcPr>
            <w:tcW w:type="dxa" w:w="6960"/>
            <w:shd w:fill="F7F6FC" w:color="auto" w:val="clear"/>
            <w:tcMar>
              <w:top w:type="dxa" w:w="60"/>
              <w:left w:type="dxa" w:w="110"/>
              <w:bottom w:type="dxa" w:w="60"/>
              <w:right w:type="dxa" w:w="110"/>
            </w:tcMar>
          </w:tcPr>
          <w:p>
            <w:r>
              <w:rPr>
                <w:color w:val="14121F"/>
                <w:sz w:val="19"/>
                <w:szCs w:val="19"/>
              </w:rPr>
              <w:t xml:space="preserve">On submit, generate a reference and show confirmation.</w:t>
            </w:r>
          </w:p>
        </w:tc>
        <w:tc>
          <w:tcPr>
            <w:tcW w:type="dxa" w:w="1500"/>
            <w:shd w:fill="F7F6FC" w:color="auto" w:val="clear"/>
            <w:tcMar>
              <w:top w:type="dxa" w:w="60"/>
              <w:left w:type="dxa" w:w="110"/>
              <w:bottom w:type="dxa" w:w="60"/>
              <w:right w:type="dxa" w:w="110"/>
            </w:tcMar>
          </w:tcPr>
          <w:p>
            <w:r>
              <w:rPr>
                <w:color w:val="14121F"/>
                <w:sz w:val="19"/>
                <w:szCs w:val="19"/>
              </w:rPr>
              <w:t xml:space="preserve">P0</w:t>
            </w:r>
          </w:p>
        </w:tc>
      </w:tr>
      <w:tr>
        <w:tc>
          <w:tcPr>
            <w:tcW w:type="dxa" w:w="900"/>
            <w:tcMar>
              <w:top w:type="dxa" w:w="60"/>
              <w:left w:type="dxa" w:w="110"/>
              <w:bottom w:type="dxa" w:w="60"/>
              <w:right w:type="dxa" w:w="110"/>
            </w:tcMar>
          </w:tcPr>
          <w:p>
            <w:r>
              <w:rPr>
                <w:color w:val="14121F"/>
                <w:sz w:val="19"/>
                <w:szCs w:val="19"/>
              </w:rPr>
              <w:t xml:space="preserve">R-3</w:t>
            </w:r>
          </w:p>
        </w:tc>
        <w:tc>
          <w:tcPr>
            <w:tcW w:type="dxa" w:w="6960"/>
            <w:tcMar>
              <w:top w:type="dxa" w:w="60"/>
              <w:left w:type="dxa" w:w="110"/>
              <w:bottom w:type="dxa" w:w="60"/>
              <w:right w:type="dxa" w:w="110"/>
            </w:tcMar>
          </w:tcPr>
          <w:p>
            <w:r>
              <w:rPr>
                <w:color w:val="14121F"/>
                <w:sz w:val="19"/>
                <w:szCs w:val="19"/>
              </w:rPr>
              <w:t xml:space="preserve">Persist the resolved CNAPS with the transaction for reconciliation and support.</w:t>
            </w:r>
          </w:p>
        </w:tc>
        <w:tc>
          <w:tcPr>
            <w:tcW w:type="dxa" w:w="1500"/>
            <w:tcMar>
              <w:top w:type="dxa" w:w="60"/>
              <w:left w:type="dxa" w:w="110"/>
              <w:bottom w:type="dxa" w:w="60"/>
              <w:right w:type="dxa" w:w="110"/>
            </w:tcMar>
          </w:tcPr>
          <w:p>
            <w:r>
              <w:rPr>
                <w:color w:val="14121F"/>
                <w:sz w:val="19"/>
                <w:szCs w:val="19"/>
              </w:rPr>
              <w:t xml:space="preserve">P0</w:t>
            </w:r>
          </w:p>
        </w:tc>
      </w:tr>
    </w:tbl>
    <w:p>
      <w:pPr>
        <w:pStyle w:val="Heading1"/>
      </w:pPr>
      <w:r>
        <w:rPr>
          <w:b/>
          <w:bCs/>
          <w:color w:val="14121F"/>
        </w:rPr>
        <w:t xml:space="preserve">6. Reference data model</w:t>
      </w:r>
    </w:p>
    <w:p>
      <w:pPr>
        <w:spacing w:after="120" w:line="276"/>
      </w:pPr>
      <w:r>
        <w:t xml:space="preserve">The flow is powered by a mapping of every supported bank branch to its routing details. Source data comprises two sheets — selected (major) banks and other banks — with the following schema:</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1700"/>
        <w:gridCol w:w="4560"/>
        <w:gridCol w:w="3100"/>
      </w:tblGrid>
      <w:tr>
        <w:trPr>
          <w:tblHeader/>
        </w:trPr>
        <w:tc>
          <w:tcPr>
            <w:tcW w:type="dxa" w:w="1700"/>
            <w:shd w:fill="5B3DF5" w:color="auto" w:val="clear"/>
            <w:tcMar>
              <w:top w:type="dxa" w:w="70"/>
              <w:left w:type="dxa" w:w="110"/>
              <w:bottom w:type="dxa" w:w="70"/>
              <w:right w:type="dxa" w:w="110"/>
            </w:tcMar>
          </w:tcPr>
          <w:p>
            <w:r>
              <w:rPr>
                <w:b/>
                <w:bCs/>
                <w:color w:val="FFFFFF"/>
                <w:sz w:val="19"/>
                <w:szCs w:val="19"/>
              </w:rPr>
              <w:t xml:space="preserve">Field</w:t>
            </w:r>
          </w:p>
        </w:tc>
        <w:tc>
          <w:tcPr>
            <w:tcW w:type="dxa" w:w="4560"/>
            <w:shd w:fill="5B3DF5" w:color="auto" w:val="clear"/>
            <w:tcMar>
              <w:top w:type="dxa" w:w="70"/>
              <w:left w:type="dxa" w:w="110"/>
              <w:bottom w:type="dxa" w:w="70"/>
              <w:right w:type="dxa" w:w="110"/>
            </w:tcMar>
          </w:tcPr>
          <w:p>
            <w:r>
              <w:rPr>
                <w:b/>
                <w:bCs/>
                <w:color w:val="FFFFFF"/>
                <w:sz w:val="19"/>
                <w:szCs w:val="19"/>
              </w:rPr>
              <w:t xml:space="preserve">Description</w:t>
            </w:r>
          </w:p>
        </w:tc>
        <w:tc>
          <w:tcPr>
            <w:tcW w:type="dxa" w:w="3100"/>
            <w:shd w:fill="5B3DF5" w:color="auto" w:val="clear"/>
            <w:tcMar>
              <w:top w:type="dxa" w:w="70"/>
              <w:left w:type="dxa" w:w="110"/>
              <w:bottom w:type="dxa" w:w="70"/>
              <w:right w:type="dxa" w:w="110"/>
            </w:tcMar>
          </w:tcPr>
          <w:p>
            <w:r>
              <w:rPr>
                <w:b/>
                <w:bCs/>
                <w:color w:val="FFFFFF"/>
                <w:sz w:val="19"/>
                <w:szCs w:val="19"/>
              </w:rPr>
              <w:t xml:space="preserve">Example</w:t>
            </w:r>
          </w:p>
        </w:tc>
      </w:tr>
      <w:tr>
        <w:tc>
          <w:tcPr>
            <w:tcW w:type="dxa" w:w="1700"/>
            <w:tcMar>
              <w:top w:type="dxa" w:w="60"/>
              <w:left w:type="dxa" w:w="110"/>
              <w:bottom w:type="dxa" w:w="60"/>
              <w:right w:type="dxa" w:w="110"/>
            </w:tcMar>
          </w:tcPr>
          <w:p>
            <w:r>
              <w:rPr>
                <w:color w:val="14121F"/>
                <w:sz w:val="19"/>
                <w:szCs w:val="19"/>
              </w:rPr>
              <w:t xml:space="preserve">Bank</w:t>
            </w:r>
          </w:p>
        </w:tc>
        <w:tc>
          <w:tcPr>
            <w:tcW w:type="dxa" w:w="4560"/>
            <w:tcMar>
              <w:top w:type="dxa" w:w="60"/>
              <w:left w:type="dxa" w:w="110"/>
              <w:bottom w:type="dxa" w:w="60"/>
              <w:right w:type="dxa" w:w="110"/>
            </w:tcMar>
          </w:tcPr>
          <w:p>
            <w:r>
              <w:rPr>
                <w:color w:val="14121F"/>
                <w:sz w:val="19"/>
                <w:szCs w:val="19"/>
              </w:rPr>
              <w:t xml:space="preserve">Bank name (top-level dropdown)</w:t>
            </w:r>
          </w:p>
        </w:tc>
        <w:tc>
          <w:tcPr>
            <w:tcW w:type="dxa" w:w="3100"/>
            <w:tcMar>
              <w:top w:type="dxa" w:w="60"/>
              <w:left w:type="dxa" w:w="110"/>
              <w:bottom w:type="dxa" w:w="60"/>
              <w:right w:type="dxa" w:w="110"/>
            </w:tcMar>
          </w:tcPr>
          <w:p>
            <w:r>
              <w:rPr>
                <w:color w:val="14121F"/>
                <w:sz w:val="19"/>
                <w:szCs w:val="19"/>
              </w:rPr>
              <w:t xml:space="preserve">Industrial and Commercial Bank of China</w:t>
            </w:r>
          </w:p>
        </w:tc>
      </w:tr>
      <w:tr>
        <w:tc>
          <w:tcPr>
            <w:tcW w:type="dxa" w:w="1700"/>
            <w:shd w:fill="F7F6FC" w:color="auto" w:val="clear"/>
            <w:tcMar>
              <w:top w:type="dxa" w:w="60"/>
              <w:left w:type="dxa" w:w="110"/>
              <w:bottom w:type="dxa" w:w="60"/>
              <w:right w:type="dxa" w:w="110"/>
            </w:tcMar>
          </w:tcPr>
          <w:p>
            <w:r>
              <w:rPr>
                <w:color w:val="14121F"/>
                <w:sz w:val="19"/>
                <w:szCs w:val="19"/>
              </w:rPr>
              <w:t xml:space="preserve">Province</w:t>
            </w:r>
          </w:p>
        </w:tc>
        <w:tc>
          <w:tcPr>
            <w:tcW w:type="dxa" w:w="4560"/>
            <w:shd w:fill="F7F6FC" w:color="auto" w:val="clear"/>
            <w:tcMar>
              <w:top w:type="dxa" w:w="60"/>
              <w:left w:type="dxa" w:w="110"/>
              <w:bottom w:type="dxa" w:w="60"/>
              <w:right w:type="dxa" w:w="110"/>
            </w:tcMar>
          </w:tcPr>
          <w:p>
            <w:r>
              <w:rPr>
                <w:color w:val="14121F"/>
                <w:sz w:val="19"/>
                <w:szCs w:val="19"/>
              </w:rPr>
              <w:t xml:space="preserve">Province (2nd dropdown)</w:t>
            </w:r>
          </w:p>
        </w:tc>
        <w:tc>
          <w:tcPr>
            <w:tcW w:type="dxa" w:w="3100"/>
            <w:shd w:fill="F7F6FC" w:color="auto" w:val="clear"/>
            <w:tcMar>
              <w:top w:type="dxa" w:w="60"/>
              <w:left w:type="dxa" w:w="110"/>
              <w:bottom w:type="dxa" w:w="60"/>
              <w:right w:type="dxa" w:w="110"/>
            </w:tcMar>
          </w:tcPr>
          <w:p>
            <w:r>
              <w:rPr>
                <w:color w:val="14121F"/>
                <w:sz w:val="19"/>
                <w:szCs w:val="19"/>
              </w:rPr>
              <w:t xml:space="preserve">Zhejiang</w:t>
            </w:r>
          </w:p>
        </w:tc>
      </w:tr>
      <w:tr>
        <w:tc>
          <w:tcPr>
            <w:tcW w:type="dxa" w:w="1700"/>
            <w:tcMar>
              <w:top w:type="dxa" w:w="60"/>
              <w:left w:type="dxa" w:w="110"/>
              <w:bottom w:type="dxa" w:w="60"/>
              <w:right w:type="dxa" w:w="110"/>
            </w:tcMar>
          </w:tcPr>
          <w:p>
            <w:r>
              <w:rPr>
                <w:color w:val="14121F"/>
                <w:sz w:val="19"/>
                <w:szCs w:val="19"/>
              </w:rPr>
              <w:t xml:space="preserve">City</w:t>
            </w:r>
          </w:p>
        </w:tc>
        <w:tc>
          <w:tcPr>
            <w:tcW w:type="dxa" w:w="4560"/>
            <w:tcMar>
              <w:top w:type="dxa" w:w="60"/>
              <w:left w:type="dxa" w:w="110"/>
              <w:bottom w:type="dxa" w:w="60"/>
              <w:right w:type="dxa" w:w="110"/>
            </w:tcMar>
          </w:tcPr>
          <w:p>
            <w:r>
              <w:rPr>
                <w:color w:val="14121F"/>
                <w:sz w:val="19"/>
                <w:szCs w:val="19"/>
              </w:rPr>
              <w:t xml:space="preserve">City (3rd dropdown)</w:t>
            </w:r>
          </w:p>
        </w:tc>
        <w:tc>
          <w:tcPr>
            <w:tcW w:type="dxa" w:w="3100"/>
            <w:tcMar>
              <w:top w:type="dxa" w:w="60"/>
              <w:left w:type="dxa" w:w="110"/>
              <w:bottom w:type="dxa" w:w="60"/>
              <w:right w:type="dxa" w:w="110"/>
            </w:tcMar>
          </w:tcPr>
          <w:p>
            <w:r>
              <w:rPr>
                <w:color w:val="14121F"/>
                <w:sz w:val="19"/>
                <w:szCs w:val="19"/>
              </w:rPr>
              <w:t xml:space="preserve">Zhoushan City</w:t>
            </w:r>
          </w:p>
        </w:tc>
      </w:tr>
      <w:tr>
        <w:tc>
          <w:tcPr>
            <w:tcW w:type="dxa" w:w="1700"/>
            <w:shd w:fill="F7F6FC" w:color="auto" w:val="clear"/>
            <w:tcMar>
              <w:top w:type="dxa" w:w="60"/>
              <w:left w:type="dxa" w:w="110"/>
              <w:bottom w:type="dxa" w:w="60"/>
              <w:right w:type="dxa" w:w="110"/>
            </w:tcMar>
          </w:tcPr>
          <w:p>
            <w:r>
              <w:rPr>
                <w:color w:val="14121F"/>
                <w:sz w:val="19"/>
                <w:szCs w:val="19"/>
              </w:rPr>
              <w:t xml:space="preserve">Branch Name</w:t>
            </w:r>
          </w:p>
        </w:tc>
        <w:tc>
          <w:tcPr>
            <w:tcW w:type="dxa" w:w="4560"/>
            <w:shd w:fill="F7F6FC" w:color="auto" w:val="clear"/>
            <w:tcMar>
              <w:top w:type="dxa" w:w="60"/>
              <w:left w:type="dxa" w:w="110"/>
              <w:bottom w:type="dxa" w:w="60"/>
              <w:right w:type="dxa" w:w="110"/>
            </w:tcMar>
          </w:tcPr>
          <w:p>
            <w:r>
              <w:rPr>
                <w:color w:val="14121F"/>
                <w:sz w:val="19"/>
                <w:szCs w:val="19"/>
              </w:rPr>
              <w:t xml:space="preserve">Specific branch (4th dropdown)</w:t>
            </w:r>
          </w:p>
        </w:tc>
        <w:tc>
          <w:tcPr>
            <w:tcW w:type="dxa" w:w="3100"/>
            <w:shd w:fill="F7F6FC" w:color="auto" w:val="clear"/>
            <w:tcMar>
              <w:top w:type="dxa" w:w="60"/>
              <w:left w:type="dxa" w:w="110"/>
              <w:bottom w:type="dxa" w:w="60"/>
              <w:right w:type="dxa" w:w="110"/>
            </w:tcMar>
          </w:tcPr>
          <w:p>
            <w:r>
              <w:rPr>
                <w:color w:val="14121F"/>
                <w:sz w:val="19"/>
                <w:szCs w:val="19"/>
              </w:rPr>
              <w:t xml:space="preserve">ICBC Zhoushan Chengdong Branch</w:t>
            </w:r>
          </w:p>
        </w:tc>
      </w:tr>
      <w:tr>
        <w:tc>
          <w:tcPr>
            <w:tcW w:type="dxa" w:w="1700"/>
            <w:tcMar>
              <w:top w:type="dxa" w:w="60"/>
              <w:left w:type="dxa" w:w="110"/>
              <w:bottom w:type="dxa" w:w="60"/>
              <w:right w:type="dxa" w:w="110"/>
            </w:tcMar>
          </w:tcPr>
          <w:p>
            <w:r>
              <w:rPr>
                <w:color w:val="14121F"/>
                <w:sz w:val="19"/>
                <w:szCs w:val="19"/>
              </w:rPr>
              <w:t xml:space="preserve">CNAPS Code</w:t>
            </w:r>
          </w:p>
        </w:tc>
        <w:tc>
          <w:tcPr>
            <w:tcW w:type="dxa" w:w="4560"/>
            <w:tcMar>
              <w:top w:type="dxa" w:w="60"/>
              <w:left w:type="dxa" w:w="110"/>
              <w:bottom w:type="dxa" w:w="60"/>
              <w:right w:type="dxa" w:w="110"/>
            </w:tcMar>
          </w:tcPr>
          <w:p>
            <w:r>
              <w:rPr>
                <w:color w:val="14121F"/>
                <w:sz w:val="19"/>
                <w:szCs w:val="19"/>
              </w:rPr>
              <w:t xml:space="preserve">12-digit routing code (auto-resolved)</w:t>
            </w:r>
          </w:p>
        </w:tc>
        <w:tc>
          <w:tcPr>
            <w:tcW w:type="dxa" w:w="3100"/>
            <w:tcMar>
              <w:top w:type="dxa" w:w="60"/>
              <w:left w:type="dxa" w:w="110"/>
              <w:bottom w:type="dxa" w:w="60"/>
              <w:right w:type="dxa" w:w="110"/>
            </w:tcMar>
          </w:tcPr>
          <w:p>
            <w:r>
              <w:rPr>
                <w:color w:val="14121F"/>
                <w:sz w:val="19"/>
                <w:szCs w:val="19"/>
              </w:rPr>
              <w:t xml:space="preserve">102342002074</w:t>
            </w:r>
          </w:p>
        </w:tc>
      </w:tr>
      <w:tr>
        <w:tc>
          <w:tcPr>
            <w:tcW w:type="dxa" w:w="1700"/>
            <w:shd w:fill="F7F6FC" w:color="auto" w:val="clear"/>
            <w:tcMar>
              <w:top w:type="dxa" w:w="60"/>
              <w:left w:type="dxa" w:w="110"/>
              <w:bottom w:type="dxa" w:w="60"/>
              <w:right w:type="dxa" w:w="110"/>
            </w:tcMar>
          </w:tcPr>
          <w:p>
            <w:r>
              <w:rPr>
                <w:color w:val="14121F"/>
                <w:sz w:val="19"/>
                <w:szCs w:val="19"/>
              </w:rPr>
              <w:t xml:space="preserve">Postal Code</w:t>
            </w:r>
          </w:p>
        </w:tc>
        <w:tc>
          <w:tcPr>
            <w:tcW w:type="dxa" w:w="4560"/>
            <w:shd w:fill="F7F6FC" w:color="auto" w:val="clear"/>
            <w:tcMar>
              <w:top w:type="dxa" w:w="60"/>
              <w:left w:type="dxa" w:w="110"/>
              <w:bottom w:type="dxa" w:w="60"/>
              <w:right w:type="dxa" w:w="110"/>
            </w:tcMar>
          </w:tcPr>
          <w:p>
            <w:r>
              <w:rPr>
                <w:color w:val="14121F"/>
                <w:sz w:val="19"/>
                <w:szCs w:val="19"/>
              </w:rPr>
              <w:t xml:space="preserve">Branch postal code (auto-resolved)</w:t>
            </w:r>
          </w:p>
        </w:tc>
        <w:tc>
          <w:tcPr>
            <w:tcW w:type="dxa" w:w="3100"/>
            <w:shd w:fill="F7F6FC" w:color="auto" w:val="clear"/>
            <w:tcMar>
              <w:top w:type="dxa" w:w="60"/>
              <w:left w:type="dxa" w:w="110"/>
              <w:bottom w:type="dxa" w:w="60"/>
              <w:right w:type="dxa" w:w="110"/>
            </w:tcMar>
          </w:tcPr>
          <w:p>
            <w:r>
              <w:rPr>
                <w:color w:val="14121F"/>
                <w:sz w:val="19"/>
                <w:szCs w:val="19"/>
              </w:rPr>
              <w:t xml:space="preserve">310000</w:t>
            </w:r>
          </w:p>
        </w:tc>
      </w:tr>
    </w:tbl>
    <w:p>
      <w:pPr>
        <w:spacing w:after="120" w:line="276"/>
      </w:pPr>
      <w:r>
        <w:rPr>
          <w:b/>
          <w:bCs/>
        </w:rPr>
        <w:t xml:space="preserve">Scale: </w:t>
      </w:r>
      <w:r>
        <w:t xml:space="preserve">~148,000 branch records across 127 banks and 31 provinces. Data is served via a lookup keyed on bank → province → city → branch. The full dataset is published in the repository as CSV (one file per sheet) with a data dictionary. See </w:t>
      </w:r>
      <w:r>
        <w:rPr>
          <w:i/>
          <w:iCs/>
        </w:rPr>
        <w:t xml:space="preserve">appendix</w:t>
      </w:r>
      <w:r>
        <w:t xml:space="preserve"> for maintenance notes.</w:t>
      </w:r>
    </w:p>
    <w:p>
      <w:pPr>
        <w:pStyle w:val="Heading1"/>
      </w:pPr>
      <w:r>
        <w:rPr>
          <w:b/>
          <w:bCs/>
          <w:color w:val="14121F"/>
        </w:rPr>
        <w:t xml:space="preserve">7. Edge cases &amp; data quality</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3000"/>
        <w:gridCol w:w="6360"/>
      </w:tblGrid>
      <w:tr>
        <w:trPr>
          <w:tblHeader/>
        </w:trPr>
        <w:tc>
          <w:tcPr>
            <w:tcW w:type="dxa" w:w="3000"/>
            <w:shd w:fill="5B3DF5" w:color="auto" w:val="clear"/>
            <w:tcMar>
              <w:top w:type="dxa" w:w="70"/>
              <w:left w:type="dxa" w:w="110"/>
              <w:bottom w:type="dxa" w:w="70"/>
              <w:right w:type="dxa" w:w="110"/>
            </w:tcMar>
          </w:tcPr>
          <w:p>
            <w:r>
              <w:rPr>
                <w:b/>
                <w:bCs/>
                <w:color w:val="FFFFFF"/>
                <w:sz w:val="19"/>
                <w:szCs w:val="19"/>
              </w:rPr>
              <w:t xml:space="preserve">Scenario</w:t>
            </w:r>
          </w:p>
        </w:tc>
        <w:tc>
          <w:tcPr>
            <w:tcW w:type="dxa" w:w="6360"/>
            <w:shd w:fill="5B3DF5" w:color="auto" w:val="clear"/>
            <w:tcMar>
              <w:top w:type="dxa" w:w="70"/>
              <w:left w:type="dxa" w:w="110"/>
              <w:bottom w:type="dxa" w:w="70"/>
              <w:right w:type="dxa" w:w="110"/>
            </w:tcMar>
          </w:tcPr>
          <w:p>
            <w:r>
              <w:rPr>
                <w:b/>
                <w:bCs/>
                <w:color w:val="FFFFFF"/>
                <w:sz w:val="19"/>
                <w:szCs w:val="19"/>
              </w:rPr>
              <w:t xml:space="preserve">Expected behaviour</w:t>
            </w:r>
          </w:p>
        </w:tc>
      </w:tr>
      <w:tr>
        <w:tc>
          <w:tcPr>
            <w:tcW w:type="dxa" w:w="3000"/>
            <w:tcMar>
              <w:top w:type="dxa" w:w="60"/>
              <w:left w:type="dxa" w:w="110"/>
              <w:bottom w:type="dxa" w:w="60"/>
              <w:right w:type="dxa" w:w="110"/>
            </w:tcMar>
          </w:tcPr>
          <w:p>
            <w:r>
              <w:rPr>
                <w:color w:val="14121F"/>
                <w:sz w:val="19"/>
                <w:szCs w:val="19"/>
              </w:rPr>
              <w:t xml:space="preserve">Branch has no CNAPS code in source data</w:t>
            </w:r>
          </w:p>
        </w:tc>
        <w:tc>
          <w:tcPr>
            <w:tcW w:type="dxa" w:w="6360"/>
            <w:tcMar>
              <w:top w:type="dxa" w:w="60"/>
              <w:left w:type="dxa" w:w="110"/>
              <w:bottom w:type="dxa" w:w="60"/>
              <w:right w:type="dxa" w:w="110"/>
            </w:tcMar>
          </w:tcPr>
          <w:p>
            <w:r>
              <w:rPr>
                <w:color w:val="14121F"/>
                <w:sz w:val="19"/>
                <w:szCs w:val="19"/>
              </w:rPr>
              <w:t xml:space="preserve">Hide or disable the branch, or flag for ops; never submit without a resolved code.</w:t>
            </w:r>
          </w:p>
        </w:tc>
      </w:tr>
      <w:tr>
        <w:tc>
          <w:tcPr>
            <w:tcW w:type="dxa" w:w="3000"/>
            <w:shd w:fill="F7F6FC" w:color="auto" w:val="clear"/>
            <w:tcMar>
              <w:top w:type="dxa" w:w="60"/>
              <w:left w:type="dxa" w:w="110"/>
              <w:bottom w:type="dxa" w:w="60"/>
              <w:right w:type="dxa" w:w="110"/>
            </w:tcMar>
          </w:tcPr>
          <w:p>
            <w:r>
              <w:rPr>
                <w:color w:val="14121F"/>
                <w:sz w:val="19"/>
                <w:szCs w:val="19"/>
              </w:rPr>
              <w:t xml:space="preserve">Postal code missing or province-level only</w:t>
            </w:r>
          </w:p>
        </w:tc>
        <w:tc>
          <w:tcPr>
            <w:tcW w:type="dxa" w:w="6360"/>
            <w:shd w:fill="F7F6FC" w:color="auto" w:val="clear"/>
            <w:tcMar>
              <w:top w:type="dxa" w:w="60"/>
              <w:left w:type="dxa" w:w="110"/>
              <w:bottom w:type="dxa" w:w="60"/>
              <w:right w:type="dxa" w:w="110"/>
            </w:tcMar>
          </w:tcPr>
          <w:p>
            <w:r>
              <w:rPr>
                <w:color w:val="14121F"/>
                <w:sz w:val="19"/>
                <w:szCs w:val="19"/>
              </w:rPr>
              <w:t xml:space="preserve">Fall back to province/city-level postal; flag low-confidence matches for review.</w:t>
            </w:r>
          </w:p>
        </w:tc>
      </w:tr>
      <w:tr>
        <w:tc>
          <w:tcPr>
            <w:tcW w:type="dxa" w:w="3000"/>
            <w:tcMar>
              <w:top w:type="dxa" w:w="60"/>
              <w:left w:type="dxa" w:w="110"/>
              <w:bottom w:type="dxa" w:w="60"/>
              <w:right w:type="dxa" w:w="110"/>
            </w:tcMar>
          </w:tcPr>
          <w:p>
            <w:r>
              <w:rPr>
                <w:color w:val="14121F"/>
                <w:sz w:val="19"/>
                <w:szCs w:val="19"/>
              </w:rPr>
              <w:t xml:space="preserve">Bank/branch renamed or merged</w:t>
            </w:r>
          </w:p>
        </w:tc>
        <w:tc>
          <w:tcPr>
            <w:tcW w:type="dxa" w:w="6360"/>
            <w:tcMar>
              <w:top w:type="dxa" w:w="60"/>
              <w:left w:type="dxa" w:w="110"/>
              <w:bottom w:type="dxa" w:w="60"/>
              <w:right w:type="dxa" w:w="110"/>
            </w:tcMar>
          </w:tcPr>
          <w:p>
            <w:r>
              <w:rPr>
                <w:color w:val="14121F"/>
                <w:sz w:val="19"/>
                <w:szCs w:val="19"/>
              </w:rPr>
              <w:t xml:space="preserve">Maintain aliases; periodic refresh of the reference dataset from source.</w:t>
            </w:r>
          </w:p>
        </w:tc>
      </w:tr>
      <w:tr>
        <w:tc>
          <w:tcPr>
            <w:tcW w:type="dxa" w:w="3000"/>
            <w:shd w:fill="F7F6FC" w:color="auto" w:val="clear"/>
            <w:tcMar>
              <w:top w:type="dxa" w:w="60"/>
              <w:left w:type="dxa" w:w="110"/>
              <w:bottom w:type="dxa" w:w="60"/>
              <w:right w:type="dxa" w:w="110"/>
            </w:tcMar>
          </w:tcPr>
          <w:p>
            <w:r>
              <w:rPr>
                <w:color w:val="14121F"/>
                <w:sz w:val="19"/>
                <w:szCs w:val="19"/>
              </w:rPr>
              <w:t xml:space="preserve">Duplicate or near-identical branch names</w:t>
            </w:r>
          </w:p>
        </w:tc>
        <w:tc>
          <w:tcPr>
            <w:tcW w:type="dxa" w:w="6360"/>
            <w:shd w:fill="F7F6FC" w:color="auto" w:val="clear"/>
            <w:tcMar>
              <w:top w:type="dxa" w:w="60"/>
              <w:left w:type="dxa" w:w="110"/>
              <w:bottom w:type="dxa" w:w="60"/>
              <w:right w:type="dxa" w:w="110"/>
            </w:tcMar>
          </w:tcPr>
          <w:p>
            <w:r>
              <w:rPr>
                <w:color w:val="14121F"/>
                <w:sz w:val="19"/>
                <w:szCs w:val="19"/>
              </w:rPr>
              <w:t xml:space="preserve">Disambiguate with location; keep CNAPS as the unique key.</w:t>
            </w:r>
          </w:p>
        </w:tc>
      </w:tr>
      <w:tr>
        <w:tc>
          <w:tcPr>
            <w:tcW w:type="dxa" w:w="3000"/>
            <w:tcMar>
              <w:top w:type="dxa" w:w="60"/>
              <w:left w:type="dxa" w:w="110"/>
              <w:bottom w:type="dxa" w:w="60"/>
              <w:right w:type="dxa" w:w="110"/>
            </w:tcMar>
          </w:tcPr>
          <w:p>
            <w:r>
              <w:rPr>
                <w:color w:val="14121F"/>
                <w:sz w:val="19"/>
                <w:szCs w:val="19"/>
              </w:rPr>
              <w:t xml:space="preserve">Beneficiary ID fails format validation</w:t>
            </w:r>
          </w:p>
        </w:tc>
        <w:tc>
          <w:tcPr>
            <w:tcW w:type="dxa" w:w="6360"/>
            <w:tcMar>
              <w:top w:type="dxa" w:w="60"/>
              <w:left w:type="dxa" w:w="110"/>
              <w:bottom w:type="dxa" w:w="60"/>
              <w:right w:type="dxa" w:w="110"/>
            </w:tcMar>
          </w:tcPr>
          <w:p>
            <w:r>
              <w:rPr>
                <w:color w:val="14121F"/>
                <w:sz w:val="19"/>
                <w:szCs w:val="19"/>
              </w:rPr>
              <w:t xml:space="preserve">Block submission with a clear message; do not send malformed IDs.</w:t>
            </w:r>
          </w:p>
        </w:tc>
      </w:tr>
      <w:tr>
        <w:tc>
          <w:tcPr>
            <w:tcW w:type="dxa" w:w="3000"/>
            <w:shd w:fill="F7F6FC" w:color="auto" w:val="clear"/>
            <w:tcMar>
              <w:top w:type="dxa" w:w="60"/>
              <w:left w:type="dxa" w:w="110"/>
              <w:bottom w:type="dxa" w:w="60"/>
              <w:right w:type="dxa" w:w="110"/>
            </w:tcMar>
          </w:tcPr>
          <w:p>
            <w:r>
              <w:rPr>
                <w:color w:val="14121F"/>
                <w:sz w:val="19"/>
                <w:szCs w:val="19"/>
              </w:rPr>
              <w:t xml:space="preserve">Sender picks wrong branch</w:t>
            </w:r>
          </w:p>
        </w:tc>
        <w:tc>
          <w:tcPr>
            <w:tcW w:type="dxa" w:w="6360"/>
            <w:shd w:fill="F7F6FC" w:color="auto" w:val="clear"/>
            <w:tcMar>
              <w:top w:type="dxa" w:w="60"/>
              <w:left w:type="dxa" w:w="110"/>
              <w:bottom w:type="dxa" w:w="60"/>
              <w:right w:type="dxa" w:w="110"/>
            </w:tcMar>
          </w:tcPr>
          <w:p>
            <w:r>
              <w:rPr>
                <w:color w:val="14121F"/>
                <w:sz w:val="19"/>
                <w:szCs w:val="19"/>
              </w:rPr>
              <w:t xml:space="preserve">Review screen surfaces resolved routing for a final check before sending.</w:t>
            </w:r>
          </w:p>
        </w:tc>
      </w:tr>
      <w:tr>
        <w:tc>
          <w:tcPr>
            <w:tcW w:type="dxa" w:w="3000"/>
            <w:tcMar>
              <w:top w:type="dxa" w:w="60"/>
              <w:left w:type="dxa" w:w="110"/>
              <w:bottom w:type="dxa" w:w="60"/>
              <w:right w:type="dxa" w:w="110"/>
            </w:tcMar>
          </w:tcPr>
          <w:p>
            <w:r>
              <w:rPr>
                <w:color w:val="14121F"/>
                <w:sz w:val="19"/>
                <w:szCs w:val="19"/>
              </w:rPr>
              <w:t xml:space="preserve">Coverage gap (unsupported bank)</w:t>
            </w:r>
          </w:p>
        </w:tc>
        <w:tc>
          <w:tcPr>
            <w:tcW w:type="dxa" w:w="6360"/>
            <w:tcMar>
              <w:top w:type="dxa" w:w="60"/>
              <w:left w:type="dxa" w:w="110"/>
              <w:bottom w:type="dxa" w:w="60"/>
              <w:right w:type="dxa" w:w="110"/>
            </w:tcMar>
          </w:tcPr>
          <w:p>
            <w:r>
              <w:rPr>
                <w:color w:val="14121F"/>
                <w:sz w:val="19"/>
                <w:szCs w:val="19"/>
              </w:rPr>
              <w:t xml:space="preserve">Communicate the bank isn't supported yet; capture demand for prioritisation.</w:t>
            </w:r>
          </w:p>
        </w:tc>
      </w:tr>
    </w:tbl>
    <w:p>
      <w:pPr>
        <w:pStyle w:val="Heading1"/>
      </w:pPr>
      <w:r>
        <w:rPr>
          <w:b/>
          <w:bCs/>
          <w:color w:val="14121F"/>
        </w:rPr>
        <w:t xml:space="preserve">8. Analytics &amp; instrumentation</w:t>
      </w:r>
    </w:p>
    <w:p>
      <w:pPr>
        <w:pStyle w:val="ListParagraph"/>
        <w:numPr>
          <w:ilvl w:val="0"/>
          <w:numId w:val="2"/>
        </w:numPr>
        <w:spacing w:after="60" w:line="268"/>
      </w:pPr>
      <w:r>
        <w:t xml:space="preserve">bank_selected, province_selected, city_selected, branch_selected, cnaps_resolved, bank_details_completed.</w:t>
      </w:r>
    </w:p>
    <w:p>
      <w:pPr>
        <w:pStyle w:val="ListParagraph"/>
        <w:numPr>
          <w:ilvl w:val="0"/>
          <w:numId w:val="2"/>
        </w:numPr>
        <w:spacing w:after="60" w:line="268"/>
      </w:pPr>
      <w:r>
        <w:t xml:space="preserve">beneficiary_submitted, review_viewed, transfer_submitted, transfer_failed (with reason).</w:t>
      </w:r>
    </w:p>
    <w:p>
      <w:pPr>
        <w:pStyle w:val="ListParagraph"/>
        <w:numPr>
          <w:ilvl w:val="0"/>
          <w:numId w:val="2"/>
        </w:numPr>
        <w:spacing w:after="60" w:line="268"/>
      </w:pPr>
      <w:r>
        <w:t xml:space="preserve">coverage_gap_hit (bank/branch not found) to prioritise dataset expansion.</w:t>
      </w:r>
    </w:p>
    <w:p>
      <w:pPr>
        <w:pStyle w:val="Heading1"/>
      </w:pPr>
      <w:r>
        <w:rPr>
          <w:b/>
          <w:bCs/>
          <w:color w:val="14121F"/>
        </w:rPr>
        <w:t xml:space="preserve">9. Rollout plan</w:t>
      </w:r>
    </w:p>
    <w:tbl>
      <w:tblPr>
        <w:tblW w:type="dxa" w:w="9360"/>
        <w:tblBorders>
          <w:top w:val="single" w:color="D9D5E8" w:sz="4"/>
          <w:left w:val="single" w:color="D9D5E8" w:sz="4"/>
          <w:bottom w:val="single" w:color="D9D5E8" w:sz="4"/>
          <w:right w:val="single" w:color="D9D5E8" w:sz="4"/>
          <w:insideH w:val="single" w:color="D9D5E8" w:sz="4"/>
          <w:insideV w:val="single" w:color="D9D5E8" w:sz="4"/>
        </w:tblBorders>
      </w:tblPr>
      <w:tblGrid>
        <w:gridCol w:w="2100"/>
        <w:gridCol w:w="7260"/>
      </w:tblGrid>
      <w:tr>
        <w:trPr>
          <w:tblHeader/>
        </w:trPr>
        <w:tc>
          <w:tcPr>
            <w:tcW w:type="dxa" w:w="2100"/>
            <w:shd w:fill="5B3DF5" w:color="auto" w:val="clear"/>
            <w:tcMar>
              <w:top w:type="dxa" w:w="70"/>
              <w:left w:type="dxa" w:w="110"/>
              <w:bottom w:type="dxa" w:w="70"/>
              <w:right w:type="dxa" w:w="110"/>
            </w:tcMar>
          </w:tcPr>
          <w:p>
            <w:r>
              <w:rPr>
                <w:b/>
                <w:bCs/>
                <w:color w:val="FFFFFF"/>
                <w:sz w:val="19"/>
                <w:szCs w:val="19"/>
              </w:rPr>
              <w:t xml:space="preserve">Phase</w:t>
            </w:r>
          </w:p>
        </w:tc>
        <w:tc>
          <w:tcPr>
            <w:tcW w:type="dxa" w:w="7260"/>
            <w:shd w:fill="5B3DF5" w:color="auto" w:val="clear"/>
            <w:tcMar>
              <w:top w:type="dxa" w:w="70"/>
              <w:left w:type="dxa" w:w="110"/>
              <w:bottom w:type="dxa" w:w="70"/>
              <w:right w:type="dxa" w:w="110"/>
            </w:tcMar>
          </w:tcPr>
          <w:p>
            <w:r>
              <w:rPr>
                <w:b/>
                <w:bCs/>
                <w:color w:val="FFFFFF"/>
                <w:sz w:val="19"/>
                <w:szCs w:val="19"/>
              </w:rPr>
              <w:t xml:space="preserve">Scope</w:t>
            </w:r>
          </w:p>
        </w:tc>
      </w:tr>
      <w:tr>
        <w:tc>
          <w:tcPr>
            <w:tcW w:type="dxa" w:w="2100"/>
            <w:tcMar>
              <w:top w:type="dxa" w:w="60"/>
              <w:left w:type="dxa" w:w="110"/>
              <w:bottom w:type="dxa" w:w="60"/>
              <w:right w:type="dxa" w:w="110"/>
            </w:tcMar>
          </w:tcPr>
          <w:p>
            <w:r>
              <w:rPr>
                <w:color w:val="14121F"/>
                <w:sz w:val="19"/>
                <w:szCs w:val="19"/>
              </w:rPr>
              <w:t xml:space="preserve">Phase 1 — MVP</w:t>
            </w:r>
          </w:p>
        </w:tc>
        <w:tc>
          <w:tcPr>
            <w:tcW w:type="dxa" w:w="7260"/>
            <w:tcMar>
              <w:top w:type="dxa" w:w="60"/>
              <w:left w:type="dxa" w:w="110"/>
              <w:bottom w:type="dxa" w:w="60"/>
              <w:right w:type="dxa" w:w="110"/>
            </w:tcMar>
          </w:tcPr>
          <w:p>
            <w:r>
              <w:rPr>
                <w:color w:val="14121F"/>
                <w:sz w:val="19"/>
                <w:szCs w:val="19"/>
              </w:rPr>
              <w:t xml:space="preserve">Guided cascade for the top banks by volume; auto-resolved CNAPS; review + submit.</w:t>
            </w:r>
          </w:p>
        </w:tc>
      </w:tr>
      <w:tr>
        <w:tc>
          <w:tcPr>
            <w:tcW w:type="dxa" w:w="2100"/>
            <w:shd w:fill="F7F6FC" w:color="auto" w:val="clear"/>
            <w:tcMar>
              <w:top w:type="dxa" w:w="60"/>
              <w:left w:type="dxa" w:w="110"/>
              <w:bottom w:type="dxa" w:w="60"/>
              <w:right w:type="dxa" w:w="110"/>
            </w:tcMar>
          </w:tcPr>
          <w:p>
            <w:r>
              <w:rPr>
                <w:color w:val="14121F"/>
                <w:sz w:val="19"/>
                <w:szCs w:val="19"/>
              </w:rPr>
              <w:t xml:space="preserve">Phase 2 — Full coverage</w:t>
            </w:r>
          </w:p>
        </w:tc>
        <w:tc>
          <w:tcPr>
            <w:tcW w:type="dxa" w:w="7260"/>
            <w:shd w:fill="F7F6FC" w:color="auto" w:val="clear"/>
            <w:tcMar>
              <w:top w:type="dxa" w:w="60"/>
              <w:left w:type="dxa" w:w="110"/>
              <w:bottom w:type="dxa" w:w="60"/>
              <w:right w:type="dxa" w:w="110"/>
            </w:tcMar>
          </w:tcPr>
          <w:p>
            <w:r>
              <w:rPr>
                <w:color w:val="14121F"/>
                <w:sz w:val="19"/>
                <w:szCs w:val="19"/>
              </w:rPr>
              <w:t xml:space="preserve">Extend to all supported banks (both sheets); type-ahead search; coverage-gap capture.</w:t>
            </w:r>
          </w:p>
        </w:tc>
      </w:tr>
      <w:tr>
        <w:tc>
          <w:tcPr>
            <w:tcW w:type="dxa" w:w="2100"/>
            <w:tcMar>
              <w:top w:type="dxa" w:w="60"/>
              <w:left w:type="dxa" w:w="110"/>
              <w:bottom w:type="dxa" w:w="60"/>
              <w:right w:type="dxa" w:w="110"/>
            </w:tcMar>
          </w:tcPr>
          <w:p>
            <w:r>
              <w:rPr>
                <w:color w:val="14121F"/>
                <w:sz w:val="19"/>
                <w:szCs w:val="19"/>
              </w:rPr>
              <w:t xml:space="preserve">Phase 3 — Hardening</w:t>
            </w:r>
          </w:p>
        </w:tc>
        <w:tc>
          <w:tcPr>
            <w:tcW w:type="dxa" w:w="7260"/>
            <w:tcMar>
              <w:top w:type="dxa" w:w="60"/>
              <w:left w:type="dxa" w:w="110"/>
              <w:bottom w:type="dxa" w:w="60"/>
              <w:right w:type="dxa" w:w="110"/>
            </w:tcMar>
          </w:tcPr>
          <w:p>
            <w:r>
              <w:rPr>
                <w:color w:val="14121F"/>
                <w:sz w:val="19"/>
                <w:szCs w:val="19"/>
              </w:rPr>
              <w:t xml:space="preserve">Automated dataset refresh, alias handling, low-confidence postal flags, monitoring dashboards.</w:t>
            </w:r>
          </w:p>
        </w:tc>
      </w:tr>
    </w:tbl>
    <w:p>
      <w:pPr>
        <w:pStyle w:val="Heading1"/>
      </w:pPr>
      <w:r>
        <w:rPr>
          <w:b/>
          <w:bCs/>
          <w:color w:val="14121F"/>
        </w:rPr>
        <w:t xml:space="preserve">10. Open questions</w:t>
      </w:r>
    </w:p>
    <w:p>
      <w:pPr>
        <w:pStyle w:val="ListParagraph"/>
        <w:numPr>
          <w:ilvl w:val="0"/>
          <w:numId w:val="2"/>
        </w:numPr>
        <w:spacing w:after="60" w:line="268"/>
      </w:pPr>
      <w:r>
        <w:t xml:space="preserve">Cadence and source for refreshing the CNAPS/branch dataset?</w:t>
      </w:r>
    </w:p>
    <w:p>
      <w:pPr>
        <w:pStyle w:val="ListParagraph"/>
        <w:numPr>
          <w:ilvl w:val="0"/>
          <w:numId w:val="2"/>
        </w:numPr>
        <w:spacing w:after="60" w:line="268"/>
      </w:pPr>
      <w:r>
        <w:t xml:space="preserve">Do we keep an advanced free-text CNAPS fallback for power users or edge banks?</w:t>
      </w:r>
    </w:p>
    <w:p>
      <w:pPr>
        <w:pStyle w:val="ListParagraph"/>
        <w:numPr>
          <w:ilvl w:val="0"/>
          <w:numId w:val="2"/>
        </w:numPr>
        <w:spacing w:after="60" w:line="268"/>
      </w:pPr>
      <w:r>
        <w:t xml:space="preserve">How do we handle branches flagged 'not handling external business' — exclude entirely?</w:t>
      </w:r>
    </w:p>
    <w:p>
      <w:pPr>
        <w:pStyle w:val="ListParagraph"/>
        <w:numPr>
          <w:ilvl w:val="0"/>
          <w:numId w:val="2"/>
        </w:numPr>
        <w:spacing w:after="60" w:line="268"/>
      </w:pPr>
      <w:r>
        <w:t xml:space="preserve">Postal-code confidence: acceptable to submit province-level postal when city-level is unavailable?</w:t>
      </w:r>
    </w:p>
    <w:p>
      <w:pPr>
        <w:pStyle w:val="Heading1"/>
      </w:pPr>
      <w:r>
        <w:rPr>
          <w:b/>
          <w:bCs/>
          <w:color w:val="14121F"/>
        </w:rPr>
        <w:t xml:space="preserve">11. Appendix — dataset notes</w:t>
      </w:r>
    </w:p>
    <w:p>
      <w:pPr>
        <w:pStyle w:val="ListParagraph"/>
        <w:numPr>
          <w:ilvl w:val="0"/>
          <w:numId w:val="2"/>
        </w:numPr>
        <w:spacing w:after="60" w:line="268"/>
      </w:pPr>
      <w:r>
        <w:t xml:space="preserve">Two sheets: 'Selected Banks' (~74k rows, 15 major banks) and 'Other Banks' (~74.7k rows, 112 banks incl. rural/city commercial).</w:t>
      </w:r>
    </w:p>
    <w:p>
      <w:pPr>
        <w:pStyle w:val="ListParagraph"/>
        <w:numPr>
          <w:ilvl w:val="0"/>
          <w:numId w:val="2"/>
        </w:numPr>
        <w:spacing w:after="60" w:line="268"/>
      </w:pPr>
      <w:r>
        <w:t xml:space="preserve">Published to the repo as china-banks-selected.csv and china-banks-other.csv with a DATA-DICTIONARY.md.</w:t>
      </w:r>
    </w:p>
    <w:p>
      <w:pPr>
        <w:pStyle w:val="ListParagraph"/>
        <w:numPr>
          <w:ilvl w:val="0"/>
          <w:numId w:val="2"/>
        </w:numPr>
        <w:spacing w:after="60" w:line="268"/>
      </w:pPr>
      <w:r>
        <w:t xml:space="preserve">Prototype uses a curated subset (curated-banks.json) with genuine CNAPS codes for a fast, functional demo.</w:t>
      </w:r>
    </w:p>
    <w:p>
      <w:pPr>
        <w:pBdr>
          <w:bottom w:val="single" w:color="D9D5E8" w:sz="6"/>
        </w:pBdr>
        <w:spacing w:after="160" w:before="60"/>
      </w:pPr>
    </w:p>
    <w:p>
      <w:pPr>
        <w:spacing w:after="120" w:line="276"/>
      </w:pPr>
      <w:r>
        <w:rPr>
          <w:i/>
          <w:iCs/>
          <w:color w:val="6B6880"/>
        </w:rPr>
        <w:t xml:space="preserve">Companion artifacts: </w:t>
      </w:r>
      <w:r>
        <w:rPr>
          <w:i/>
          <w:iCs/>
          <w:color w:val="5B3DF5"/>
        </w:rPr>
        <w:t xml:space="preserve">send-to-china-mockup.html</w:t>
      </w:r>
      <w:r>
        <w:rPr>
          <w:i/>
          <w:iCs/>
          <w:color w:val="6B6880"/>
        </w:rPr>
        <w:t xml:space="preserve"> (prototype) · CSV reference data + data dictionary in /data.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5E8" w:sz="4"/>
      </w:pBdr>
      <w:spacing w:before="100"/>
      <w:jc w:val="center"/>
    </w:pPr>
    <w:r>
      <w:rPr>
        <w:color w:val="6B6880"/>
        <w:sz w:val="16"/>
        <w:szCs w:val="16"/>
      </w:rPr>
      <w:t xml:space="preserve">Afriex Send to China — CNAPS PRD  ·  Confidential  ·  Page </w:t>
    </w:r>
    <w:r>
      <w:rPr>
        <w:color w:val="6B68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5B3DF5"/>
      </w:rPr>
    </w:lvl>
  </w:abstractNum>
  <w:abstractNum w:abstractNumId="3" w15:restartNumberingAfterBreak="0">
    <w:multiLevelType w:val="hybridMultilevel"/>
    <w:lvl w:ilvl="0" w15:tentative="1">
      <w:start w:val="1"/>
      <w:numFmt w:val="decimal"/>
      <w:lvlText w:val="%1."/>
      <w:lvlJc w:val="left"/>
      <w:pPr>
        <w:ind w:left="460" w:hanging="260"/>
      </w:pPr>
      <w:rPr>
        <w:b/>
        <w:bCs/>
        <w:color w:val="5B3DF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2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4121F"/>
      <w:sz w:val="30"/>
      <w:szCs w:val="30"/>
    </w:rPr>
  </w:style>
  <w:style w:type="paragraph" w:styleId="Heading2">
    <w:name w:val="Heading 2"/>
    <w:basedOn w:val="Normal"/>
    <w:next w:val="Normal"/>
    <w:qFormat/>
    <w:pPr>
      <w:spacing w:after="100" w:before="240"/>
    </w:pPr>
    <w:rPr>
      <w:rFonts w:ascii="Calibri" w:cs="Calibri" w:eastAsia="Calibri" w:hAnsi="Calibri"/>
      <w:b/>
      <w:bCs/>
      <w:color w:val="5B3DF5"/>
      <w:sz w:val="25"/>
      <w:szCs w:val="25"/>
    </w:rPr>
  </w:style>
  <w:style w:type="paragraph" w:styleId="Heading3">
    <w:name w:val="Heading 3"/>
    <w:basedOn w:val="Normal"/>
    <w:next w:val="Normal"/>
    <w:qFormat/>
    <w:pPr>
      <w:spacing w:after="70" w:before="180"/>
    </w:pPr>
    <w:rPr>
      <w:rFonts w:ascii="Calibri" w:cs="Calibri" w:eastAsia="Calibri" w:hAnsi="Calibri"/>
      <w:b/>
      <w:bCs/>
      <w:color w:val="1412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Afriex Send to China — CNAPS PRD</dc:title>
  <dc:creator>Afriex</dc:creator>
  <cp:lastModifiedBy>Un-named</cp:lastModifiedBy>
  <cp:revision>1</cp:revision>
  <dcterms:created xsi:type="dcterms:W3CDTF">2026-07-31T19:34:56.516Z</dcterms:created>
  <dcterms:modified xsi:type="dcterms:W3CDTF">2026-07-31T19:34:56.522Z</dcterms:modified>
</cp:coreProperties>
</file>

<file path=docProps/custom.xml><?xml version="1.0" encoding="utf-8"?>
<Properties xmlns="http://schemas.openxmlformats.org/officeDocument/2006/custom-properties" xmlns:vt="http://schemas.openxmlformats.org/officeDocument/2006/docPropsVTypes"/>
</file>