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08908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0890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0"/>
        <w:ind w:left="0" w:right="0" w:firstLine="0"/>
        <w:jc w:val="center"/>
      </w:pPr>
      <w:r>
        <w:rPr>
          <w:rFonts w:ascii="HelveticaNeueLTStd" w:hAnsi="HelveticaNeueLTStd" w:eastAsia="HelveticaNeueLTStd"/>
          <w:b w:val="0"/>
          <w:i w:val="0"/>
          <w:color w:val="FFFFFF"/>
          <w:sz w:val="22"/>
        </w:rPr>
        <w:t>NYSE: BABA     HKEX: 9988 (HKD Counter) 89988 (RMB Counter)</w:t>
      </w:r>
    </w:p>
    <w:p>
      <w:pPr>
        <w:autoSpaceDN w:val="0"/>
        <w:autoSpaceDE w:val="0"/>
        <w:widowControl/>
        <w:spacing w:line="386" w:lineRule="exact" w:before="6082" w:after="0"/>
        <w:ind w:left="0" w:right="0" w:firstLine="0"/>
        <w:jc w:val="center"/>
      </w:pPr>
      <w:r>
        <w:rPr>
          <w:rFonts w:ascii="AvenirLTStd" w:hAnsi="AvenirLTStd" w:eastAsia="AvenirLTStd"/>
          <w:b w:val="0"/>
          <w:i w:val="0"/>
          <w:color w:val="FFFFFF"/>
          <w:sz w:val="32"/>
        </w:rPr>
        <w:t>Fiscal Year 2024 Interim Report</w:t>
      </w:r>
    </w:p>
    <w:p>
      <w:pPr>
        <w:sectPr>
          <w:pgSz w:w="11906" w:h="15874"/>
          <w:pgMar w:top="1440" w:right="1440" w:bottom="57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8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2016" w:right="2016" w:firstLine="0"/>
        <w:jc w:val="center"/>
      </w:pPr>
      <w:r>
        <w:rPr>
          <w:rFonts w:ascii="TimesLTStd" w:hAnsi="TimesLTStd" w:eastAsia="TimesLTStd"/>
          <w:b/>
          <w:i w:val="0"/>
          <w:color w:val="221F1F"/>
          <w:sz w:val="32"/>
        </w:rPr>
        <w:t xml:space="preserve">ALIBABA GROUP HOLDING LIMITED </w:t>
      </w:r>
      <w:r>
        <w:rPr>
          <w:rFonts w:ascii="MHeiHK" w:hAnsi="MHeiHK" w:eastAsia="MHeiHK"/>
          <w:b/>
          <w:i w:val="0"/>
          <w:color w:val="221F1F"/>
          <w:sz w:val="32"/>
        </w:rPr>
        <w:t>阿里巴巴集團控股有限公司</w:t>
      </w:r>
    </w:p>
    <w:p>
      <w:pPr>
        <w:autoSpaceDN w:val="0"/>
        <w:autoSpaceDE w:val="0"/>
        <w:widowControl/>
        <w:spacing w:line="320" w:lineRule="exact" w:before="282" w:after="0"/>
        <w:ind w:left="1296" w:right="1440" w:firstLine="0"/>
        <w:jc w:val="center"/>
      </w:pPr>
      <w:r>
        <w:rPr>
          <w:rFonts w:ascii="TimesLTStd" w:hAnsi="TimesLTStd" w:eastAsia="TimesLTStd"/>
          <w:b/>
          <w:i w:val="0"/>
          <w:color w:val="221F1F"/>
          <w:sz w:val="28"/>
        </w:rPr>
        <w:t xml:space="preserve">INTERIM REPORT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8"/>
        </w:rPr>
        <w:t>FOR THE SIX MONTHS ENDED SEPTEMBER 30, 2023</w:t>
      </w:r>
    </w:p>
    <w:p>
      <w:pPr>
        <w:autoSpaceDN w:val="0"/>
        <w:autoSpaceDE w:val="0"/>
        <w:widowControl/>
        <w:spacing w:line="276" w:lineRule="exact" w:before="274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EXPLANATORY NOTES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Alibaba Group Holding Limited (“</w:t>
      </w:r>
      <w:r>
        <w:rPr>
          <w:rFonts w:ascii="TimesLTStd" w:hAnsi="TimesLTStd" w:eastAsia="TimesLTStd"/>
          <w:b/>
          <w:i w:val="0"/>
          <w:color w:val="221F1F"/>
          <w:sz w:val="24"/>
        </w:rPr>
        <w:t>Alibaba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,” “</w:t>
      </w:r>
      <w:r>
        <w:rPr>
          <w:rFonts w:ascii="TimesLTStd" w:hAnsi="TimesLTStd" w:eastAsia="TimesLTStd"/>
          <w:b/>
          <w:i w:val="0"/>
          <w:color w:val="221F1F"/>
          <w:sz w:val="24"/>
        </w:rPr>
        <w:t>we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,” “</w:t>
      </w:r>
      <w:r>
        <w:rPr>
          <w:rFonts w:ascii="TimesLTStd" w:hAnsi="TimesLTStd" w:eastAsia="TimesLTStd"/>
          <w:b/>
          <w:i w:val="0"/>
          <w:color w:val="221F1F"/>
          <w:sz w:val="24"/>
        </w:rPr>
        <w:t>our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,” or “</w:t>
      </w:r>
      <w:r>
        <w:rPr>
          <w:rFonts w:ascii="TimesLTStd" w:hAnsi="TimesLTStd" w:eastAsia="TimesLTStd"/>
          <w:b/>
          <w:i w:val="0"/>
          <w:color w:val="221F1F"/>
          <w:sz w:val="24"/>
        </w:rPr>
        <w:t>us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 prepared this interim report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for the first six months of its fiscal year ending March 31, 2024 (the “</w:t>
      </w:r>
      <w:r>
        <w:rPr>
          <w:rFonts w:ascii="TimesLTStd" w:hAnsi="TimesLTStd" w:eastAsia="TimesLTStd"/>
          <w:b/>
          <w:i w:val="0"/>
          <w:color w:val="221F1F"/>
          <w:sz w:val="24"/>
        </w:rPr>
        <w:t>Interim Report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 pursuant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Rule 13.48(1) of the Hong Kong Listing Rules. As an issuer listed on the Hong Kong Stock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Exchange under Chapter 19C of the Hong Kong Listing Rules, we are exempted from the contents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requirements in respect of interim reports under Appendix 16 of the Hong Kong Listing Rules.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more information about our business and related risks, please refer to our annual report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fiscal year ended March 31, 2023 (the “</w:t>
      </w:r>
      <w:r>
        <w:rPr>
          <w:rFonts w:ascii="TimesLTStd" w:hAnsi="TimesLTStd" w:eastAsia="TimesLTStd"/>
          <w:b/>
          <w:i w:val="0"/>
          <w:color w:val="221F1F"/>
          <w:sz w:val="24"/>
        </w:rPr>
        <w:t>Annual Report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 published on the website of the Hong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Kong Stock Exchange on July 21, 2023. Please note that the information contained in the Annual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Report is up to date as of the date of the Annual Report, and we do not undertake any obligation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update the Annual Report, except as required under applicable law.</w:t>
      </w:r>
    </w:p>
    <w:p>
      <w:pPr>
        <w:autoSpaceDN w:val="0"/>
        <w:autoSpaceDE w:val="0"/>
        <w:widowControl/>
        <w:spacing w:line="280" w:lineRule="exact" w:before="280" w:after="0"/>
        <w:ind w:left="0" w:right="576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Capitalized terms used but not defined herein shall have the meanings ascribed to them in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Annual Report.</w:t>
      </w:r>
    </w:p>
    <w:p>
      <w:pPr>
        <w:autoSpaceDN w:val="0"/>
        <w:autoSpaceDE w:val="0"/>
        <w:widowControl/>
        <w:spacing w:line="280" w:lineRule="exact" w:before="280" w:after="0"/>
        <w:ind w:left="0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This Interim Report contains translations of certain Renminbi (“</w:t>
      </w:r>
      <w:r>
        <w:rPr>
          <w:rFonts w:ascii="TimesLTStd" w:hAnsi="TimesLTStd" w:eastAsia="TimesLTStd"/>
          <w:b/>
          <w:i w:val="0"/>
          <w:color w:val="221F1F"/>
          <w:sz w:val="24"/>
        </w:rPr>
        <w:t>RMB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 amounts into U.S. dollars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(“</w:t>
      </w:r>
      <w:r>
        <w:rPr>
          <w:rFonts w:ascii="TimesLTStd" w:hAnsi="TimesLTStd" w:eastAsia="TimesLTStd"/>
          <w:b/>
          <w:i w:val="0"/>
          <w:color w:val="221F1F"/>
          <w:sz w:val="24"/>
        </w:rPr>
        <w:t>US$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”) and Hong Kong dollars (“</w:t>
      </w:r>
      <w:r>
        <w:rPr>
          <w:rFonts w:ascii="TimesLTStd" w:hAnsi="TimesLTStd" w:eastAsia="TimesLTStd"/>
          <w:b/>
          <w:i w:val="0"/>
          <w:color w:val="221F1F"/>
          <w:sz w:val="24"/>
        </w:rPr>
        <w:t>HK$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 for the convenience of the reader. Unless otherwise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stated, all translations of RMB into US$ were made at RMB7.2960 to US$1.00, the exchange rate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on September 29, 2023 as set forth in the H.10 statistical release of the Federal Reserve Board,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all translations of RMB into HK$ were made at RMB0.91763 to HK$1.00, the middle rate 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28, 2023 as published by the People’s Bank of China. The percentages stated in this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Interim Report are calculated based on the RMB amounts and there may be minor differences due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to rounding.</w:t>
      </w:r>
    </w:p>
    <w:p>
      <w:pPr>
        <w:autoSpaceDN w:val="0"/>
        <w:autoSpaceDE w:val="0"/>
        <w:widowControl/>
        <w:spacing w:line="268" w:lineRule="exact" w:before="5744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</w:t>
      </w:r>
    </w:p>
    <w:p>
      <w:pPr>
        <w:sectPr>
          <w:pgSz w:w="11906" w:h="15874"/>
          <w:pgMar w:top="418" w:right="790" w:bottom="46" w:left="850" w:header="720" w:footer="720" w:gutter="0"/>
          <w:cols w:space="720" w:num="1" w:equalWidth="0"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FINANCIAL HIGHLIGHTS FOR THE SIX MONTHS ENDED SEPTEMBER 30, 2023</w:t>
      </w:r>
    </w:p>
    <w:p>
      <w:pPr>
        <w:autoSpaceDN w:val="0"/>
        <w:tabs>
          <w:tab w:pos="568" w:val="left"/>
        </w:tabs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Revenue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was RMB458,946 million (US$62,904 million), an increase of 11% year-over-year.</w:t>
      </w:r>
    </w:p>
    <w:p>
      <w:pPr>
        <w:autoSpaceDN w:val="0"/>
        <w:tabs>
          <w:tab w:pos="568" w:val="left"/>
        </w:tabs>
        <w:autoSpaceDE w:val="0"/>
        <w:widowControl/>
        <w:spacing w:line="282" w:lineRule="exact" w:before="268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Income from operations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was RMB76,074 million (US$10,427 million), an increase of 52%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year-over-year. Excluding the reversal of share-based compensation expense of RMB6,901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(US$946 million) as discussed in “Six Months Ended September Other Financial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Results” below, income from operations would have increased by 38% year-over-year,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primarily contributed by revenue growth and increase in operating efficiency.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Adjusted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EBITDA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, a non-GAAP measurement, increased 20% year-over-year to RMB101,289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(US$13,883 million). </w:t>
      </w:r>
      <w:r>
        <w:rPr>
          <w:rFonts w:ascii="TimesLTStd" w:hAnsi="TimesLTStd" w:eastAsia="TimesLTStd"/>
          <w:b/>
          <w:i w:val="0"/>
          <w:color w:val="221F1F"/>
          <w:sz w:val="24"/>
        </w:rPr>
        <w:t>Adjusted EBITA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, a non-GAAP measurement, increased 25%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year-over-year to RMB88,216 million (US$12,091 million).</w:t>
      </w:r>
    </w:p>
    <w:p>
      <w:pPr>
        <w:autoSpaceDN w:val="0"/>
        <w:tabs>
          <w:tab w:pos="568" w:val="left"/>
        </w:tabs>
        <w:autoSpaceDE w:val="0"/>
        <w:widowControl/>
        <w:spacing w:line="282" w:lineRule="exact" w:before="268" w:after="0"/>
        <w:ind w:left="0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Net income attributable to ordinary shareholders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RMB62,038 million (US$8,503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million).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Net income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RMB59,696 million (US$8,182 million), compared to net loss of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RMB2,169 million in the same period of 2022, primarily attributable to a decrease in a net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fair value loss of our equity investments in publicly-traded companies and an increase in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income from operations. We excluded net gains or losses arising from the changes in fair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value of our investments from our non-GAAP measurements.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net income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RMB85,110 million (US$11,665 million), an increase of 33% year-over-year.</w:t>
      </w:r>
    </w:p>
    <w:p>
      <w:pPr>
        <w:autoSpaceDN w:val="0"/>
        <w:tabs>
          <w:tab w:pos="568" w:val="left"/>
        </w:tabs>
        <w:autoSpaceDE w:val="0"/>
        <w:widowControl/>
        <w:spacing w:line="282" w:lineRule="exact" w:before="27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Diluted earnings per ADS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RMB24.08 (US$3.30) and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diluted earnings per share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RMB3.01 (US$0.41 or HK$3.28).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diluted earnings per ADS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RMB33.00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(US$4.52) and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diluted earnings per share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RMB4.13 (US$0.57 or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HK$4.50), both of which increased by 34% year-over-year.</w:t>
      </w:r>
    </w:p>
    <w:p>
      <w:pPr>
        <w:autoSpaceDN w:val="0"/>
        <w:tabs>
          <w:tab w:pos="568" w:val="left"/>
        </w:tabs>
        <w:autoSpaceDE w:val="0"/>
        <w:widowControl/>
        <w:spacing w:line="282" w:lineRule="exact" w:before="27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Net cash provided by operating activities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RMB94,537 million (US$12,957 million).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Free cash flow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RMB84,309 million (US$11,556 million), an increase of 46% compared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RMB57,882 million in the same period of 2022. The year-over-year increase reflected an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increase in profitability and a decrease in capital expenditure.</w:t>
      </w:r>
    </w:p>
    <w:p>
      <w:pPr>
        <w:autoSpaceDN w:val="0"/>
        <w:autoSpaceDE w:val="0"/>
        <w:widowControl/>
        <w:spacing w:line="280" w:lineRule="exact" w:before="280" w:after="0"/>
        <w:ind w:left="0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Reconciliations of GAAP measures to non-GAAP measures presented above are included at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end of this Interim Report.</w:t>
      </w:r>
    </w:p>
    <w:p>
      <w:pPr>
        <w:autoSpaceDN w:val="0"/>
        <w:autoSpaceDE w:val="0"/>
        <w:widowControl/>
        <w:spacing w:line="268" w:lineRule="exact" w:before="543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</w:t>
      </w:r>
    </w:p>
    <w:p>
      <w:pPr>
        <w:sectPr>
          <w:pgSz w:w="11906" w:h="15874"/>
          <w:pgMar w:top="420" w:right="888" w:bottom="46" w:left="850" w:header="720" w:footer="720" w:gutter="0"/>
          <w:cols w:space="720" w:num="1" w:equalWidth="0"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SUMMARY FINANCIAL RESULTS</w:t>
      </w:r>
    </w:p>
    <w:p>
      <w:pPr>
        <w:autoSpaceDN w:val="0"/>
        <w:autoSpaceDE w:val="0"/>
        <w:widowControl/>
        <w:spacing w:line="276" w:lineRule="exact" w:before="282" w:after="30"/>
        <w:ind w:left="0" w:right="239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27.9999999999995" w:type="dxa"/>
      </w:tblPr>
      <w:tblGrid>
        <w:gridCol w:w="5117"/>
        <w:gridCol w:w="5117"/>
      </w:tblGrid>
      <w:tr>
        <w:trPr>
          <w:trHeight w:hRule="exact" w:val="340"/>
        </w:trPr>
        <w:tc>
          <w:tcPr>
            <w:tcW w:type="dxa" w:w="14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34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134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</w:tr>
    </w:tbl>
    <w:p>
      <w:pPr>
        <w:autoSpaceDN w:val="0"/>
        <w:autoSpaceDE w:val="0"/>
        <w:widowControl/>
        <w:spacing w:line="276" w:lineRule="exact" w:before="24" w:after="2"/>
        <w:ind w:left="0" w:right="36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YoY 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27.9999999999995" w:type="dxa"/>
      </w:tblPr>
      <w:tblGrid>
        <w:gridCol w:w="2558"/>
        <w:gridCol w:w="2558"/>
        <w:gridCol w:w="2558"/>
        <w:gridCol w:w="2558"/>
      </w:tblGrid>
      <w:tr>
        <w:trPr>
          <w:trHeight w:hRule="exact" w:val="314"/>
        </w:trPr>
        <w:tc>
          <w:tcPr>
            <w:tcW w:type="dxa" w:w="14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7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45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7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52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  <w:tc>
          <w:tcPr>
            <w:tcW w:type="dxa" w:w="17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33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Change</w:t>
            </w:r>
          </w:p>
        </w:tc>
      </w:tr>
    </w:tbl>
    <w:p>
      <w:pPr>
        <w:autoSpaceDN w:val="0"/>
        <w:autoSpaceDE w:val="0"/>
        <w:widowControl/>
        <w:spacing w:line="278" w:lineRule="exact" w:before="28" w:after="232"/>
        <w:ind w:left="0" w:right="28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millions, except percentages and per share amounts)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47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Revenue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412,731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9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458,946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62,904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11%</w:t>
            </w:r>
          </w:p>
        </w:tc>
      </w:tr>
      <w:tr>
        <w:trPr>
          <w:trHeight w:hRule="exact" w:val="42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Income from operations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48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50,080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76,074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10,427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52%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(2)</w:t>
            </w:r>
          </w:p>
        </w:tc>
      </w:tr>
      <w:tr>
        <w:trPr>
          <w:trHeight w:hRule="exact" w:val="28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Operating margin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12%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2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17%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13,883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</w:t>
            </w:r>
          </w:p>
        </w:tc>
      </w:tr>
      <w:tr>
        <w:trPr>
          <w:trHeight w:hRule="exact" w:val="27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Adjusted EBITDA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84,425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39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101,289</w:t>
            </w:r>
          </w:p>
        </w:tc>
        <w:tc>
          <w:tcPr>
            <w:tcW w:type="dxa" w:w="2047"/>
            <w:vMerge/>
            <w:tcBorders/>
          </w:tcPr>
          <w:p/>
        </w:tc>
        <w:tc>
          <w:tcPr>
            <w:tcW w:type="dxa" w:w="204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Adjusted EBITDA margin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20%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2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22%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12,091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25%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</w:t>
            </w:r>
          </w:p>
        </w:tc>
      </w:tr>
      <w:tr>
        <w:trPr>
          <w:trHeight w:hRule="exact" w:val="27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Adjusted EBITA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70,583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88,216</w:t>
            </w:r>
          </w:p>
        </w:tc>
        <w:tc>
          <w:tcPr>
            <w:tcW w:type="dxa" w:w="2047"/>
            <w:vMerge/>
            <w:tcBorders/>
          </w:tcPr>
          <w:p/>
        </w:tc>
        <w:tc>
          <w:tcPr>
            <w:tcW w:type="dxa" w:w="204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Adjusted EBITA margin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17%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2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19%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52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8,182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N/A</w:t>
            </w:r>
          </w:p>
        </w:tc>
      </w:tr>
      <w:tr>
        <w:trPr>
          <w:trHeight w:hRule="exact" w:val="42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(loss) income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37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(2,169)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(4)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39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59,696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(4)</w:t>
            </w:r>
          </w:p>
        </w:tc>
        <w:tc>
          <w:tcPr>
            <w:tcW w:type="dxa" w:w="2047"/>
            <w:vMerge/>
            <w:tcBorders/>
          </w:tcPr>
          <w:p/>
        </w:tc>
        <w:tc>
          <w:tcPr>
            <w:tcW w:type="dxa" w:w="20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Net income attributable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7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ordinary shareholders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2,178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62,038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30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8,503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2748%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(4)</w:t>
            </w:r>
          </w:p>
        </w:tc>
      </w:tr>
      <w:tr>
        <w:trPr>
          <w:trHeight w:hRule="exact" w:val="42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Non-GAAP net income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64,072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85,110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0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11,665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33%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</w:t>
            </w:r>
          </w:p>
        </w:tc>
      </w:tr>
      <w:tr>
        <w:trPr>
          <w:trHeight w:hRule="exact" w:val="42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Diluted earnings per share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(5)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0.10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48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3.01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30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0.41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34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2849%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(4)(6)</w:t>
            </w:r>
          </w:p>
        </w:tc>
      </w:tr>
      <w:tr>
        <w:trPr>
          <w:trHeight w:hRule="exact" w:val="28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Diluted earnings per ADS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(5)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0.82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8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24.08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0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3.30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34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2849%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(4)(6)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Non-GAAP diluted earnings 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8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share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(1)(5)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2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3.08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4.13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0.57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34%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(3)(6)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Non-GAAP diluted earnings 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6"/>
        <w:gridCol w:w="1706"/>
        <w:gridCol w:w="1706"/>
        <w:gridCol w:w="1706"/>
        <w:gridCol w:w="1706"/>
        <w:gridCol w:w="1706"/>
      </w:tblGrid>
      <w:tr>
        <w:trPr>
          <w:trHeight w:hRule="exact" w:val="464"/>
        </w:trPr>
        <w:tc>
          <w:tcPr>
            <w:tcW w:type="dxa" w:w="281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ADS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(1)(5)</w:t>
            </w:r>
          </w:p>
        </w:tc>
        <w:tc>
          <w:tcPr>
            <w:tcW w:type="dxa" w:w="28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56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24.64</w:t>
            </w:r>
          </w:p>
        </w:tc>
        <w:tc>
          <w:tcPr>
            <w:tcW w:type="dxa" w:w="17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33.00</w:t>
            </w:r>
          </w:p>
        </w:tc>
        <w:tc>
          <w:tcPr>
            <w:tcW w:type="dxa" w:w="15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4.52</w:t>
            </w:r>
          </w:p>
        </w:tc>
        <w:tc>
          <w:tcPr>
            <w:tcW w:type="dxa" w:w="12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34%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(3)(6)</w:t>
            </w:r>
          </w:p>
        </w:tc>
      </w:tr>
      <w:tr>
        <w:trPr>
          <w:trHeight w:hRule="exact" w:val="292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780"/>
            <w:gridSpan w:val="5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2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See the sections entitled “Non-GAAP Financial Measures” and “Reconciliations of Non-GAAP Measures to the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572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Nearest Comparable U.S. GAAP Measures” for more information about the non-GAAP measures referred to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within this Interim Report.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Excluding the reversal of share-based compensation expense of RMB6,901 million (US$946 million) as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discussed in “Six Months Ended September Other Financial Results” below, our income from operations would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have increased by 38% year-over-year, primarily contributed by revenue growth and increase in operating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efficiency. Please refer to “Six Months Ended September Other Financial Results” section below for details.</w:t>
      </w:r>
    </w:p>
    <w:p>
      <w:pPr>
        <w:autoSpaceDN w:val="0"/>
        <w:tabs>
          <w:tab w:pos="572" w:val="left"/>
        </w:tabs>
        <w:autoSpaceDE w:val="0"/>
        <w:widowControl/>
        <w:spacing w:line="224" w:lineRule="exact" w:before="256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The year-over-year increases were primarily contributed by revenue growth and improved operating efficiency.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86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The year-over-year change was primarily attributable to a decrease in net fair value loss of our equity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investments in publicly-traded companies and an increase in income from operations.</w:t>
      </w:r>
    </w:p>
    <w:p>
      <w:pPr>
        <w:autoSpaceDN w:val="0"/>
        <w:tabs>
          <w:tab w:pos="572" w:val="left"/>
        </w:tabs>
        <w:autoSpaceDE w:val="0"/>
        <w:widowControl/>
        <w:spacing w:line="224" w:lineRule="exact" w:before="256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Each ADS represents eight ordinary shares.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The year-over-year percentages as stated are calculated based on the exact amount and there may be minor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differences from the year-over-year percentages calculated based on the RMB amounts after rounding.</w:t>
      </w:r>
    </w:p>
    <w:p>
      <w:pPr>
        <w:autoSpaceDN w:val="0"/>
        <w:autoSpaceDE w:val="0"/>
        <w:widowControl/>
        <w:spacing w:line="268" w:lineRule="exact" w:before="209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3</w:t>
      </w:r>
    </w:p>
    <w:p>
      <w:pPr>
        <w:sectPr>
          <w:pgSz w:w="11906" w:h="15874"/>
          <w:pgMar w:top="420" w:right="826" w:bottom="46" w:left="846" w:header="720" w:footer="720" w:gutter="0"/>
          <w:cols w:space="720" w:num="1" w:equalWidth="0"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4" w:right="14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SIX MONTHS ENDED SEPTEMBER SEGMENT RESULTS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for the six months ended September 30, 2023 was RMB458,946 million (US$62,904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million), an increase of 11% year-over-year compared to RMB412,731 million in the same period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of 2022.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Starting from the quarter ended June 30, 2023, we have implemented a new organizational structure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which includes six major business groups and various other businesses (the “</w:t>
      </w:r>
      <w:r>
        <w:rPr>
          <w:rFonts w:ascii="TimesLTStd" w:hAnsi="TimesLTStd" w:eastAsia="TimesLTStd"/>
          <w:b/>
          <w:i w:val="0"/>
          <w:color w:val="221F1F"/>
          <w:sz w:val="24"/>
        </w:rPr>
        <w:t>Reorganization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”).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Our segment reporting has been updated to reflect our Reorganization and how our chief operating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decision maker (“</w:t>
      </w:r>
      <w:r>
        <w:rPr>
          <w:rFonts w:ascii="TimesLTStd" w:hAnsi="TimesLTStd" w:eastAsia="TimesLTStd"/>
          <w:b/>
          <w:i w:val="0"/>
          <w:color w:val="221F1F"/>
          <w:sz w:val="24"/>
        </w:rPr>
        <w:t>CODM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”) review information under our new structure.</w:t>
      </w:r>
    </w:p>
    <w:p>
      <w:pPr>
        <w:autoSpaceDN w:val="0"/>
        <w:tabs>
          <w:tab w:pos="4586" w:val="left"/>
        </w:tabs>
        <w:autoSpaceDE w:val="0"/>
        <w:widowControl/>
        <w:spacing w:line="520" w:lineRule="exact" w:before="20" w:after="28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The following table sets forth a breakdown of our revenue by segment for the periods indicated</w:t>
      </w:r>
      <w:r>
        <w:rPr>
          <w:rFonts w:ascii="TimesLTStd" w:hAnsi="TimesLTStd" w:eastAsia="TimesLTStd"/>
          <w:b w:val="0"/>
          <w:i w:val="0"/>
          <w:color w:val="221F1F"/>
          <w:sz w:val="14"/>
        </w:rPr>
        <w:t>(1)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: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2.0000000000005" w:type="dxa"/>
      </w:tblPr>
      <w:tblGrid>
        <w:gridCol w:w="2060"/>
        <w:gridCol w:w="2060"/>
        <w:gridCol w:w="2060"/>
        <w:gridCol w:w="2060"/>
        <w:gridCol w:w="2060"/>
      </w:tblGrid>
      <w:tr>
        <w:trPr>
          <w:trHeight w:hRule="exact" w:val="320"/>
        </w:trPr>
        <w:tc>
          <w:tcPr>
            <w:tcW w:type="dxa" w:w="137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3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107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137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30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0" w:right="11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80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168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  <w:tc>
          <w:tcPr>
            <w:tcW w:type="dxa" w:w="158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8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YoY %</w:t>
            </w:r>
          </w:p>
        </w:tc>
      </w:tr>
      <w:tr>
        <w:trPr>
          <w:trHeight w:hRule="exact" w:val="312"/>
        </w:trPr>
        <w:tc>
          <w:tcPr>
            <w:tcW w:type="dxa" w:w="2060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2060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2060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2060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58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7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Change</w:t>
            </w:r>
          </w:p>
        </w:tc>
      </w:tr>
    </w:tbl>
    <w:p>
      <w:pPr>
        <w:autoSpaceDN w:val="0"/>
        <w:autoSpaceDE w:val="0"/>
        <w:widowControl/>
        <w:spacing w:line="278" w:lineRule="exact" w:before="2" w:after="192"/>
        <w:ind w:left="0" w:right="1410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millions, except percentages)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57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4" w:right="7488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Taobao and Tmall Group:</w:t>
            </w:r>
            <w:r>
              <w:br/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China commerce retail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– Customer management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139,302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148,322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20,329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6%</w:t>
            </w:r>
          </w:p>
        </w:tc>
      </w:tr>
      <w:tr>
        <w:trPr>
          <w:trHeight w:hRule="exact" w:val="30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– Direct sales and others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(2)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47,557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54,066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7,410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14%</w:t>
            </w:r>
          </w:p>
        </w:tc>
      </w:tr>
      <w:tr>
        <w:trPr>
          <w:trHeight w:hRule="exact" w:val="280"/>
        </w:trPr>
        <w:tc>
          <w:tcPr>
            <w:tcW w:type="dxa" w:w="58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186,859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36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202,388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27,739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8%</w:t>
            </w:r>
          </w:p>
        </w:tc>
      </w:tr>
      <w:tr>
        <w:trPr>
          <w:trHeight w:hRule="exact" w:val="30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China commerce wholesale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9,393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10,219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1,401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9%</w:t>
            </w:r>
          </w:p>
        </w:tc>
      </w:tr>
      <w:tr>
        <w:trPr>
          <w:trHeight w:hRule="exact" w:val="42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Total Taobao and Tmall Group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196,252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36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212,607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29,140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8%</w:t>
            </w:r>
          </w:p>
        </w:tc>
      </w:tr>
      <w:tr>
        <w:trPr>
          <w:trHeight w:hRule="exact" w:val="64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</w:tabs>
              <w:autoSpaceDE w:val="0"/>
              <w:widowControl/>
              <w:spacing w:line="260" w:lineRule="exact" w:before="120" w:after="0"/>
              <w:ind w:left="4" w:right="720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Alibaba International Digital </w:t>
            </w:r>
            <w:r>
              <w:br/>
            </w:r>
            <w:r>
              <w:tab/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Commerce Group: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International commerce retail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21,732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36,116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4,950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66%</w:t>
            </w:r>
          </w:p>
        </w:tc>
      </w:tr>
      <w:tr>
        <w:trPr>
          <w:trHeight w:hRule="exact" w:val="26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International commerce </w:t>
            </w:r>
          </w:p>
        </w:tc>
      </w:tr>
      <w:tr>
        <w:trPr>
          <w:trHeight w:hRule="exact" w:val="30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25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wholesale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10,035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10,518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1,442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5%</w:t>
            </w:r>
          </w:p>
        </w:tc>
      </w:tr>
      <w:tr>
        <w:trPr>
          <w:trHeight w:hRule="exact" w:val="28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Total Alibaba International </w:t>
            </w:r>
          </w:p>
        </w:tc>
      </w:tr>
      <w:tr>
        <w:trPr>
          <w:trHeight w:hRule="exact" w:val="40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9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Digital Commerce Group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31,767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46,634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6,392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47%</w:t>
            </w:r>
          </w:p>
        </w:tc>
      </w:tr>
      <w:tr>
        <w:trPr>
          <w:trHeight w:hRule="exact" w:val="38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Local Services Group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24,512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30,014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4,114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22%</w:t>
            </w:r>
          </w:p>
        </w:tc>
      </w:tr>
      <w:tr>
        <w:trPr>
          <w:trHeight w:hRule="exact" w:val="26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Cainiao Smart Logistics Network 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Limited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35,574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45,987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6,303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29%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Cloud Intelligence Group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51,391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52,713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7,225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3%</w:t>
            </w:r>
          </w:p>
        </w:tc>
      </w:tr>
      <w:tr>
        <w:trPr>
          <w:trHeight w:hRule="exact" w:val="260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Digital Media and Entertainment 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Group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9,194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11,160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1,530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21%</w:t>
            </w:r>
          </w:p>
        </w:tc>
      </w:tr>
      <w:tr>
        <w:trPr>
          <w:trHeight w:hRule="exact" w:val="28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All others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93,478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93,850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12,862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0%</w:t>
            </w:r>
          </w:p>
        </w:tc>
      </w:tr>
      <w:tr>
        <w:trPr>
          <w:trHeight w:hRule="exact" w:val="30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Total segment revenue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442,168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36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492,965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67,566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11%</w:t>
            </w:r>
          </w:p>
        </w:tc>
      </w:tr>
      <w:tr>
        <w:trPr>
          <w:trHeight w:hRule="exact" w:val="26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Unallocated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409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8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526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3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72</w:t>
            </w:r>
          </w:p>
        </w:tc>
      </w:tr>
      <w:tr>
        <w:trPr>
          <w:trHeight w:hRule="exact" w:val="280"/>
        </w:trPr>
        <w:tc>
          <w:tcPr>
            <w:tcW w:type="dxa" w:w="39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Inter-segment elimination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2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(29,846)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(34,545)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5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(4,734)</w:t>
            </w:r>
          </w:p>
        </w:tc>
      </w:tr>
      <w:tr>
        <w:trPr>
          <w:trHeight w:hRule="exact" w:val="552"/>
        </w:trPr>
        <w:tc>
          <w:tcPr>
            <w:tcW w:type="dxa" w:w="397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Consolidated revenue</w:t>
            </w:r>
          </w:p>
        </w:tc>
        <w:tc>
          <w:tcPr>
            <w:tcW w:type="dxa" w:w="18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408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412,731</w:t>
            </w:r>
          </w:p>
        </w:tc>
        <w:tc>
          <w:tcPr>
            <w:tcW w:type="dxa" w:w="16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36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458,946</w:t>
            </w:r>
          </w:p>
        </w:tc>
        <w:tc>
          <w:tcPr>
            <w:tcW w:type="dxa" w:w="11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62,904</w:t>
            </w:r>
          </w:p>
        </w:tc>
        <w:tc>
          <w:tcPr>
            <w:tcW w:type="dxa" w:w="16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4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11%</w:t>
            </w:r>
          </w:p>
        </w:tc>
      </w:tr>
      <w:tr>
        <w:trPr>
          <w:trHeight w:hRule="exact" w:val="288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820"/>
            <w:gridSpan w:val="5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During the six months ended September 30, 2023, our segment reporting has been updated to reflect our </w:t>
            </w:r>
          </w:p>
        </w:tc>
      </w:tr>
      <w:tr>
        <w:trPr>
          <w:trHeight w:hRule="exact" w:val="1384"/>
        </w:trPr>
        <w:tc>
          <w:tcPr>
            <w:tcW w:type="dxa" w:w="1025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57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Reorganization and the reclassification of the revenue of our DingTalk business, which was previously reported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under Cloud Intelligence Group to All others, the purpose of which was to provide DingTalk with greater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autonomy to promote innovation and enhance competitiveness. Our CODM started to review information under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a new reporting structure, and segment reporting has been updated to conform to this change as well as the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way we manage and monitor segment performance. Comparative figures were reclassified to conform to this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>presentation.</w:t>
            </w:r>
          </w:p>
        </w:tc>
      </w:tr>
    </w:tbl>
    <w:p>
      <w:pPr>
        <w:autoSpaceDN w:val="0"/>
        <w:autoSpaceDE w:val="0"/>
        <w:widowControl/>
        <w:spacing w:line="268" w:lineRule="exact" w:before="110" w:after="0"/>
        <w:ind w:left="0" w:right="5136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4</w:t>
      </w:r>
    </w:p>
    <w:p>
      <w:pPr>
        <w:sectPr>
          <w:pgSz w:w="11906" w:h="15874"/>
          <w:pgMar w:top="420" w:right="758" w:bottom="46" w:left="846" w:header="720" w:footer="720" w:gutter="0"/>
          <w:cols w:space="720" w:num="1" w:equalWidth="0"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5117"/>
        <w:gridCol w:w="5117"/>
      </w:tblGrid>
      <w:tr>
        <w:trPr>
          <w:trHeight w:hRule="exact" w:val="182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22" w:lineRule="exact" w:before="658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(3) </w:t>
            </w:r>
          </w:p>
        </w:tc>
        <w:tc>
          <w:tcPr>
            <w:tcW w:type="dxa" w:w="9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Direct sales and others revenue under Taobao and Tmall Group primarily represents our direct sales businesses,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including Tmall Supermarket, Tmall Global and other direct sales businesses, where revenue and cost of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>inventory are recorded on a gross basis.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All others include Sun Art, Freshippo, Alibaba Health, Lingxi Games, Intime, Intelligent Information Platform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(which mainly consists of UCWeb and Quark businesses), Fliggy, DingTalk (previously reported under Cloud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Intelligence Group segment) and other businesses. The majority of revenue within All others consist of direct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>sales revenue, which is recorded on a gross basis.</w:t>
            </w:r>
          </w:p>
        </w:tc>
      </w:tr>
    </w:tbl>
    <w:p>
      <w:pPr>
        <w:autoSpaceDN w:val="0"/>
        <w:autoSpaceDE w:val="0"/>
        <w:widowControl/>
        <w:spacing w:line="280" w:lineRule="exact" w:before="210" w:after="0"/>
        <w:ind w:left="4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following table sets forth a breakdown of our adjusted EBITA by segment for the periods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indicated</w:t>
      </w:r>
      <w:r>
        <w:rPr>
          <w:rFonts w:ascii="TimesLTStd" w:hAnsi="TimesLTStd" w:eastAsia="TimesLTStd"/>
          <w:b w:val="0"/>
          <w:i w:val="0"/>
          <w:color w:val="221F1F"/>
          <w:sz w:val="14"/>
        </w:rPr>
        <w:t>(1)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:</w:t>
      </w:r>
    </w:p>
    <w:p>
      <w:pPr>
        <w:autoSpaceDN w:val="0"/>
        <w:autoSpaceDE w:val="0"/>
        <w:widowControl/>
        <w:spacing w:line="278" w:lineRule="exact" w:before="282" w:after="30"/>
        <w:ind w:left="0" w:right="1686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61.999999999999" w:type="dxa"/>
      </w:tblPr>
      <w:tblGrid>
        <w:gridCol w:w="5117"/>
        <w:gridCol w:w="5117"/>
      </w:tblGrid>
      <w:tr>
        <w:trPr>
          <w:trHeight w:hRule="exact" w:val="340"/>
        </w:trPr>
        <w:tc>
          <w:tcPr>
            <w:tcW w:type="dxa" w:w="120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283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10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</w:tr>
    </w:tbl>
    <w:p>
      <w:pPr>
        <w:autoSpaceDN w:val="0"/>
        <w:autoSpaceDE w:val="0"/>
        <w:widowControl/>
        <w:spacing w:line="278" w:lineRule="exact" w:before="22" w:after="0"/>
        <w:ind w:left="0" w:right="222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YoY 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61.999999999999" w:type="dxa"/>
      </w:tblPr>
      <w:tblGrid>
        <w:gridCol w:w="2558"/>
        <w:gridCol w:w="2558"/>
        <w:gridCol w:w="2558"/>
        <w:gridCol w:w="2558"/>
      </w:tblGrid>
      <w:tr>
        <w:trPr>
          <w:trHeight w:hRule="exact" w:val="314"/>
        </w:trPr>
        <w:tc>
          <w:tcPr>
            <w:tcW w:type="dxa" w:w="1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31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6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  <w:tc>
          <w:tcPr>
            <w:tcW w:type="dxa" w:w="1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Change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(4)</w:t>
            </w:r>
          </w:p>
        </w:tc>
      </w:tr>
    </w:tbl>
    <w:p>
      <w:pPr>
        <w:autoSpaceDN w:val="0"/>
        <w:autoSpaceDE w:val="0"/>
        <w:widowControl/>
        <w:spacing w:line="278" w:lineRule="exact" w:before="28" w:after="232"/>
        <w:ind w:left="0" w:right="1002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millions, except percentages)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33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Taobao and Tmall Group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5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90,854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96,396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36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13,212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6%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Alibaba International Digital Commerce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6"/>
        <w:gridCol w:w="1706"/>
        <w:gridCol w:w="1706"/>
        <w:gridCol w:w="1706"/>
        <w:gridCol w:w="1706"/>
        <w:gridCol w:w="1706"/>
      </w:tblGrid>
      <w:tr>
        <w:trPr>
          <w:trHeight w:hRule="exact" w:val="272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Group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(2,128)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(804)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(110)</w:t>
            </w:r>
          </w:p>
        </w:tc>
        <w:tc>
          <w:tcPr>
            <w:tcW w:type="dxa" w:w="5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62%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26%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N/A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26%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89% 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46%</w:t>
            </w:r>
          </w:p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Local Services Group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(6,162)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(4,546)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(623)</w:t>
            </w:r>
          </w:p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Cainiao Smart Logistics Network Limited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(60)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1,783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8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244</w:t>
            </w:r>
          </w:p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Cloud Intelligence Group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9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1,845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2,325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8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319</w:t>
            </w:r>
          </w:p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Digital Media and Entertainment Group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(1,269)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(138)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(19)</w:t>
            </w:r>
          </w:p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12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All others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(2)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(5,835)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(3,170)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(435)</w:t>
            </w:r>
          </w:p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08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Total segment adjusted EBITA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39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77,245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8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91,846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84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12,588</w:t>
            </w:r>
          </w:p>
        </w:tc>
        <w:tc>
          <w:tcPr>
            <w:tcW w:type="dxa" w:w="58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8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19%</w:t>
            </w:r>
          </w:p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Unallocated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(3)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(5,606)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(2,482)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(340)</w:t>
            </w:r>
          </w:p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314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Inter-segment elimination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(1,056)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(1,148)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(157)</w:t>
            </w:r>
          </w:p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306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Consolidated adjusted EBITA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0" w:right="39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70,583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0" w:right="8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88,216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0" w:right="84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12,091</w:t>
            </w:r>
          </w:p>
        </w:tc>
        <w:tc>
          <w:tcPr>
            <w:tcW w:type="dxa" w:w="58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8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25%</w:t>
            </w:r>
          </w:p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Less: Share-based compensation expense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(14,512)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(5,201)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(713)</w:t>
            </w:r>
          </w:p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Less: Amortization of intangible assets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78" w:lineRule="exact" w:before="4" w:after="0"/>
              <w:ind w:left="568" w:right="288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(5,480)</w:t>
            </w:r>
            <w:r>
              <w:br/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(4,910)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76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(673)</w:t>
            </w:r>
          </w:p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Less: Impairment of goodwill</w:t>
            </w:r>
          </w:p>
        </w:tc>
        <w:tc>
          <w:tcPr>
            <w:tcW w:type="dxa" w:w="1706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4" w:after="0"/>
              <w:ind w:left="36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(2,031)</w:t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278" w:lineRule="exact" w:before="4" w:after="0"/>
              <w:ind w:left="874" w:right="72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(278)</w:t>
            </w:r>
            <w:r>
              <w:br/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314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Less: Equity-settled donation expense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31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(511)</w:t>
            </w:r>
          </w:p>
        </w:tc>
        <w:tc>
          <w:tcPr>
            <w:tcW w:type="dxa" w:w="1706"/>
            <w:vMerge/>
            <w:tcBorders/>
          </w:tcPr>
          <w:p/>
        </w:tc>
        <w:tc>
          <w:tcPr>
            <w:tcW w:type="dxa" w:w="1706"/>
            <w:vMerge/>
            <w:tcBorders/>
          </w:tcPr>
          <w:p/>
        </w:tc>
        <w:tc>
          <w:tcPr>
            <w:tcW w:type="dxa" w:w="1706"/>
            <w:vMerge/>
            <w:tcBorders>
              <w:top w:sz="4.0" w:val="single" w:color="#221F1F"/>
              <w:bottom w:sz="4.0" w:val="single" w:color="#221F1F"/>
            </w:tcBorders>
          </w:tcPr>
          <w:p/>
        </w:tc>
      </w:tr>
      <w:tr>
        <w:trPr>
          <w:trHeight w:hRule="exact" w:val="336"/>
        </w:trPr>
        <w:tc>
          <w:tcPr>
            <w:tcW w:type="dxa" w:w="47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Income from operations</w:t>
            </w:r>
          </w:p>
        </w:tc>
        <w:tc>
          <w:tcPr>
            <w:tcW w:type="dxa" w:w="162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39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50,080</w:t>
            </w:r>
          </w:p>
        </w:tc>
        <w:tc>
          <w:tcPr>
            <w:tcW w:type="dxa" w:w="110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8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76,074</w:t>
            </w:r>
          </w:p>
        </w:tc>
        <w:tc>
          <w:tcPr>
            <w:tcW w:type="dxa" w:w="21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84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10,427</w:t>
            </w:r>
          </w:p>
        </w:tc>
        <w:tc>
          <w:tcPr>
            <w:tcW w:type="dxa" w:w="580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8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52%</w:t>
            </w:r>
          </w:p>
        </w:tc>
      </w:tr>
      <w:tr>
        <w:trPr>
          <w:trHeight w:hRule="exact" w:val="248"/>
        </w:trPr>
        <w:tc>
          <w:tcPr>
            <w:tcW w:type="dxa" w:w="473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  <w:tc>
          <w:tcPr>
            <w:tcW w:type="dxa" w:w="1706"/>
            <w:vMerge/>
            <w:tcBorders>
              <w:bottom w:sz="4.0" w:val="single" w:color="#221F1F"/>
            </w:tcBorders>
          </w:tcPr>
          <w:p/>
        </w:tc>
        <w:tc>
          <w:tcPr>
            <w:tcW w:type="dxa" w:w="580"/>
            <w:vMerge w:val="restart"/>
            <w:tcBorders>
              <w:top w:sz="5.328000068664551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200"/>
            <w:gridSpan w:val="4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During the six months ended September 30, 2023, our segment reporting has been updated to reflect our </w:t>
            </w:r>
          </w:p>
        </w:tc>
        <w:tc>
          <w:tcPr>
            <w:tcW w:type="dxa" w:w="1706"/>
            <w:vMerge/>
            <w:tcBorders>
              <w:top w:sz="5.328000068664551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38" w:lineRule="exact" w:before="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Reorganization and the reclassification of the result of our DingTalk business, which was previously reported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under Cloud Intelligence Group to All others, the purpose of which was to provide DingTalk with greater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autonomy to promote innovation and enhance competitiveness. Our CODM started to review information under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a new reporting structure, and segment reporting has been updated to conform to this change as well as the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way we manage and monitor segment performance. Comparative figures were reclassified to conform to this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presentation.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All others include Sun Art, Freshippo, Alibaba Health, Lingxi Games, Intime, Intelligent Information Platform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(which mainly consists of UCWeb and Quark businesses), Fliggy, DingTalk (previously reported under Cloud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Intelligence Group segment) and other businesses.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Unallocated primarily relate to certain costs incurred by corporate functions and other miscellaneous items that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are not allocated to individual segments.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For a more intuitive presentation, widening of loss in YoY% is shown in terms of negative growth rate, and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narrowing of loss in YoY% is shown in terms of positive growth rate.</w:t>
      </w:r>
    </w:p>
    <w:p>
      <w:pPr>
        <w:autoSpaceDN w:val="0"/>
        <w:autoSpaceDE w:val="0"/>
        <w:widowControl/>
        <w:spacing w:line="268" w:lineRule="exact" w:before="58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5</w:t>
      </w:r>
    </w:p>
    <w:p>
      <w:pPr>
        <w:sectPr>
          <w:pgSz w:w="11906" w:h="15874"/>
          <w:pgMar w:top="424" w:right="826" w:bottom="46" w:left="846" w:header="720" w:footer="720" w:gutter="0"/>
          <w:cols w:space="720" w:num="1" w:equalWidth="0"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Taobao and Tmall Group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tabs>
          <w:tab w:pos="1100" w:val="left"/>
        </w:tabs>
        <w:autoSpaceDE w:val="0"/>
        <w:widowControl/>
        <w:spacing w:line="278" w:lineRule="exact" w:before="282" w:after="0"/>
        <w:ind w:left="532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China Commerce Retail Business</w:t>
      </w:r>
    </w:p>
    <w:p>
      <w:pPr>
        <w:autoSpaceDN w:val="0"/>
        <w:autoSpaceDE w:val="0"/>
        <w:widowControl/>
        <w:spacing w:line="280" w:lineRule="exact" w:before="280" w:after="0"/>
        <w:ind w:left="113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our China commerce retail business for the six months ended September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30, 2023 was RMB202,388 million (US$27,739 million), an increase of 8% compared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RMB186,859 million for the same period of 2022. Customer management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increased 6% year-over-year, primarily due to the increase in merchant’s willingness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 in advertising and the slight increase in online GMV generated on Taobao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Tmall, excluding unpaid order.</w:t>
      </w:r>
    </w:p>
    <w:p>
      <w:pPr>
        <w:autoSpaceDN w:val="0"/>
        <w:autoSpaceDE w:val="0"/>
        <w:widowControl/>
        <w:spacing w:line="280" w:lineRule="exact" w:before="280" w:after="0"/>
        <w:ind w:left="113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Direct sales and others revenue under China commerce retail business for the six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months ended September 30, 2023 was RMB54,066 million (US$7,410 million),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achieving year-over-year growth of 14% compared to RMB47,557 million for the same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period of 2022. The increase was primarily due to strong sales in consumer electronics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and appliances category.</w:t>
      </w:r>
    </w:p>
    <w:p>
      <w:pPr>
        <w:autoSpaceDN w:val="0"/>
        <w:tabs>
          <w:tab w:pos="1100" w:val="left"/>
        </w:tabs>
        <w:autoSpaceDE w:val="0"/>
        <w:widowControl/>
        <w:spacing w:line="278" w:lineRule="exact" w:before="282" w:after="0"/>
        <w:ind w:left="532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China Commerce Wholesale Business</w:t>
      </w:r>
    </w:p>
    <w:p>
      <w:pPr>
        <w:autoSpaceDN w:val="0"/>
        <w:autoSpaceDE w:val="0"/>
        <w:widowControl/>
        <w:spacing w:line="280" w:lineRule="exact" w:before="280" w:after="0"/>
        <w:ind w:left="113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our China commerce wholesale business for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 was RMB10,219 million (US$1,401 million), an increase of 9%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RMB9,393 million for the same period of 2022. The increase was primarily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due to an increase in revenue from value-added services provided to paying members.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Taobao and Tmall Group adjusted EBITA for the six months ended September 30, 2023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RMB96,396 million (US$13,212 million), an increase of 6% compared to RMB90,854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same period of 2022. The increase was primarily due to narrowing losses in certain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businesses and increase in revenue from customer management service, partly offset by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increase in investment in user acquisition and retention, as well as in content of Taobao app.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Alibaba International Digital Commerce Group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tabs>
          <w:tab w:pos="1100" w:val="left"/>
        </w:tabs>
        <w:autoSpaceDE w:val="0"/>
        <w:widowControl/>
        <w:spacing w:line="278" w:lineRule="exact" w:before="282" w:after="0"/>
        <w:ind w:left="532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International Commerce Retail Business</w:t>
      </w:r>
    </w:p>
    <w:p>
      <w:pPr>
        <w:autoSpaceDN w:val="0"/>
        <w:autoSpaceDE w:val="0"/>
        <w:widowControl/>
        <w:spacing w:line="280" w:lineRule="exact" w:before="280" w:after="0"/>
        <w:ind w:left="1138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our International commerce retail business for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 was RMB36,116 million (US$4,950 million), an increase of 66%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RMB21,732 million for the same period of 2022. The increase in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was primarily due to strong combined order growth of AIDC’s retail businesses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driven by the solid performance of all major retail platforms, the revenue contribution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from AliExpress’ Choice, a new model launched in early 2023, and improvements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 monetization. Certain of our international businesses generate revenue in local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currencies while our reporting currency is Renminbi, AIDC’s revenue is affected by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exchange rate fluctuations.</w:t>
      </w:r>
    </w:p>
    <w:p>
      <w:pPr>
        <w:autoSpaceDN w:val="0"/>
        <w:autoSpaceDE w:val="0"/>
        <w:widowControl/>
        <w:spacing w:line="268" w:lineRule="exact" w:before="956" w:after="0"/>
        <w:ind w:left="0" w:right="513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6</w:t>
      </w:r>
    </w:p>
    <w:p>
      <w:pPr>
        <w:sectPr>
          <w:pgSz w:w="11906" w:h="15874"/>
          <w:pgMar w:top="420" w:right="764" w:bottom="46" w:left="846" w:header="720" w:footer="720" w:gutter="0"/>
          <w:cols w:space="720" w:num="1" w:equalWidth="0"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1100" w:val="left"/>
        </w:tabs>
        <w:autoSpaceDE w:val="0"/>
        <w:widowControl/>
        <w:spacing w:line="278" w:lineRule="exact" w:before="0" w:after="0"/>
        <w:ind w:left="532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•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International Commerce Wholesale Business</w:t>
      </w:r>
    </w:p>
    <w:p>
      <w:pPr>
        <w:autoSpaceDN w:val="0"/>
        <w:autoSpaceDE w:val="0"/>
        <w:widowControl/>
        <w:spacing w:line="280" w:lineRule="exact" w:before="280" w:after="0"/>
        <w:ind w:left="1138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our International commerce wholesale business for the six months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ended September 30, 2023 was RMB10,518 million (US$1,442 million), an increase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5% compared to RMB10,035 million for the same period of 2022. The increase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primarily due to an increase in revenue generated by cross-border related value-added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services.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Alibaba International Digital Commerce Group adjusted EBITA was a loss of RMB804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(US$110 million) for the six months ended September 30, 2023, compared to a loss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RMB2,128 million for the same period of 2022. Losses significantly narrowed year-over-year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primarily because of improved margins of Trendyol and Lazada, partly offset by the increase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 investment in new business, such as Miravia, and AliExpress’ Choice. Trendyol continued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be profitable during the period, mainly due to improvements in monetization and operating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efficiency. Lazada reduced loss mainly due to improvement in monetization.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Local Services Group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autoSpaceDE w:val="0"/>
        <w:widowControl/>
        <w:spacing w:line="280" w:lineRule="exact" w:before="278" w:after="0"/>
        <w:ind w:left="572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Local Services Group was RMB30,014 million (US$4,114 million)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six months ended September 30, 2023, an increase of 22% compared to RMB24,512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same period of 2022, primarily due to the strong growth in both Ele.me and Amap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businesses.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Local Services Group adjusted EBITA was a loss of RMB4,546 million (US$623 million)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six months ended September 30, 2023, compared to a loss of RMB6,162 million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same period of 2022, primarily due to the continued narrowing of loss from our “To-Home”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business driven by Ele.me’s increasing scale and improved unit economics per order.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Cainiao Smart Logistics Network Limited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autoSpaceDE w:val="0"/>
        <w:widowControl/>
        <w:spacing w:line="280" w:lineRule="exact" w:before="278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Cainiao Smart Logistics Network Limited was RMB45,987 million (US$6,303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million) for the six months ended September 30, 2023, an increase of 29% compared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RMB35,574 million for the same period of 2022, primarily contributed by the increase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revenue from cross-border fulfillment solutions and domestic consumer logistics services.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Cainiao Smart Logistics Network Limited adjusted EBITA was a profit of RMB1,783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(US$244 million) for the six months ended September 30, 2023, compared to a loss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RMB60 million for the same period of 2022. Profitability turned positive year-over-year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primarily because of improved operating results from cross-border fulfillment solutions,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domestic logistics services, as well as technology and other services.</w:t>
      </w:r>
    </w:p>
    <w:p>
      <w:pPr>
        <w:autoSpaceDN w:val="0"/>
        <w:autoSpaceDE w:val="0"/>
        <w:widowControl/>
        <w:spacing w:line="268" w:lineRule="exact" w:before="67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7</w:t>
      </w:r>
    </w:p>
    <w:p>
      <w:pPr>
        <w:sectPr>
          <w:pgSz w:w="11906" w:h="15874"/>
          <w:pgMar w:top="420" w:right="770" w:bottom="46" w:left="846" w:header="720" w:footer="720" w:gutter="0"/>
          <w:cols w:space="720" w:num="1" w:equalWidth="0"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Cloud Intelligence Group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autoSpaceDE w:val="0"/>
        <w:widowControl/>
        <w:spacing w:line="280" w:lineRule="exact" w:before="278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Cloud Intelligence Group was RMB52,713 million (US$7,225 million)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six months ended September 30, 2023, an increase of 3% compared to RMB51,391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for the same period of 2022. Year-over-year revenue growth was mainly driven by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Alibaba-consolidated businesses. Revenue excluding Alibaba-consolidated businesses slightly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increased year-over-year, primarily due to the increase in revenue from our public cloud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products and services, which was partly offset by the decrease in revenue from project-based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contracts that are of low margins, as a result of our continued effort to improve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quality.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Cloud Intelligence Group adjusted EBITA for the six months ended September 30, 2023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RMB2,325 million (US$319 million), an increase of 26% compared to RMB1,845 million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the same period of 2022, primarily due to improving product mix and operating efficiency.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Digital Media and Entertainment Group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autoSpaceDE w:val="0"/>
        <w:widowControl/>
        <w:spacing w:line="280" w:lineRule="exact" w:before="278" w:after="0"/>
        <w:ind w:left="572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Digital Media and Entertainment Group for the six months ended September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30, 2023 was RMB11,160 million (US$1,530 million), an increase of 21% compared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RMB9,194 million for the same period of 2022, primarily driven by the strong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growth of offline entertainment businesses of Damai and Alibaba Pictures.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Digital Media and Entertainment Group adjusted EBITA for the six months ended September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30, 2023 was a loss of RMB138 million (US$19 million), compared to a loss of RMB1,269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for the same period of 2022. The improved adjusted EBITA was mainly due to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increase in profitability of Damai and Alibaba Pictures.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All Others</w:t>
      </w:r>
    </w:p>
    <w:p>
      <w:pPr>
        <w:autoSpaceDN w:val="0"/>
        <w:tabs>
          <w:tab w:pos="572" w:val="left"/>
        </w:tabs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Segment revenue</w:t>
      </w:r>
    </w:p>
    <w:p>
      <w:pPr>
        <w:autoSpaceDN w:val="0"/>
        <w:autoSpaceDE w:val="0"/>
        <w:widowControl/>
        <w:spacing w:line="280" w:lineRule="exact" w:before="278" w:after="0"/>
        <w:ind w:left="572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All others segment for the six months ended September 30, 2023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RMB93,850 million (US$12,862 million), remained stable compared to RMB93,478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same period of 2022. The year-over-year revenue growth was contributed by Alibaba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Health, Freshippo, Fliggy, Intelligent Information Platform, partly offset by the decrease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 from Sun Art due to decrease in ticket size resulting from the decrease in consumer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stockpiling behavior compared to the same period of last year.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Segment adjusted EBITA</w:t>
      </w:r>
    </w:p>
    <w:p>
      <w:pPr>
        <w:autoSpaceDN w:val="0"/>
        <w:autoSpaceDE w:val="0"/>
        <w:widowControl/>
        <w:spacing w:line="280" w:lineRule="exact" w:before="280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Adjusted EBITA from All others segment for the six months ended September 30, 2023 was 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loss of RMB3,170 million (US$435 million), compared to a loss of RMB5,835 million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same period of 2022, primarily due to improved operating results from Freshippo, DingTalk,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Lingxi Games and Fliggy.</w:t>
      </w:r>
    </w:p>
    <w:p>
      <w:pPr>
        <w:autoSpaceDN w:val="0"/>
        <w:autoSpaceDE w:val="0"/>
        <w:widowControl/>
        <w:spacing w:line="268" w:lineRule="exact" w:before="116" w:after="0"/>
        <w:ind w:left="0" w:right="5138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8</w:t>
      </w:r>
    </w:p>
    <w:p>
      <w:pPr>
        <w:sectPr>
          <w:pgSz w:w="11906" w:h="15874"/>
          <w:pgMar w:top="420" w:right="756" w:bottom="46" w:left="846" w:header="720" w:footer="720" w:gutter="0"/>
          <w:cols w:space="720" w:num="1" w:equalWidth="0"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OTHER FINANCIAL RESULTS</w:t>
      </w:r>
    </w:p>
    <w:p>
      <w:pPr>
        <w:autoSpaceDN w:val="0"/>
        <w:autoSpaceDE w:val="0"/>
        <w:widowControl/>
        <w:spacing w:line="276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Costs and Expenses</w:t>
      </w:r>
    </w:p>
    <w:p>
      <w:pPr>
        <w:autoSpaceDN w:val="0"/>
        <w:autoSpaceDE w:val="0"/>
        <w:widowControl/>
        <w:spacing w:line="280" w:lineRule="exact" w:before="282" w:after="222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following tables set forth a breakdown of our costs and expenses, share-based compensation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expense, and costs and expenses excluding share-based compensation expense by function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periods indicated.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87.9999999999995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372"/>
        </w:trPr>
        <w:tc>
          <w:tcPr>
            <w:tcW w:type="dxa" w:w="7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60"/>
            <w:gridSpan w:val="4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49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Six months ended September 30,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8" w:after="0"/>
              <w:ind w:left="0" w:right="25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% of</w:t>
            </w:r>
          </w:p>
        </w:tc>
      </w:tr>
      <w:tr>
        <w:trPr>
          <w:trHeight w:hRule="exact" w:val="68"/>
        </w:trPr>
        <w:tc>
          <w:tcPr>
            <w:tcW w:type="dxa" w:w="786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80"/>
            <w:gridSpan w:val="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7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2022</w:t>
            </w:r>
          </w:p>
        </w:tc>
        <w:tc>
          <w:tcPr>
            <w:tcW w:type="dxa" w:w="1980"/>
            <w:gridSpan w:val="2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26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2023</w:t>
            </w:r>
          </w:p>
        </w:tc>
        <w:tc>
          <w:tcPr>
            <w:tcW w:type="dxa" w:w="1190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146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2924"/>
            <w:gridSpan w:val="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2924"/>
            <w:gridSpan w:val="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46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9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Revenue</w:t>
            </w:r>
          </w:p>
        </w:tc>
      </w:tr>
      <w:tr>
        <w:trPr>
          <w:trHeight w:hRule="exact" w:val="284"/>
        </w:trPr>
        <w:tc>
          <w:tcPr>
            <w:tcW w:type="dxa" w:w="786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8" w:after="0"/>
              <w:ind w:left="0" w:right="4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RMB</w:t>
            </w:r>
          </w:p>
        </w:tc>
        <w:tc>
          <w:tcPr>
            <w:tcW w:type="dxa" w:w="3760"/>
            <w:gridSpan w:val="4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656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% of</w:t>
            </w:r>
          </w:p>
        </w:tc>
        <w:tc>
          <w:tcPr>
            <w:tcW w:type="dxa" w:w="119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25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% of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0" w:right="21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 xml:space="preserve">YoY </w:t>
            </w:r>
          </w:p>
        </w:tc>
      </w:tr>
      <w:tr>
        <w:trPr>
          <w:trHeight w:hRule="exact" w:val="332"/>
        </w:trPr>
        <w:tc>
          <w:tcPr>
            <w:tcW w:type="dxa" w:w="1462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3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7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Revenue</w:t>
            </w:r>
          </w:p>
        </w:tc>
        <w:tc>
          <w:tcPr>
            <w:tcW w:type="dxa" w:w="14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RMB</w:t>
            </w:r>
          </w:p>
        </w:tc>
        <w:tc>
          <w:tcPr>
            <w:tcW w:type="dxa" w:w="9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US$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29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Revenue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15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change</w:t>
            </w:r>
          </w:p>
        </w:tc>
      </w:tr>
    </w:tbl>
    <w:p>
      <w:pPr>
        <w:autoSpaceDN w:val="0"/>
        <w:autoSpaceDE w:val="0"/>
        <w:widowControl/>
        <w:spacing w:line="278" w:lineRule="exact" w:before="28" w:after="0"/>
        <w:ind w:left="0" w:right="1914" w:firstLine="0"/>
        <w:jc w:val="righ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>(in millions, except percentages)</w:t>
      </w:r>
    </w:p>
    <w:p>
      <w:pPr>
        <w:autoSpaceDN w:val="0"/>
        <w:autoSpaceDE w:val="0"/>
        <w:widowControl/>
        <w:spacing w:line="276" w:lineRule="exact" w:before="282" w:after="6"/>
        <w:ind w:left="4" w:right="0" w:firstLine="0"/>
        <w:jc w:val="lef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>Costs and expenses: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27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Cost of revenue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260,867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22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64%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282,011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294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38,653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62%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(2)%</w:t>
            </w:r>
          </w:p>
        </w:tc>
      </w:tr>
      <w:tr>
        <w:trPr>
          <w:trHeight w:hRule="exact" w:val="28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Product development expenses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7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29,343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24,683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3,383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5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(2)%</w:t>
            </w:r>
          </w:p>
        </w:tc>
      </w:tr>
      <w:tr>
        <w:trPr>
          <w:trHeight w:hRule="exact" w:val="284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Sales and marketing expenses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7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47,937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11%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52,532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7,200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11%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General and administrative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276"/>
        </w:trPr>
        <w:tc>
          <w:tcPr>
            <w:tcW w:type="dxa" w:w="3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expenses</w:t>
            </w:r>
          </w:p>
        </w:tc>
        <w:tc>
          <w:tcPr>
            <w:tcW w:type="dxa" w:w="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19,024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16,705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2,290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  <w:tr>
        <w:trPr>
          <w:trHeight w:hRule="exact" w:val="280"/>
        </w:trPr>
        <w:tc>
          <w:tcPr>
            <w:tcW w:type="dxa" w:w="3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Amortization of intangible assets</w:t>
            </w:r>
          </w:p>
        </w:tc>
        <w:tc>
          <w:tcPr>
            <w:tcW w:type="dxa" w:w="974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754" w:right="0" w:hanging="292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5,480</w:t>
            </w:r>
            <w:r>
              <w:rPr>
                <w:w w:val="98.99304431417714"/>
                <w:rFonts w:ascii="MSungHK" w:hAnsi="MSungHK" w:eastAsia="MSungHK"/>
                <w:b w:val="0"/>
                <w:i w:val="0"/>
                <w:color w:val="221F1F"/>
                <w:sz w:val="23"/>
              </w:rPr>
              <w:t>—</w:t>
            </w:r>
          </w:p>
        </w:tc>
        <w:tc>
          <w:tcPr>
            <w:tcW w:type="dxa" w:w="119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64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  <w:r>
              <w:br/>
            </w:r>
            <w:r>
              <w:rPr>
                <w:w w:val="98.99304431417714"/>
                <w:rFonts w:ascii="MSungHK" w:hAnsi="MSungHK" w:eastAsia="MSungHK"/>
                <w:b w:val="0"/>
                <w:i w:val="0"/>
                <w:color w:val="221F1F"/>
                <w:sz w:val="23"/>
              </w:rPr>
              <w:t>—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4,910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673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  <w:tr>
        <w:trPr>
          <w:trHeight w:hRule="exact" w:val="312"/>
        </w:trPr>
        <w:tc>
          <w:tcPr>
            <w:tcW w:type="dxa" w:w="329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Impairment of goodwill</w:t>
            </w:r>
          </w:p>
        </w:tc>
        <w:tc>
          <w:tcPr>
            <w:tcW w:type="dxa" w:w="1462"/>
            <w:vMerge/>
            <w:tcBorders>
              <w:bottom w:sz="4.0" w:val="single" w:color="#221F1F"/>
            </w:tcBorders>
          </w:tcPr>
          <w:p/>
        </w:tc>
        <w:tc>
          <w:tcPr>
            <w:tcW w:type="dxa" w:w="1462"/>
            <w:vMerge/>
            <w:tcBorders>
              <w:bottom w:sz="4.0" w:val="single" w:color="#221F1F"/>
            </w:tcBorders>
          </w:tcPr>
          <w:p/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2,031</w:t>
            </w:r>
          </w:p>
        </w:tc>
        <w:tc>
          <w:tcPr>
            <w:tcW w:type="dxa" w:w="11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278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  <w:tr>
        <w:trPr>
          <w:trHeight w:hRule="exact" w:val="336"/>
        </w:trPr>
        <w:tc>
          <w:tcPr>
            <w:tcW w:type="dxa" w:w="329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Total costs and expenses</w:t>
            </w:r>
          </w:p>
        </w:tc>
        <w:tc>
          <w:tcPr>
            <w:tcW w:type="dxa" w:w="97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234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362,651</w:t>
            </w:r>
          </w:p>
        </w:tc>
        <w:tc>
          <w:tcPr>
            <w:tcW w:type="dxa" w:w="1190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88%</w:t>
            </w:r>
          </w:p>
        </w:tc>
        <w:tc>
          <w:tcPr>
            <w:tcW w:type="dxa" w:w="1190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382,872</w:t>
            </w:r>
          </w:p>
        </w:tc>
        <w:tc>
          <w:tcPr>
            <w:tcW w:type="dxa" w:w="1192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52,477</w:t>
            </w:r>
          </w:p>
        </w:tc>
        <w:tc>
          <w:tcPr>
            <w:tcW w:type="dxa" w:w="1190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83%</w:t>
            </w:r>
          </w:p>
        </w:tc>
        <w:tc>
          <w:tcPr>
            <w:tcW w:type="dxa" w:w="1190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(5)%</w:t>
            </w:r>
          </w:p>
        </w:tc>
      </w:tr>
    </w:tbl>
    <w:p>
      <w:pPr>
        <w:autoSpaceDN w:val="0"/>
        <w:autoSpaceDE w:val="0"/>
        <w:widowControl/>
        <w:spacing w:line="280" w:lineRule="exact" w:before="334" w:after="6"/>
        <w:ind w:left="4" w:right="7488" w:firstLine="0"/>
        <w:jc w:val="lef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 xml:space="preserve">Share-based compensation </w:t>
      </w:r>
      <w:r>
        <w:br/>
      </w: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 xml:space="preserve"> expense: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272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Cost of revenue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2,815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32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1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937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128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35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  <w:tr>
        <w:trPr>
          <w:trHeight w:hRule="exact" w:val="28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Product development expenses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6,821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2,764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379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5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  <w:tr>
        <w:trPr>
          <w:trHeight w:hRule="exact" w:val="28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Sales and marketing expenses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1,771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3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1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725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99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35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6" w:right="0" w:firstLine="0"/>
        <w:jc w:val="left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General and administrative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308"/>
        </w:trPr>
        <w:tc>
          <w:tcPr>
            <w:tcW w:type="dxa" w:w="329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expenses</w:t>
            </w:r>
          </w:p>
        </w:tc>
        <w:tc>
          <w:tcPr>
            <w:tcW w:type="dxa" w:w="9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3,105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775</w:t>
            </w:r>
          </w:p>
        </w:tc>
        <w:tc>
          <w:tcPr>
            <w:tcW w:type="dxa" w:w="11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107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</w:tbl>
    <w:p>
      <w:pPr>
        <w:autoSpaceDN w:val="0"/>
        <w:autoSpaceDE w:val="0"/>
        <w:widowControl/>
        <w:spacing w:line="268" w:lineRule="exact" w:before="38" w:after="6"/>
        <w:ind w:left="4" w:right="0" w:firstLine="0"/>
        <w:jc w:val="left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Total share-based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304"/>
        </w:trPr>
        <w:tc>
          <w:tcPr>
            <w:tcW w:type="dxa" w:w="329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compensation expense</w:t>
            </w:r>
          </w:p>
        </w:tc>
        <w:tc>
          <w:tcPr>
            <w:tcW w:type="dxa" w:w="978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14,512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5,201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713</w:t>
            </w:r>
          </w:p>
        </w:tc>
        <w:tc>
          <w:tcPr>
            <w:tcW w:type="dxa" w:w="119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(3)%</w:t>
            </w:r>
          </w:p>
        </w:tc>
      </w:tr>
    </w:tbl>
    <w:p>
      <w:pPr>
        <w:autoSpaceDN w:val="0"/>
        <w:autoSpaceDE w:val="0"/>
        <w:widowControl/>
        <w:spacing w:line="280" w:lineRule="exact" w:before="336" w:after="6"/>
        <w:ind w:left="4" w:right="7776" w:firstLine="0"/>
        <w:jc w:val="lef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 xml:space="preserve">Costs and expenses </w:t>
      </w:r>
      <w:r>
        <w:br/>
      </w: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 xml:space="preserve"> excluding share-based </w:t>
      </w:r>
      <w:r>
        <w:br/>
      </w: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 xml:space="preserve"> compensation expense: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26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Cost of revenue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258,052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63%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281,074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94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38,525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62%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  <w:tr>
        <w:trPr>
          <w:trHeight w:hRule="exact" w:val="28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Product development expenses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7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22,522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21,919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3,004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35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(1)%</w:t>
            </w:r>
          </w:p>
        </w:tc>
      </w:tr>
      <w:tr>
        <w:trPr>
          <w:trHeight w:hRule="exact" w:val="294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Sales and marketing expenses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37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46,166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22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11%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51,807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7,101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11%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6" w:right="0" w:firstLine="0"/>
        <w:jc w:val="left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General and administrative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266"/>
        </w:trPr>
        <w:tc>
          <w:tcPr>
            <w:tcW w:type="dxa" w:w="3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expenses</w:t>
            </w:r>
          </w:p>
        </w:tc>
        <w:tc>
          <w:tcPr>
            <w:tcW w:type="dxa" w:w="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15,919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15,930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2,183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  <w:tr>
        <w:trPr>
          <w:trHeight w:hRule="exact" w:val="280"/>
        </w:trPr>
        <w:tc>
          <w:tcPr>
            <w:tcW w:type="dxa" w:w="3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Amortization of intangible assets</w:t>
            </w:r>
          </w:p>
        </w:tc>
        <w:tc>
          <w:tcPr>
            <w:tcW w:type="dxa" w:w="974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754" w:right="0" w:hanging="292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5,480</w:t>
            </w:r>
            <w:r>
              <w:rPr>
                <w:w w:val="98.99304431417714"/>
                <w:rFonts w:ascii="MSungHK" w:hAnsi="MSungHK" w:eastAsia="MSungHK"/>
                <w:b w:val="0"/>
                <w:i w:val="0"/>
                <w:color w:val="221F1F"/>
                <w:sz w:val="23"/>
              </w:rPr>
              <w:t>—</w:t>
            </w:r>
          </w:p>
        </w:tc>
        <w:tc>
          <w:tcPr>
            <w:tcW w:type="dxa" w:w="119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864" w:right="0" w:firstLine="0"/>
              <w:jc w:val="center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  <w:r>
              <w:br/>
            </w:r>
            <w:r>
              <w:rPr>
                <w:w w:val="98.99304431417714"/>
                <w:rFonts w:ascii="MSungHK" w:hAnsi="MSungHK" w:eastAsia="MSungHK"/>
                <w:b w:val="0"/>
                <w:i w:val="0"/>
                <w:color w:val="221F1F"/>
                <w:sz w:val="23"/>
              </w:rPr>
              <w:t>—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4,910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673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  <w:tr>
        <w:trPr>
          <w:trHeight w:hRule="exact" w:val="320"/>
        </w:trPr>
        <w:tc>
          <w:tcPr>
            <w:tcW w:type="dxa" w:w="329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2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Impairment of goodwill</w:t>
            </w:r>
          </w:p>
        </w:tc>
        <w:tc>
          <w:tcPr>
            <w:tcW w:type="dxa" w:w="1462"/>
            <w:vMerge/>
            <w:tcBorders>
              <w:bottom w:sz="4.0" w:val="single" w:color="#221F1F"/>
            </w:tcBorders>
          </w:tcPr>
          <w:p/>
        </w:tc>
        <w:tc>
          <w:tcPr>
            <w:tcW w:type="dxa" w:w="1462"/>
            <w:vMerge/>
            <w:tcBorders>
              <w:bottom w:sz="4.0" w:val="single" w:color="#221F1F"/>
            </w:tcBorders>
          </w:tcPr>
          <w:p/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2,031</w:t>
            </w:r>
          </w:p>
        </w:tc>
        <w:tc>
          <w:tcPr>
            <w:tcW w:type="dxa" w:w="11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278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119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</w:tr>
    </w:tbl>
    <w:p>
      <w:pPr>
        <w:autoSpaceDN w:val="0"/>
        <w:autoSpaceDE w:val="0"/>
        <w:widowControl/>
        <w:spacing w:line="280" w:lineRule="exact" w:before="28" w:after="6"/>
        <w:ind w:left="0" w:right="7776" w:firstLine="0"/>
        <w:jc w:val="center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Total costs and expenses </w:t>
      </w:r>
      <w:r>
        <w:br/>
      </w: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 excluding share-based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62"/>
        <w:gridCol w:w="1462"/>
        <w:gridCol w:w="1462"/>
        <w:gridCol w:w="1462"/>
        <w:gridCol w:w="1462"/>
        <w:gridCol w:w="1462"/>
        <w:gridCol w:w="1462"/>
      </w:tblGrid>
      <w:tr>
        <w:trPr>
          <w:trHeight w:hRule="exact" w:val="304"/>
        </w:trPr>
        <w:tc>
          <w:tcPr>
            <w:tcW w:type="dxa" w:w="329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compensation expense</w:t>
            </w:r>
          </w:p>
        </w:tc>
        <w:tc>
          <w:tcPr>
            <w:tcW w:type="dxa" w:w="978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36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348,139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84%</w:t>
            </w:r>
          </w:p>
        </w:tc>
        <w:tc>
          <w:tcPr>
            <w:tcW w:type="dxa" w:w="1404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377,671</w:t>
            </w:r>
          </w:p>
        </w:tc>
        <w:tc>
          <w:tcPr>
            <w:tcW w:type="dxa" w:w="976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51,764</w:t>
            </w:r>
          </w:p>
        </w:tc>
        <w:tc>
          <w:tcPr>
            <w:tcW w:type="dxa" w:w="119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82%</w:t>
            </w:r>
          </w:p>
        </w:tc>
        <w:tc>
          <w:tcPr>
            <w:tcW w:type="dxa" w:w="119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(2)%</w:t>
            </w:r>
          </w:p>
        </w:tc>
      </w:tr>
    </w:tbl>
    <w:p>
      <w:pPr>
        <w:autoSpaceDN w:val="0"/>
        <w:autoSpaceDE w:val="0"/>
        <w:widowControl/>
        <w:spacing w:line="268" w:lineRule="exact" w:before="95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9</w:t>
      </w:r>
    </w:p>
    <w:p>
      <w:pPr>
        <w:sectPr>
          <w:pgSz w:w="11906" w:h="15874"/>
          <w:pgMar w:top="420" w:right="824" w:bottom="46" w:left="846" w:header="720" w:footer="720" w:gutter="0"/>
          <w:cols w:space="720" w:num="1" w:equalWidth="0"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0" w:lineRule="exact" w:before="8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Cost of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Cost of revenue for the six months ended September 30, 2023 was RMB282,011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(US$38,653 million), or 62% of revenue, compared to RMB260,867 million, or 64%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revenue, for the same period of 2022. Without the effect of share-based compensation expense,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cost of revenue as a percentage of revenue would have decreased from 63% for the six months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ended September 30, 2022 to 62% for the six months ended September 30, 2023.</w:t>
      </w:r>
    </w:p>
    <w:p>
      <w:pPr>
        <w:autoSpaceDN w:val="0"/>
        <w:autoSpaceDE w:val="0"/>
        <w:widowControl/>
        <w:spacing w:line="270" w:lineRule="exact" w:before="270" w:after="0"/>
        <w:ind w:left="4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Product development expenses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Product development expenses for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 were RMB24,683 million (US$3,383 million), or 5% of revenue, compared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RMB29,343 million, or 7% of revenue, for the same period of 2022. Without the effect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compensation expense, product development expenses as a percentage of revenue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would have decreased from 5% for the six months ended September 30, 2022 to 4% for the six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months ended September 30, 2023.</w:t>
      </w:r>
    </w:p>
    <w:p>
      <w:pPr>
        <w:autoSpaceDN w:val="0"/>
        <w:autoSpaceDE w:val="0"/>
        <w:widowControl/>
        <w:spacing w:line="270" w:lineRule="exact" w:before="27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Sales and marketing expenses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Sales and marketing expenses for the six months ended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 were RMB52,532 million (US$7,200 million), or 11% of revenue, compared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RMB47,937 million, or 11% of revenue, for the same period of 2022. Without the effect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compensation expense, sales and marketing expenses as a percentage of revenue would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have remained stable at 11% for the six months ended September 30, 2023 compared to the same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period of 2022.</w:t>
      </w:r>
    </w:p>
    <w:p>
      <w:pPr>
        <w:autoSpaceDN w:val="0"/>
        <w:autoSpaceDE w:val="0"/>
        <w:widowControl/>
        <w:spacing w:line="270" w:lineRule="exact" w:before="270" w:after="0"/>
        <w:ind w:left="4" w:right="14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General and administrative expenses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General and administrative expenses for the six months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ended September 30, 2023 were RMB16,705 million (US$2,290 million), or 4% of revenue,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RMB19,024 million, or 5% of revenue, for the same period of 2022. Without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effect of share-based compensation expense, general and administrative expenses as a percentage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revenue would have remained stable at 4% for the six months ended September 30, 2023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compared to the same period of 2022.</w:t>
      </w:r>
    </w:p>
    <w:p>
      <w:pPr>
        <w:autoSpaceDN w:val="0"/>
        <w:autoSpaceDE w:val="0"/>
        <w:widowControl/>
        <w:spacing w:line="270" w:lineRule="exact" w:before="27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Share-based compensation expense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Total share-based compensation expense included in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cost and expense items above for the six months ended September 30, 2023 was RMB5,201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(US$713 million), compared to RMB14,512 million for the same period of 2022.</w:t>
      </w:r>
    </w:p>
    <w:p>
      <w:pPr>
        <w:autoSpaceDN w:val="0"/>
        <w:autoSpaceDE w:val="0"/>
        <w:widowControl/>
        <w:spacing w:line="270" w:lineRule="exact" w:before="270" w:after="0"/>
        <w:ind w:left="4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following table sets forth our analysis of share-based compensation expense for the periods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indicated by type of share-based awards:</w:t>
      </w:r>
    </w:p>
    <w:p>
      <w:pPr>
        <w:autoSpaceDN w:val="0"/>
        <w:autoSpaceDE w:val="0"/>
        <w:widowControl/>
        <w:spacing w:line="278" w:lineRule="exact" w:before="262" w:after="28"/>
        <w:ind w:left="0" w:right="2358" w:firstLine="0"/>
        <w:jc w:val="righ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27.9999999999995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330"/>
        </w:trPr>
        <w:tc>
          <w:tcPr>
            <w:tcW w:type="dxa" w:w="74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" w:after="0"/>
              <w:ind w:left="56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2022</w:t>
            </w:r>
          </w:p>
        </w:tc>
        <w:tc>
          <w:tcPr>
            <w:tcW w:type="dxa" w:w="113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" w:after="0"/>
              <w:ind w:left="0" w:right="23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2023</w:t>
            </w:r>
          </w:p>
        </w:tc>
        <w:tc>
          <w:tcPr>
            <w:tcW w:type="dxa" w:w="113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746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6" w:after="0"/>
              <w:ind w:left="0" w:right="3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RMB</w:t>
            </w:r>
          </w:p>
        </w:tc>
        <w:tc>
          <w:tcPr>
            <w:tcW w:type="dxa" w:w="130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% of</w:t>
            </w:r>
          </w:p>
        </w:tc>
        <w:tc>
          <w:tcPr>
            <w:tcW w:type="dxa" w:w="113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6" w:after="0"/>
              <w:ind w:left="0" w:right="20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RMB</w:t>
            </w:r>
          </w:p>
        </w:tc>
        <w:tc>
          <w:tcPr>
            <w:tcW w:type="dxa" w:w="1134"/>
            <w:vMerge w:val="restart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6" w:after="0"/>
              <w:ind w:left="0" w:right="26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US$</w:t>
            </w:r>
          </w:p>
        </w:tc>
        <w:tc>
          <w:tcPr>
            <w:tcW w:type="dxa" w:w="11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% of</w:t>
            </w:r>
          </w:p>
        </w:tc>
        <w:tc>
          <w:tcPr>
            <w:tcW w:type="dxa" w:w="11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10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YoY %</w:t>
            </w:r>
          </w:p>
        </w:tc>
      </w:tr>
      <w:tr>
        <w:trPr>
          <w:trHeight w:hRule="exact" w:val="320"/>
        </w:trPr>
        <w:tc>
          <w:tcPr>
            <w:tcW w:type="dxa" w:w="1717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0" w:right="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Revenue</w:t>
            </w:r>
          </w:p>
        </w:tc>
        <w:tc>
          <w:tcPr>
            <w:tcW w:type="dxa" w:w="1717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717"/>
            <w:vMerge/>
            <w:tcBorders>
              <w:top w:sz="4.0" w:val="single" w:color="#221F1F"/>
              <w:bottom w:sz="4.0" w:val="single" w:color="#221F1F"/>
            </w:tcBorders>
          </w:tcPr>
          <w:p/>
        </w:tc>
        <w:tc>
          <w:tcPr>
            <w:tcW w:type="dxa" w:w="11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264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Revenue</w:t>
            </w:r>
          </w:p>
        </w:tc>
        <w:tc>
          <w:tcPr>
            <w:tcW w:type="dxa" w:w="11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0" w:right="9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/>
                <w:i w:val="0"/>
                <w:color w:val="221F1F"/>
                <w:sz w:val="23"/>
              </w:rPr>
              <w:t>Change</w:t>
            </w:r>
          </w:p>
        </w:tc>
      </w:tr>
    </w:tbl>
    <w:p>
      <w:pPr>
        <w:autoSpaceDN w:val="0"/>
        <w:autoSpaceDE w:val="0"/>
        <w:widowControl/>
        <w:spacing w:line="278" w:lineRule="exact" w:before="16" w:after="0"/>
        <w:ind w:left="0" w:right="1812" w:firstLine="0"/>
        <w:jc w:val="righ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>(in millions, except percentages)</w:t>
      </w:r>
    </w:p>
    <w:p>
      <w:pPr>
        <w:autoSpaceDN w:val="0"/>
        <w:autoSpaceDE w:val="0"/>
        <w:widowControl/>
        <w:spacing w:line="278" w:lineRule="exact" w:before="262" w:after="2"/>
        <w:ind w:left="4" w:right="0" w:firstLine="0"/>
        <w:jc w:val="left"/>
      </w:pPr>
      <w:r>
        <w:rPr>
          <w:w w:val="98.99304431417714"/>
          <w:rFonts w:ascii="TimesLTStd" w:hAnsi="TimesLTStd" w:eastAsia="TimesLTStd"/>
          <w:b/>
          <w:i w:val="0"/>
          <w:color w:val="221F1F"/>
          <w:sz w:val="23"/>
        </w:rPr>
        <w:t>By type of awards: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72"/>
        <w:gridCol w:w="1472"/>
        <w:gridCol w:w="1472"/>
        <w:gridCol w:w="1472"/>
        <w:gridCol w:w="1472"/>
        <w:gridCol w:w="1472"/>
        <w:gridCol w:w="1472"/>
      </w:tblGrid>
      <w:tr>
        <w:trPr>
          <w:trHeight w:hRule="exact" w:val="260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Alibaba Group share-based awards</w:t>
            </w:r>
            <w:r>
              <w:rPr>
                <w:w w:val="102.10751019991362"/>
                <w:rFonts w:ascii="TimesLTStd" w:hAnsi="TimesLTStd" w:eastAsia="TimesLTStd"/>
                <w:b w:val="0"/>
                <w:i w:val="0"/>
                <w:color w:val="221F1F"/>
                <w:sz w:val="13"/>
              </w:rPr>
              <w:t>(1)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12,087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3%</w:t>
            </w:r>
          </w:p>
        </w:tc>
        <w:tc>
          <w:tcPr>
            <w:tcW w:type="dxa" w:w="1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9,107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1,248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2%</w:t>
            </w:r>
          </w:p>
        </w:tc>
        <w:tc>
          <w:tcPr>
            <w:tcW w:type="dxa" w:w="1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(25)%</w:t>
            </w:r>
          </w:p>
        </w:tc>
      </w:tr>
      <w:tr>
        <w:trPr>
          <w:trHeight w:hRule="exact" w:val="260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Ant Group share-based awards</w:t>
            </w:r>
            <w:r>
              <w:rPr>
                <w:w w:val="102.10751019991362"/>
                <w:rFonts w:ascii="TimesLTStd" w:hAnsi="TimesLTStd" w:eastAsia="TimesLTStd"/>
                <w:b w:val="0"/>
                <w:i w:val="0"/>
                <w:color w:val="221F1F"/>
                <w:sz w:val="13"/>
              </w:rPr>
              <w:t>(2)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188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0%</w:t>
            </w:r>
          </w:p>
        </w:tc>
        <w:tc>
          <w:tcPr>
            <w:tcW w:type="dxa" w:w="1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5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(6,749)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5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(925)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(2)%</w:t>
            </w:r>
          </w:p>
        </w:tc>
        <w:tc>
          <w:tcPr>
            <w:tcW w:type="dxa" w:w="1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N/A</w:t>
            </w:r>
          </w:p>
        </w:tc>
      </w:tr>
      <w:tr>
        <w:trPr>
          <w:trHeight w:hRule="exact" w:val="320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0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Others</w:t>
            </w:r>
            <w:r>
              <w:rPr>
                <w:w w:val="102.10751019991362"/>
                <w:rFonts w:ascii="TimesLTStd" w:hAnsi="TimesLTStd" w:eastAsia="TimesLTStd"/>
                <w:b w:val="0"/>
                <w:i w:val="0"/>
                <w:color w:val="221F1F"/>
                <w:sz w:val="13"/>
              </w:rPr>
              <w:t>(3)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2,237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2,843</w:t>
            </w:r>
          </w:p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222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390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27%</w:t>
            </w:r>
          </w:p>
        </w:tc>
      </w:tr>
    </w:tbl>
    <w:p>
      <w:pPr>
        <w:autoSpaceDN w:val="0"/>
        <w:autoSpaceDE w:val="0"/>
        <w:widowControl/>
        <w:spacing w:line="268" w:lineRule="exact" w:before="30" w:after="2"/>
        <w:ind w:left="4" w:right="0" w:firstLine="0"/>
        <w:jc w:val="left"/>
      </w:pPr>
      <w:r>
        <w:rPr>
          <w:w w:val="98.99304431417714"/>
          <w:rFonts w:ascii="TimesLTStd" w:hAnsi="TimesLTStd" w:eastAsia="TimesLTStd"/>
          <w:b w:val="0"/>
          <w:i w:val="0"/>
          <w:color w:val="221F1F"/>
          <w:sz w:val="23"/>
        </w:rPr>
        <w:t xml:space="preserve">Total share-based compensation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88"/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hRule="exact" w:val="298"/>
        </w:trPr>
        <w:tc>
          <w:tcPr>
            <w:tcW w:type="dxa" w:w="3626"/>
            <w:gridSpan w:val="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" w:right="0" w:firstLine="0"/>
              <w:jc w:val="lef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 xml:space="preserve"> expense</w:t>
            </w:r>
          </w:p>
        </w:tc>
        <w:tc>
          <w:tcPr>
            <w:tcW w:type="dxa" w:w="92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14,512</w:t>
            </w:r>
          </w:p>
        </w:tc>
        <w:tc>
          <w:tcPr>
            <w:tcW w:type="dxa" w:w="1348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0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4%</w:t>
            </w:r>
          </w:p>
        </w:tc>
        <w:tc>
          <w:tcPr>
            <w:tcW w:type="dxa" w:w="920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5,201</w:t>
            </w:r>
          </w:p>
        </w:tc>
        <w:tc>
          <w:tcPr>
            <w:tcW w:type="dxa" w:w="1134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713</w:t>
            </w:r>
          </w:p>
        </w:tc>
        <w:tc>
          <w:tcPr>
            <w:tcW w:type="dxa" w:w="1134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1%</w:t>
            </w:r>
          </w:p>
        </w:tc>
        <w:tc>
          <w:tcPr>
            <w:tcW w:type="dxa" w:w="117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w w:val="98.99304431417714"/>
                <w:rFonts w:ascii="TimesLTStd" w:hAnsi="TimesLTStd" w:eastAsia="TimesLTStd"/>
                <w:b w:val="0"/>
                <w:i w:val="0"/>
                <w:color w:val="221F1F"/>
                <w:sz w:val="23"/>
              </w:rPr>
              <w:t>(64)%</w:t>
            </w:r>
          </w:p>
        </w:tc>
      </w:tr>
      <w:tr>
        <w:trPr>
          <w:trHeight w:hRule="exact" w:val="224"/>
        </w:trPr>
        <w:tc>
          <w:tcPr>
            <w:tcW w:type="dxa" w:w="2576"/>
            <w:gridSpan w:val="2"/>
            <w:vMerge/>
            <w:tcBorders>
              <w:bottom w:sz="4.0" w:val="single" w:color="#221F1F"/>
            </w:tcBorders>
          </w:tcPr>
          <w:p/>
        </w:tc>
        <w:tc>
          <w:tcPr>
            <w:tcW w:type="dxa" w:w="920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8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2"/>
            <w:tcBorders>
              <w:top w:sz="5.328000068664551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820"/>
            <w:gridSpan w:val="7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>This represents Alibaba Group share-based awards granted to our employees.</w:t>
            </w:r>
          </w:p>
        </w:tc>
      </w:tr>
      <w:tr>
        <w:trPr>
          <w:trHeight w:hRule="exact" w:val="358"/>
        </w:trPr>
        <w:tc>
          <w:tcPr>
            <w:tcW w:type="dxa" w:w="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(2) </w:t>
            </w:r>
          </w:p>
        </w:tc>
        <w:tc>
          <w:tcPr>
            <w:tcW w:type="dxa" w:w="9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This represents Ant Group share-based awards granted to our employees, which is subject to mark-to-market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>accounting treatment.</w:t>
      </w:r>
    </w:p>
    <w:p>
      <w:pPr>
        <w:autoSpaceDN w:val="0"/>
        <w:tabs>
          <w:tab w:pos="572" w:val="left"/>
        </w:tabs>
        <w:autoSpaceDE w:val="0"/>
        <w:widowControl/>
        <w:spacing w:line="224" w:lineRule="exact" w:before="236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This represents share-based awards of our subsidiaries.</w:t>
      </w:r>
    </w:p>
    <w:p>
      <w:pPr>
        <w:autoSpaceDN w:val="0"/>
        <w:autoSpaceDE w:val="0"/>
        <w:widowControl/>
        <w:spacing w:line="268" w:lineRule="exact" w:before="310" w:after="0"/>
        <w:ind w:left="0" w:right="5074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10</w:t>
      </w:r>
    </w:p>
    <w:p>
      <w:pPr>
        <w:sectPr>
          <w:pgSz w:w="11906" w:h="15874"/>
          <w:pgMar w:top="420" w:right="756" w:bottom="46" w:left="846" w:header="720" w:footer="720" w:gutter="0"/>
          <w:cols w:space="720" w:num="1" w:equalWidth="0"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compensation expense related to Alibaba Group share-based awards decreased in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six months ended September 30, 2023 compared to the same period of 2022. This decrease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primarily due to the general decrease in the average fair market value of the awards granted.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compensation expense related to Ant Group reflected a reversal of share-based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compensation expense of RMB6,901 million (US$946 million) recorded in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2023. This is the result of a mark-to-market adjustment during the period relating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Ant Group share-based awards granted to our employees because of a decrease in the value of Ant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Group.</w:t>
      </w:r>
    </w:p>
    <w:p>
      <w:pPr>
        <w:autoSpaceDN w:val="0"/>
        <w:autoSpaceDE w:val="0"/>
        <w:widowControl/>
        <w:spacing w:line="280" w:lineRule="exact" w:before="28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We expect that our share-based compensation expense will continue to be affected by changes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the fair value of the underlying awards and the quantity of awards we grant in the future.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Amortization of intangible assets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Amortization of intangible assets for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September 30, 2023 was RMB4,910 million (US$673 million), a decrease of 10% from RMB5,480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million for the same period of 2022.</w:t>
      </w:r>
    </w:p>
    <w:p>
      <w:pPr>
        <w:autoSpaceDN w:val="0"/>
        <w:autoSpaceDE w:val="0"/>
        <w:widowControl/>
        <w:spacing w:line="280" w:lineRule="exact" w:before="280" w:after="0"/>
        <w:ind w:left="4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Impairment of goodwill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– Impairment of goodwill of RMB2,031 million (US$278 million)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recorded in the six months ended September 30, 2023 because the carrying value of a reporting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unit within All others segment exceeded its fair value.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Income from operations and operating margin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Income from operations for the six months ended September 30, 2023 was RMB76,074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(US$10,427 million), or 17% of revenue, an increase of 52% compared to RMB50,080 million, 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12% of revenue, for the same period of 2022, primarily contributed by revenue growth, increase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operating efficiency and the reversal of share-based compensation expense of RMB6,901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(US$946 million) related to the mark-to-market adjustment during the period relating to Ant Group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awards granted to our employees. We excluded share-based compensation expense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from our non-GAAP measurements. Excluding the reversal of share-based compensation expense,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our income from operations would have increased by 38% year-over-year, from RMB50,080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in the six months ended September 30, 2022 to RMB69,173 million (US$9,481 million)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the six months ended September 30, 2023.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Adjusted EBITDA and Adjusted EBITA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Adjusted EBITDA increased 20% year-over-year to RMB101,289 million (US$13,883 million)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six months ended September 30, 2023, compared to RMB84,425 million for the same period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2022. Adjusted EBITA increased 25% year-over-year to RMB88,216 million (US$12,091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million) for the six months ended September 30, 2023, compared to RMB70,583 million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same period of 2022. The year-over-year increase in adjusted EBITA was primarily contributed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by revenue growth and improved operating efficiency. A reconciliation of net income (loss)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adjusted EBITDA and adjusted EBITA is included at the end of this Interim Report.</w:t>
      </w:r>
    </w:p>
    <w:p>
      <w:pPr>
        <w:autoSpaceDN w:val="0"/>
        <w:autoSpaceDE w:val="0"/>
        <w:widowControl/>
        <w:spacing w:line="268" w:lineRule="exact" w:before="263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11</w:t>
      </w:r>
    </w:p>
    <w:p>
      <w:pPr>
        <w:sectPr>
          <w:pgSz w:w="11906" w:h="15874"/>
          <w:pgMar w:top="424" w:right="776" w:bottom="46" w:left="846" w:header="720" w:footer="720" w:gutter="0"/>
          <w:cols w:space="720" w:num="1" w:equalWidth="0"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Adjusted EBITA by segment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Adjusted EBITA by segment as well as a reconciliation of income from operations to adjusted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EBITA are set forth in the section entitled “Six Months Ended September Segment Results” above.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Interest and investment income, net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Interest and investment income, net for the six months ended September 30, 2023 was a loss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RMB762 million (US$104 million), compared to a loss of RMB37,083 million for the same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period of 2022, primarily due to the decrease in net fair value loss of our equity investments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publicly-traded companies during the six months ended September 30, 2023, compared to the same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period of 2022. The fair value of these investments is determined based on the available market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price on each measurement date. The extent of the overall decrease in market prices of our equity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investments in publicly-traded companies during the six months ended September 30, 2023, is less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than that of 2022.</w:t>
      </w:r>
    </w:p>
    <w:p>
      <w:pPr>
        <w:autoSpaceDN w:val="0"/>
        <w:autoSpaceDE w:val="0"/>
        <w:widowControl/>
        <w:spacing w:line="268" w:lineRule="exact" w:before="292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The above-mentioned gains and losses were excluded from our non-GAAP net income.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Other income, net</w:t>
      </w:r>
    </w:p>
    <w:p>
      <w:pPr>
        <w:autoSpaceDN w:val="0"/>
        <w:autoSpaceDE w:val="0"/>
        <w:widowControl/>
        <w:spacing w:line="280" w:lineRule="exact" w:before="28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Other income, net for the six months ended September 30, 2023 was RMB2,755 million (US$377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million), compared to RMB3,053 million for the same period of 2022.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Income tax expenses</w:t>
      </w:r>
    </w:p>
    <w:p>
      <w:pPr>
        <w:autoSpaceDN w:val="0"/>
        <w:autoSpaceDE w:val="0"/>
        <w:widowControl/>
        <w:spacing w:line="280" w:lineRule="exact" w:before="280" w:after="0"/>
        <w:ind w:left="4" w:right="576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Income tax expenses for the six months ended September 30, 2023 were RMB11,819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(US$1,620 million), compared to RMB7,971 million for the same period of 2022.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Excluding share-based compensation expense, revaluation and disposal gains/losses of investments,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impairment of investments, as well as the deferred tax effects on basis differences arising from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our equity method investees, our effective tax rate would have been 18% for the six months ended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September 30, 2023.</w:t>
      </w:r>
    </w:p>
    <w:p>
      <w:pPr>
        <w:autoSpaceDN w:val="0"/>
        <w:autoSpaceDE w:val="0"/>
        <w:widowControl/>
        <w:spacing w:line="268" w:lineRule="exact" w:before="571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12</w:t>
      </w:r>
    </w:p>
    <w:p>
      <w:pPr>
        <w:sectPr>
          <w:pgSz w:w="11906" w:h="15874"/>
          <w:pgMar w:top="420" w:right="770" w:bottom="46" w:left="846" w:header="720" w:footer="720" w:gutter="0"/>
          <w:cols w:space="720" w:num="1" w:equalWidth="0"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Share of results of equity method investees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 of results of equity method investees for the six months ended September 30, 2023 was 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loss of RMB2,914 million (US$399 million), compared to a loss of RMB7,616 million for the same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period of 2022. The following table sets forth a breakdown of share of results of equity method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investees for the periods indicated.</w:t>
      </w:r>
    </w:p>
    <w:p>
      <w:pPr>
        <w:autoSpaceDN w:val="0"/>
        <w:autoSpaceDE w:val="0"/>
        <w:widowControl/>
        <w:spacing w:line="278" w:lineRule="exact" w:before="282" w:after="28"/>
        <w:ind w:left="0" w:right="119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78.0" w:type="dxa"/>
      </w:tblPr>
      <w:tblGrid>
        <w:gridCol w:w="2577"/>
        <w:gridCol w:w="2577"/>
        <w:gridCol w:w="2577"/>
        <w:gridCol w:w="2577"/>
      </w:tblGrid>
      <w:tr>
        <w:trPr>
          <w:trHeight w:hRule="exact" w:val="340"/>
        </w:trPr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6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138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6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98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278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0"/>
        <w:ind w:left="0" w:right="230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p>
      <w:pPr>
        <w:autoSpaceDN w:val="0"/>
        <w:autoSpaceDE w:val="0"/>
        <w:widowControl/>
        <w:spacing w:line="282" w:lineRule="exact" w:before="276" w:after="6"/>
        <w:ind w:left="4" w:right="619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 of profit (loss) of equity method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investees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2"/>
        <w:gridCol w:w="2062"/>
        <w:gridCol w:w="2062"/>
        <w:gridCol w:w="2062"/>
        <w:gridCol w:w="2062"/>
      </w:tblGrid>
      <w:tr>
        <w:trPr>
          <w:trHeight w:hRule="exact" w:val="276"/>
        </w:trPr>
        <w:tc>
          <w:tcPr>
            <w:tcW w:type="dxa" w:w="3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– Ant Group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9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6,109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714</w:t>
            </w:r>
          </w:p>
        </w:tc>
      </w:tr>
      <w:tr>
        <w:trPr>
          <w:trHeight w:hRule="exact" w:val="280"/>
        </w:trPr>
        <w:tc>
          <w:tcPr>
            <w:tcW w:type="dxa" w:w="3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– Others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(4,491)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(1,648)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(226)</w:t>
            </w:r>
          </w:p>
        </w:tc>
      </w:tr>
      <w:tr>
        <w:trPr>
          <w:trHeight w:hRule="exact" w:val="280"/>
        </w:trPr>
        <w:tc>
          <w:tcPr>
            <w:tcW w:type="dxa" w:w="3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Impairment loss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(7,189)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(4,481)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(614)</w:t>
            </w:r>
          </w:p>
        </w:tc>
      </w:tr>
      <w:tr>
        <w:trPr>
          <w:trHeight w:hRule="exact" w:val="300"/>
        </w:trPr>
        <w:tc>
          <w:tcPr>
            <w:tcW w:type="dxa" w:w="3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Others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(2,045)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(1,995)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(273)</w:t>
            </w:r>
          </w:p>
        </w:tc>
      </w:tr>
      <w:tr>
        <w:trPr>
          <w:trHeight w:hRule="exact" w:val="348"/>
        </w:trPr>
        <w:tc>
          <w:tcPr>
            <w:tcW w:type="dxa" w:w="3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Total</w:t>
            </w:r>
          </w:p>
        </w:tc>
        <w:tc>
          <w:tcPr>
            <w:tcW w:type="dxa" w:w="332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(7,616)</w:t>
            </w:r>
          </w:p>
        </w:tc>
        <w:tc>
          <w:tcPr>
            <w:tcW w:type="dxa" w:w="20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(2,914)</w:t>
            </w:r>
          </w:p>
        </w:tc>
        <w:tc>
          <w:tcPr>
            <w:tcW w:type="dxa" w:w="12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(399)</w:t>
            </w:r>
          </w:p>
        </w:tc>
      </w:tr>
      <w:tr>
        <w:trPr>
          <w:trHeight w:hRule="exact" w:val="244"/>
        </w:trPr>
        <w:tc>
          <w:tcPr>
            <w:tcW w:type="dxa" w:w="361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00"/>
        </w:trPr>
        <w:tc>
          <w:tcPr>
            <w:tcW w:type="dxa" w:w="41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880"/>
            <w:gridSpan w:val="4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2" w:after="0"/>
              <w:ind w:left="15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“Others” mainly include basis differences arising from equity method investees, share-based compensation 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572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expense related to share-based awards granted to employees of our equity method investees, as well as gain or </w:t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loss arising from the deemed disposal of the equity method investees.</w:t>
      </w:r>
    </w:p>
    <w:p>
      <w:pPr>
        <w:autoSpaceDN w:val="0"/>
        <w:autoSpaceDE w:val="0"/>
        <w:widowControl/>
        <w:spacing w:line="280" w:lineRule="exact" w:before="288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We record our share of results of all equity method investees one quarter in arrears. The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year-over-year decrease in share of profit of Ant Group which reflected the share of a RMB7.07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billion fine on Ant Group imposed by PRC regulators announced in July 2023. The decrease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 of net losses of other equity method investees was mainly due to the overall improvement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financial performance of certain of our equity method investees.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During the six months ended September 30, 2023, Ant Group repurchased approximately 7%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equity interest from its existing shareholders and the shares repurchased were allocated to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employee incentive plans of Ant Group. The number of shares held by us in Ant Group remains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unchanged from legal perspective, our equity interest in Ant Group on a fully diluted basis remains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unchanged at 33%.</w:t>
      </w:r>
    </w:p>
    <w:p>
      <w:pPr>
        <w:autoSpaceDN w:val="0"/>
        <w:autoSpaceDE w:val="0"/>
        <w:widowControl/>
        <w:spacing w:line="280" w:lineRule="exact" w:before="280" w:after="0"/>
        <w:ind w:left="4" w:right="576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U.S. GAAP accounting purposes, we will take into consideration a proportionate share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equity interest held by the employee incentive plans of Ant Group to account for our share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results from our investment in Ant Group, subject to dilution as the equity interest under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employee incentive plans of Ant Group is transferred out.</w:t>
      </w:r>
    </w:p>
    <w:p>
      <w:pPr>
        <w:autoSpaceDN w:val="0"/>
        <w:autoSpaceDE w:val="0"/>
        <w:widowControl/>
        <w:spacing w:line="276" w:lineRule="exact" w:before="284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Net income (loss) and Non-GAAP net income</w:t>
      </w:r>
    </w:p>
    <w:p>
      <w:pPr>
        <w:autoSpaceDN w:val="0"/>
        <w:autoSpaceDE w:val="0"/>
        <w:widowControl/>
        <w:spacing w:line="280" w:lineRule="exact" w:before="280" w:after="0"/>
        <w:ind w:left="4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Our net income for the six months ended September 30, 2023 was RMB59,696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(US$8,182 million), compared to net loss of RMB2,169 million for the same period of 2022,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which was primarily attributable to a decrease in net fair value loss of our equity investments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publicly-traded companies and an increase in income from operations.</w:t>
      </w:r>
    </w:p>
    <w:p>
      <w:pPr>
        <w:autoSpaceDN w:val="0"/>
        <w:autoSpaceDE w:val="0"/>
        <w:widowControl/>
        <w:spacing w:line="268" w:lineRule="exact" w:before="1342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13</w:t>
      </w:r>
    </w:p>
    <w:p>
      <w:pPr>
        <w:sectPr>
          <w:pgSz w:w="11906" w:h="15874"/>
          <w:pgMar w:top="420" w:right="750" w:bottom="46" w:left="846" w:header="720" w:footer="720" w:gutter="0"/>
          <w:cols w:space="720" w:num="1" w:equalWidth="0"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Excluding share-based compensation expense, revaluation and disposal gains/losses of investments,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impairment of investments and certain other items, non-GAAP net income for the six months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ended September 30, 2023 was RMB85,110 million (US$11,665 million), an increase of 33%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RMB64,072 million for the same period of 2022. A reconciliation of net income (loss)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to non-GAAP net income is included at the end of this Interim Report.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Net income attributable to ordinary shareholders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Net income attributable to ordinary shareholders for the six months ended September 30, 2023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RMB62,038 million (US$8,503 million), an increase of 2748% compared to RMB2,178 million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same period of 2022, which was primarily attributable to a decrease in net fair value loss of our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equity investments in publicly-traded companies and an increase in income from operations.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Diluted earnings per ADS/share and non-GAAP diluted earnings per ADS/share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Diluted earnings per ADS for the six months ended September 30, 2023 was RMB24.08 (US$3.30)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RMB0.82 during the same period in 2022. Excluding share-based compensation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expense, revaluation and disposal gains/losses of investments, impairment of investments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certain other items, non-GAAP diluted earnings per ADS for the six months ended September 30,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2023 was RMB33.00 (US$4.52), an increase of 34% compared to RMB24.64 for the same period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of 2022.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Diluted earnings per share for the six months ended September 30, 2023 was RMB3.01 (US$0.41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or HK$3.28), an increase of 2849% compared to RMB0.10 for the same period of 2022. Excluding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share-based compensation expense, revaluation and disposal gains/losses of investments,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impairment of investments and certain other items, non-GAAP diluted earnings per share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six months ended September 30, 2023 was RMB4.13 (US$0.57 or HK$4.50), an increase of 34%,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compared to RMB3.08 for the same period of 2022.</w:t>
      </w:r>
    </w:p>
    <w:p>
      <w:pPr>
        <w:autoSpaceDN w:val="0"/>
        <w:autoSpaceDE w:val="0"/>
        <w:widowControl/>
        <w:spacing w:line="280" w:lineRule="exact" w:before="28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 reconciliation of diluted earnings per ADS/share to non-GAAP diluted earnings per ADS/share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is included at the end of this Interim Report. Each ADS represents eight ordinary shares.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Cash and cash equivalents, short-term investments and other treasury investments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 of September 30, 2023, cash and cash equivalents, short-term investments and other treasury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investments included in equity securities and other investments on the consolidated balance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sheets, were RMB624,501 million (US$85,595 million), compared to RMB560,314 million as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March 31, 2023. Other treasury investments mainly comprise of investments in fixed deposits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certificates of deposits with original maturities over one year for treasury purposes. The increase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 cash and cash equivalents, short-term investments and other treasury investments during the six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months ended September 30, 2023 was primarily due to free cash flow generated from operations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RMB84,309 million (US$11,556 million), effect of exchange rate changes of RMB14,247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(US$1,953 million) mainly due to the appreciation of the U.S. dollar against Renminbi,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net cash provided by investment and acquisition activities of RMB4,789 million (US$656 million),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partly offset by cash used in repurchase of ordinary shares of RMB34,025 million (US$4,664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million) and repayment of unsecured senior notes of US$700 million.</w:t>
      </w:r>
    </w:p>
    <w:p>
      <w:pPr>
        <w:autoSpaceDN w:val="0"/>
        <w:autoSpaceDE w:val="0"/>
        <w:widowControl/>
        <w:spacing w:line="268" w:lineRule="exact" w:before="1796" w:after="0"/>
        <w:ind w:left="0" w:right="5072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14</w:t>
      </w:r>
    </w:p>
    <w:p>
      <w:pPr>
        <w:sectPr>
          <w:pgSz w:w="11906" w:h="15874"/>
          <w:pgMar w:top="424" w:right="758" w:bottom="46" w:left="846" w:header="720" w:footer="720" w:gutter="0"/>
          <w:cols w:space="720" w:num="1" w:equalWidth="0"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Net cash provided by operating activities and free cash flow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six months ended September 30, 2023, net cash provided by operating activities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RMB94,537 million (US$12,957 million), an increase of 17% compared to RMB80,981 million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same period of 2022. Free cash flow, a non-GAAP measurement of liquidity for the six months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ended September 30, 2023, was RMB84,309 million (US$11,556 million), an increase of 46%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compared to RMB57,882 million for the same period of 2022. The year-over-year increase was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primarily due to an increase in profitability and a decrease in capital expenditure. A reconciliation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net cash provided by operating activities to free cash flow is included at the end of this Interim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Report.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Net cash used in investing activities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six months ended September 30, 2023, net cash used in investing activities of RMB11,166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(US$1,530 million) primarily reflected (i) an increase in other treasury investments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by RMB41,939 million (US$5,748 million), (ii) capital expenditure of RMB12,077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(US$1,655 million) and (iii) cash outflow of RMB5,483 million (US$752 million) for investment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acquisition activities. These cash outflows were partially offset by a decrease in short-term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investments by RMB37,530 million (US$5,144 million) and cash inflow of RMB10,272 million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(US$1,408 million) from disposal of investments.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Net cash used in financing activities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the six months ended September 30, 2023, net cash used in financing activities of RMB37,018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million (US$5,074 million) primarily reflected cash used in repurchase of ordinary shares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RMB34,025 million (US$4,664 million) and repayment of unsecured senior notes of US$700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million.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Employees</w:t>
      </w:r>
    </w:p>
    <w:p>
      <w:pPr>
        <w:autoSpaceDN w:val="0"/>
        <w:autoSpaceDE w:val="0"/>
        <w:widowControl/>
        <w:spacing w:line="280" w:lineRule="exact" w:before="280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 of September 30, 2023, we had a total of 224,955 employees, compared to 235,216 as of March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31, 2023.</w:t>
      </w:r>
    </w:p>
    <w:p>
      <w:pPr>
        <w:autoSpaceDN w:val="0"/>
        <w:autoSpaceDE w:val="0"/>
        <w:widowControl/>
        <w:spacing w:line="278" w:lineRule="exact" w:before="282" w:after="0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  <w:u w:val="single"/>
        </w:rPr>
        <w:t>Cash dividend</w:t>
      </w:r>
    </w:p>
    <w:p>
      <w:pPr>
        <w:autoSpaceDN w:val="0"/>
        <w:autoSpaceDE w:val="0"/>
        <w:widowControl/>
        <w:spacing w:line="280" w:lineRule="exact" w:before="28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 we announced on November 16, 2023, an annual cash dividend for fiscal year 2023 has been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approved by our board of directors in the amount of US$0.125 per ordinary share or US$1.00 per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ADS, payable in U.S. dollars, to holders of ordinary shares and holders of ADSs, as of the close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business on December 21, 2023, Hong Kong Time and New York Time, respectively.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aggregate amount of the dividend will be approximately US$2.5 billion.</w:t>
      </w:r>
    </w:p>
    <w:p>
      <w:pPr>
        <w:autoSpaceDN w:val="0"/>
        <w:autoSpaceDE w:val="0"/>
        <w:widowControl/>
        <w:spacing w:line="268" w:lineRule="exact" w:before="347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15</w:t>
      </w:r>
    </w:p>
    <w:p>
      <w:pPr>
        <w:sectPr>
          <w:pgSz w:w="11906" w:h="15874"/>
          <w:pgMar w:top="420" w:right="792" w:bottom="46" w:left="846" w:header="720" w:footer="720" w:gutter="0"/>
          <w:cols w:space="720" w:num="1" w:equalWidth="0"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SAFE HARBOR STATEMENTS</w:t>
      </w:r>
    </w:p>
    <w:p>
      <w:pPr>
        <w:autoSpaceDN w:val="0"/>
        <w:autoSpaceDE w:val="0"/>
        <w:widowControl/>
        <w:spacing w:line="280" w:lineRule="exact" w:before="278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This Interim Report contains forward-looking statements. These statements are made under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“safe harbor” provisions of the U.S. Private Securities Litigation Reform Act of 1995. These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forward-looking statements can be identified by terminology such as “may,” “will,” “expect,”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“anticipate,” “future,” “aim,” “estimate,” “intend,” “seek,” “plan,” “believe,” “potential,”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“continue,” “ongoing,” “target,” “guidance,” “is/are likely to” and similar statements. In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addition, statements that are not historical facts, including statements about Alibaba Group’s new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organizational and governance structure, Alibaba’s strategies and business plans, Alibaba’s beliefs,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expectations and guidance regarding the growth of its business, revenue and return on investments,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business outlook and quotations from management in this Interim Report, as well as Alibaba’s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strategic and operational plans, are or contain forward-looking statements. Alibaba may also make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forward-looking statements in its periodic reports to the U.S. Securities and Exchange Commission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(the “</w:t>
      </w:r>
      <w:r>
        <w:rPr>
          <w:rFonts w:ascii="TimesLTStd" w:hAnsi="TimesLTStd" w:eastAsia="TimesLTStd"/>
          <w:b/>
          <w:i w:val="0"/>
          <w:color w:val="221F1F"/>
          <w:sz w:val="24"/>
        </w:rPr>
        <w:t>SEC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”), in announcements made on the website of The Stock Exchange of Hong Kong Limited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(the “</w:t>
      </w:r>
      <w:r>
        <w:rPr>
          <w:rFonts w:ascii="TimesLTStd" w:hAnsi="TimesLTStd" w:eastAsia="TimesLTStd"/>
          <w:b/>
          <w:i w:val="0"/>
          <w:color w:val="221F1F"/>
          <w:sz w:val="24"/>
        </w:rPr>
        <w:t>Hong Kong Stock Exchange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”), in press releases and other written materials and in oral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statements made by its officers, directors or employees to third parties. Forward-looking statements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involve inherent risks and uncertainties. A number of factors could cause actual results to differ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materially from those contained in any forward-looking statement. These factors include but 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not limited to the following: Alibaba’s corporate structure, including the VIE structure it uses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operate certain businesses in the PRC; the implementation of Alibaba Group’s new organizational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governance structure and the execution of spin-off or capital raising plans of its subsidiaries;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Alibaba’s ability to maintain the trusted status of its ecosystem; Alibaba’s ability to compete,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innovate and maintain or grow its revenue or business, including expanding its international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cross-border businesses and operations and managing a large and complex organization; risks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associated with sustained investments in Alibaba’s businesses; fluctuations in general economic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business conditions in China and globally; uncertainties arising from competition among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countries and geopolitical tensions, including protectionist or national security policies and export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control, economic or trade sanctions; risks associated with Alibaba’s acquisitions, investments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alliances; uncertainties and risks associated with a broad range of complex laws and regulations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(including in the areas of data security and privacy protection, anti-monopoly and anti-unfair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competition, content regulation, consumer protection and regulation of Internet platforms)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PRC and globally; cybersecurity risks; impact of the COVID-19 pandemic; and assumptions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underlying or related to any of the foregoing. Further information regarding these and other risks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is included in Alibaba’s filings with the SEC and announcements on the website of the Hong Kong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Stock Exchange. All information provided in this Interim Report is as of the date of this Interim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Report and are based on assumptions that we believe to be reasonable as of this date, and Alibaba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does not undertake any obligation to update any forward-looking statement, except as required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under applicable law.</w:t>
      </w:r>
    </w:p>
    <w:p>
      <w:pPr>
        <w:autoSpaceDN w:val="0"/>
        <w:autoSpaceDE w:val="0"/>
        <w:widowControl/>
        <w:spacing w:line="278" w:lineRule="exact" w:before="282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NON-GAAP FINANCIAL MEASURES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supplement our consolidated financial statements, which are prepared and presented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accordance with GAAP, we use the following non-GAAP financial measures: for our consolidated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results, adjusted EBITDA (including adjusted EBITDA margin), adjusted EBITA (including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adjusted EBITA margin), non-GAAP net income, non-GAAP diluted earnings per share/ADS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free cash flow. For more information on these non-GAAP financial measures, please refer to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table captioned “Reconciliations of Non-GAAP Measures to the Nearest Comparable U.S. GAAP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Measures” in this Interim Report.</w:t>
      </w:r>
    </w:p>
    <w:p>
      <w:pPr>
        <w:autoSpaceDN w:val="0"/>
        <w:autoSpaceDE w:val="0"/>
        <w:widowControl/>
        <w:spacing w:line="268" w:lineRule="exact" w:before="1234" w:after="0"/>
        <w:ind w:left="0" w:right="5062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16</w:t>
      </w:r>
    </w:p>
    <w:p>
      <w:pPr>
        <w:sectPr>
          <w:pgSz w:w="11906" w:h="15874"/>
          <w:pgMar w:top="420" w:right="768" w:bottom="46" w:left="850" w:header="720" w:footer="720" w:gutter="0"/>
          <w:cols w:space="720" w:num="1" w:equalWidth="0"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We believe that adjusted EBITDA, adjusted EBITA, non-GAAP net income and non-GAAP diluted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earnings per share/ADS help identify underlying trends in our business that could otherwise be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distorted by the effect of certain income or expenses that we include in income from operations,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net income and diluted earnings per share/ADS. We believe that these non-GAAP measures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provide useful information about our core operating results, enhance the overall understanding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our past performance and future prospects and allow for greater visibility with respect to key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metrics used by our management in its financial and operational decision-making. We present three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different income measures, namely adjusted EBITDA, adjusted EBITA and non-GAAP net income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 order to provide more information and greater transparency to investors about our operating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results.</w:t>
      </w:r>
    </w:p>
    <w:p>
      <w:pPr>
        <w:autoSpaceDN w:val="0"/>
        <w:autoSpaceDE w:val="0"/>
        <w:widowControl/>
        <w:spacing w:line="280" w:lineRule="exact" w:before="280" w:after="0"/>
        <w:ind w:left="0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We consider free cash flow to be a liquidity measure that provides useful information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management and investors about the amount of cash generated by our business that can be used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for strategic corporate transactions, including investing in our new business initiatives, making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strategic investments and acquisitions and strengthening our balance sheet.</w:t>
      </w:r>
    </w:p>
    <w:p>
      <w:pPr>
        <w:autoSpaceDN w:val="0"/>
        <w:autoSpaceDE w:val="0"/>
        <w:widowControl/>
        <w:spacing w:line="280" w:lineRule="exact" w:before="280" w:after="0"/>
        <w:ind w:left="0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Adjusted EBITDA, adjusted EBITA, non-GAAP net income, non-GAAP diluted earnings per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share/ADS and free cash flow should not be considered in isolation or construed as an alternative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income from operations, net income, diluted earnings per share/ADS, cash flows or any other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measure of performance or as an indicator of our operating performance. These non-GAAP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financial measures presented here do not have standardized meanings prescribed by U.S. GAAP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may not be comparable to similarly titled measures presented by other companies. Other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companies may calculate similarly titled measures differently, limiting their usefulness 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comparative measures to our data.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Adjusted EBITDA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net income before (i) interest and investment income, net, interest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expense, other income, net, income tax expenses and share of results of equity method investees,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(ii) certain non-cash expenses, consisting of share-based compensation expense, amortization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intangible assets, depreciation and impairment of property and equipment, and operating lease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cost relating to land use rights, impairment of goodwill, as well as equity-settled donation expense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which we do not believe are reflective of our core operating performance during the periods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presented.</w:t>
      </w:r>
    </w:p>
    <w:p>
      <w:pPr>
        <w:autoSpaceDN w:val="0"/>
        <w:autoSpaceDE w:val="0"/>
        <w:widowControl/>
        <w:spacing w:line="280" w:lineRule="exact" w:before="280" w:after="0"/>
        <w:ind w:left="0" w:right="14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Adjusted EBITA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net income before (i) interest and investment income, net, interest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expense, other income, net, income tax expenses and share of results of equity method investees,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(ii) certain non-cash expenses, consisting of share-based compensation expense, amortization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intangible assets, impairment of goodwill and equity-settled donation expense which we do not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believe are reflective of our core operating performance during the periods presented.</w:t>
      </w:r>
    </w:p>
    <w:p>
      <w:pPr>
        <w:autoSpaceDN w:val="0"/>
        <w:autoSpaceDE w:val="0"/>
        <w:widowControl/>
        <w:spacing w:line="280" w:lineRule="exact" w:before="278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net income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net income before share-based compensation expense,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amortization of intangible assets, impairment of goodwill and investments, gain or loss on deemed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disposals/disposals/revaluation of investments, equity-settled donation expense and others, as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adjusted for the tax effects.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diluted earnings per share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non-GAAP net income attributable to ordinary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shareholders divided by the weighted average number of outstanding ordinary shares for computing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non-GAAP diluted earnings per share on a diluted basis.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diluted earnings per ADS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non-GAAP diluted earnings per share after adjusting for the ordinary share-to-ADS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ratio.</w:t>
      </w:r>
    </w:p>
    <w:p>
      <w:pPr>
        <w:autoSpaceDN w:val="0"/>
        <w:autoSpaceDE w:val="0"/>
        <w:widowControl/>
        <w:spacing w:line="268" w:lineRule="exact" w:before="954" w:after="0"/>
        <w:ind w:left="0" w:right="5072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17</w:t>
      </w:r>
    </w:p>
    <w:p>
      <w:pPr>
        <w:sectPr>
          <w:pgSz w:w="11906" w:h="15874"/>
          <w:pgMar w:top="424" w:right="758" w:bottom="46" w:left="850" w:header="720" w:footer="720" w:gutter="0"/>
          <w:cols w:space="720" w:num="1" w:equalWidth="0"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Free cash flow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represents net cash provided by operating activities as presented in our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consolidated cash flow statement less purchases of property and equipment (excluding acquisition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land use rights and construction in progress relating to office campuses) and intangible assets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(excluding those acquired through acquisitions), as well as adjustments to exclude from net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cash provided by operating activities the buyer protection fund deposits from merchants on our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marketplaces. We deduct certain items of cash flows from investing activities in order to provide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greater transparency into cash flow from our revenue-generating business operations. We exclude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“acquisition of land use rights and construction in progress relating to office campuses” because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office campuses are used by us for corporate and administrative purposes and are not directly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related to our revenue-generating business operations. We also exclude buyer protection fund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deposits from merchants on our marketplaces because these deposits are restricted for the purpose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of compensating buyers for claims against merchants.</w:t>
      </w:r>
    </w:p>
    <w:p>
      <w:pPr>
        <w:autoSpaceDN w:val="0"/>
        <w:autoSpaceDE w:val="0"/>
        <w:widowControl/>
        <w:spacing w:line="280" w:lineRule="exact" w:before="280" w:after="0"/>
        <w:ind w:left="0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table captioned “Reconciliations of Non-GAAP Measures to the Nearest Comparable U.S.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GAAP Measures” in this Interim Report have more details on the non-GAAP financial measures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that are most directly comparable to GAAP financial measures and the related reconciliations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between these financial measures.</w:t>
      </w:r>
    </w:p>
    <w:p>
      <w:pPr>
        <w:autoSpaceDN w:val="0"/>
        <w:autoSpaceDE w:val="0"/>
        <w:widowControl/>
        <w:spacing w:line="268" w:lineRule="exact" w:before="991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18</w:t>
      </w:r>
    </w:p>
    <w:p>
      <w:pPr>
        <w:sectPr>
          <w:pgSz w:w="11906" w:h="15874"/>
          <w:pgMar w:top="420" w:right="912" w:bottom="46" w:left="850" w:header="720" w:footer="720" w:gutter="0"/>
          <w:cols w:space="720" w:num="1" w:equalWidth="0"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74" w:lineRule="exact" w:before="4" w:after="0"/>
        <w:ind w:left="4" w:right="374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>UNAUDITED CONSOLIDATED INCOME STATEMENTS</w:t>
      </w:r>
    </w:p>
    <w:p>
      <w:pPr>
        <w:autoSpaceDN w:val="0"/>
        <w:autoSpaceDE w:val="0"/>
        <w:widowControl/>
        <w:spacing w:line="278" w:lineRule="exact" w:before="270" w:after="30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8.0" w:type="dxa"/>
      </w:tblPr>
      <w:tblGrid>
        <w:gridCol w:w="2577"/>
        <w:gridCol w:w="2577"/>
        <w:gridCol w:w="2577"/>
        <w:gridCol w:w="2577"/>
      </w:tblGrid>
      <w:tr>
        <w:trPr>
          <w:trHeight w:hRule="exact" w:val="332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16" w:after="210"/>
        <w:ind w:left="0" w:right="220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millions, except per share data)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328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Revenue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412,731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458,946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62,904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Cost of revenue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28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(260,867)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28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(282,011)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(38,653)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Product development expenses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(29,343)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(24,683)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(3,383)</w:t>
            </w:r>
          </w:p>
        </w:tc>
      </w:tr>
      <w:tr>
        <w:trPr>
          <w:trHeight w:hRule="exact" w:val="26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Sales and marketing expenses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(47,937)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(52,532)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(7,200)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General and administrative expenses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(19,024)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(16,705)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(2,290)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Amortization of intangible assets</w:t>
            </w:r>
          </w:p>
        </w:tc>
        <w:tc>
          <w:tcPr>
            <w:tcW w:type="dxa" w:w="1418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72" w:lineRule="exact" w:before="8" w:after="0"/>
              <w:ind w:left="54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(5,480)</w:t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(4,910)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(673)</w:t>
            </w:r>
          </w:p>
        </w:tc>
      </w:tr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Impairment of goodwill</w:t>
            </w:r>
          </w:p>
        </w:tc>
        <w:tc>
          <w:tcPr>
            <w:tcW w:type="dxa" w:w="2577"/>
            <w:vMerge/>
            <w:tcBorders>
              <w:bottom w:sz="4.0" w:val="single" w:color="#221F1F"/>
            </w:tcBorders>
          </w:tcPr>
          <w:p/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(2,031)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(278)</w:t>
            </w:r>
          </w:p>
        </w:tc>
      </w:tr>
      <w:tr>
        <w:trPr>
          <w:trHeight w:hRule="exact" w:val="572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Income from operations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50,080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76,074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10,427</w:t>
            </w:r>
          </w:p>
        </w:tc>
      </w:tr>
      <w:tr>
        <w:trPr>
          <w:trHeight w:hRule="exact" w:val="26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Interest and investment income, net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(37,083)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(762)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(104)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Interest expense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(2,632)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(3,638)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(499)</w:t>
            </w:r>
          </w:p>
        </w:tc>
      </w:tr>
      <w:tr>
        <w:trPr>
          <w:trHeight w:hRule="exact" w:val="31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Other income, net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3,053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2,755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377</w:t>
            </w:r>
          </w:p>
        </w:tc>
      </w:tr>
      <w:tr>
        <w:trPr>
          <w:trHeight w:hRule="exact" w:val="562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Income before income tax and share of results of equity </w:t>
            </w:r>
          </w:p>
        </w:tc>
        <w:tc>
          <w:tcPr>
            <w:tcW w:type="dxa" w:w="1418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13,418</w:t>
            </w:r>
          </w:p>
        </w:tc>
        <w:tc>
          <w:tcPr>
            <w:tcW w:type="dxa" w:w="1418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74,429</w:t>
            </w:r>
          </w:p>
        </w:tc>
        <w:tc>
          <w:tcPr>
            <w:tcW w:type="dxa" w:w="12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10,201</w:t>
            </w:r>
          </w:p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 method investees</w:t>
            </w:r>
          </w:p>
        </w:tc>
        <w:tc>
          <w:tcPr>
            <w:tcW w:type="dxa" w:w="2577"/>
            <w:vMerge/>
            <w:tcBorders>
              <w:top w:sz="4.0" w:val="single" w:color="#221F1F"/>
            </w:tcBorders>
          </w:tcPr>
          <w:p/>
        </w:tc>
        <w:tc>
          <w:tcPr>
            <w:tcW w:type="dxa" w:w="2577"/>
            <w:vMerge/>
            <w:tcBorders>
              <w:top w:sz="4.0" w:val="single" w:color="#221F1F"/>
            </w:tcBorders>
          </w:tcPr>
          <w:p/>
        </w:tc>
        <w:tc>
          <w:tcPr>
            <w:tcW w:type="dxa" w:w="257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80"/>
        </w:trPr>
        <w:tc>
          <w:tcPr>
            <w:tcW w:type="dxa" w:w="6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Income tax expenses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(7,971)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(11,819)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(1,620)</w:t>
            </w:r>
          </w:p>
        </w:tc>
      </w:tr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Share of results of equity method investees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(7,616)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(2,914)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(399)</w:t>
            </w:r>
          </w:p>
        </w:tc>
      </w:tr>
      <w:tr>
        <w:trPr>
          <w:trHeight w:hRule="exact" w:val="572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Net (loss) income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(2,169)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59,696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8,182</w:t>
            </w:r>
          </w:p>
        </w:tc>
      </w:tr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loss attributable to noncontrolling interests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4,395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2,393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328</w:t>
            </w:r>
          </w:p>
        </w:tc>
      </w:tr>
      <w:tr>
        <w:trPr>
          <w:trHeight w:hRule="exact" w:val="712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income attributable to Alibaba Group Holding Limited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2,226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62,089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8,510</w:t>
            </w:r>
          </w:p>
        </w:tc>
      </w:tr>
      <w:tr>
        <w:trPr>
          <w:trHeight w:hRule="exact" w:val="444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Accretion of mezzanine equity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(48)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(51)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(7)</w:t>
            </w:r>
          </w:p>
        </w:tc>
      </w:tr>
      <w:tr>
        <w:trPr>
          <w:trHeight w:hRule="exact" w:val="621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4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Net income attributable to ordinary shareholders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2,178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62,038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8,503</w:t>
            </w:r>
          </w:p>
        </w:tc>
      </w:tr>
    </w:tbl>
    <w:p>
      <w:pPr>
        <w:autoSpaceDN w:val="0"/>
        <w:autoSpaceDE w:val="0"/>
        <w:widowControl/>
        <w:spacing w:line="274" w:lineRule="exact" w:before="314" w:after="4"/>
        <w:ind w:left="4" w:right="5472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Earnings per share attributable to ordinary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shareholders</w:t>
      </w:r>
      <w:r>
        <w:rPr>
          <w:rFonts w:ascii="TimesLTStd" w:hAnsi="TimesLTStd" w:eastAsia="TimesLTStd"/>
          <w:b/>
          <w:i w:val="0"/>
          <w:color w:val="221F1F"/>
          <w:sz w:val="14"/>
        </w:rPr>
        <w:t>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270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Basic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48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3.04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0.42</w:t>
            </w:r>
          </w:p>
        </w:tc>
      </w:tr>
      <w:tr>
        <w:trPr>
          <w:trHeight w:hRule="exact" w:val="3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Diluted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8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3.01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0.41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4"/>
        <w:ind w:left="4" w:right="5472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Earnings per ADS attributable to ordinary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shareholders</w:t>
      </w:r>
      <w:r>
        <w:rPr>
          <w:rFonts w:ascii="TimesLTStd" w:hAnsi="TimesLTStd" w:eastAsia="TimesLTStd"/>
          <w:b/>
          <w:i w:val="0"/>
          <w:color w:val="221F1F"/>
          <w:sz w:val="14"/>
        </w:rPr>
        <w:t>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260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Basic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0.82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24.31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3.33</w:t>
            </w:r>
          </w:p>
        </w:tc>
      </w:tr>
      <w:tr>
        <w:trPr>
          <w:trHeight w:hRule="exact" w:val="34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Diluted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4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0.82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24.08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3.30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4"/>
        <w:ind w:left="4" w:right="4176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Weighted average number of shares used in calculating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earnings per ordinary share (million shares)</w:t>
      </w:r>
      <w:r>
        <w:rPr>
          <w:rFonts w:ascii="TimesLTStd" w:hAnsi="TimesLTStd" w:eastAsia="TimesLTStd"/>
          <w:b/>
          <w:i w:val="0"/>
          <w:color w:val="221F1F"/>
          <w:sz w:val="14"/>
        </w:rPr>
        <w:t>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7"/>
        <w:gridCol w:w="2577"/>
        <w:gridCol w:w="2577"/>
        <w:gridCol w:w="2577"/>
      </w:tblGrid>
      <w:tr>
        <w:trPr>
          <w:trHeight w:hRule="exact" w:val="270"/>
        </w:trPr>
        <w:tc>
          <w:tcPr>
            <w:tcW w:type="dxa" w:w="54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Basic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21,231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36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20,414</w:t>
            </w:r>
          </w:p>
        </w:tc>
      </w:tr>
      <w:tr>
        <w:trPr>
          <w:trHeight w:hRule="exact" w:val="452"/>
        </w:trPr>
        <w:tc>
          <w:tcPr>
            <w:tcW w:type="dxa" w:w="547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Diluted</w:t>
            </w:r>
          </w:p>
        </w:tc>
        <w:tc>
          <w:tcPr>
            <w:tcW w:type="dxa" w:w="22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21,329</w:t>
            </w:r>
          </w:p>
        </w:tc>
        <w:tc>
          <w:tcPr>
            <w:tcW w:type="dxa" w:w="18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36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20,567</w:t>
            </w:r>
          </w:p>
        </w:tc>
      </w:tr>
      <w:tr>
        <w:trPr>
          <w:trHeight w:hRule="exact" w:val="352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50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>Each ADS represents eight ordinary shares.</w:t>
            </w:r>
          </w:p>
        </w:tc>
        <w:tc>
          <w:tcPr>
            <w:tcW w:type="dxa" w:w="22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8" w:lineRule="exact" w:before="150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19</w:t>
      </w:r>
    </w:p>
    <w:p>
      <w:pPr>
        <w:sectPr>
          <w:pgSz w:w="11906" w:h="15874"/>
          <w:pgMar w:top="420" w:right="750" w:bottom="46" w:left="846" w:header="720" w:footer="720" w:gutter="0"/>
          <w:cols w:space="720" w:num="1" w:equalWidth="0"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222"/>
        <w:ind w:left="0" w:right="4176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>UNAUDITED CONSOLIDATED BALANCE SHEETS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74.0" w:type="dxa"/>
      </w:tblPr>
      <w:tblGrid>
        <w:gridCol w:w="3411"/>
        <w:gridCol w:w="3411"/>
        <w:gridCol w:w="3411"/>
      </w:tblGrid>
      <w:tr>
        <w:trPr>
          <w:trHeight w:hRule="exact" w:val="370"/>
        </w:trPr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As of March 31,</w:t>
            </w:r>
          </w:p>
        </w:tc>
        <w:tc>
          <w:tcPr>
            <w:tcW w:type="dxa" w:w="3968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78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As of September 30,</w:t>
            </w:r>
          </w:p>
        </w:tc>
      </w:tr>
      <w:tr>
        <w:trPr>
          <w:trHeight w:hRule="exact" w:val="340"/>
        </w:trPr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3968"/>
            <w:gridSpan w:val="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162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</w:tr>
      <w:tr>
        <w:trPr>
          <w:trHeight w:hRule="exact" w:val="342"/>
        </w:trPr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598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6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8" w:after="0"/>
        <w:ind w:left="0" w:right="223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p>
      <w:pPr>
        <w:autoSpaceDN w:val="0"/>
        <w:autoSpaceDE w:val="0"/>
        <w:widowControl/>
        <w:spacing w:line="282" w:lineRule="exact" w:before="276" w:after="6"/>
        <w:ind w:left="0" w:right="864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Assets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Current assets: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8"/>
        <w:gridCol w:w="2558"/>
        <w:gridCol w:w="2558"/>
        <w:gridCol w:w="2558"/>
      </w:tblGrid>
      <w:tr>
        <w:trPr>
          <w:trHeight w:hRule="exact" w:val="276"/>
        </w:trPr>
        <w:tc>
          <w:tcPr>
            <w:tcW w:type="dxa" w:w="4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Cash and cash equivalents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193,086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243,716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33,404</w:t>
            </w:r>
          </w:p>
        </w:tc>
      </w:tr>
      <w:tr>
        <w:trPr>
          <w:trHeight w:hRule="exact" w:val="280"/>
        </w:trPr>
        <w:tc>
          <w:tcPr>
            <w:tcW w:type="dxa" w:w="4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Short-term investments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326,492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296,793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40,679</w:t>
            </w:r>
          </w:p>
        </w:tc>
      </w:tr>
      <w:tr>
        <w:trPr>
          <w:trHeight w:hRule="exact" w:val="280"/>
        </w:trPr>
        <w:tc>
          <w:tcPr>
            <w:tcW w:type="dxa" w:w="4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Restricted cash and escrow receivables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7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36,424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3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37,279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5,110</w:t>
            </w:r>
          </w:p>
        </w:tc>
      </w:tr>
      <w:tr>
        <w:trPr>
          <w:trHeight w:hRule="exact" w:val="284"/>
        </w:trPr>
        <w:tc>
          <w:tcPr>
            <w:tcW w:type="dxa" w:w="4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Equity securities and other investments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7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4,892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3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33,851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4,640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Prepayments, receivables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8"/>
        <w:gridCol w:w="2558"/>
        <w:gridCol w:w="2558"/>
        <w:gridCol w:w="2558"/>
      </w:tblGrid>
      <w:tr>
        <w:trPr>
          <w:trHeight w:hRule="exact" w:val="308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4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other assets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137,072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146,317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20,054</w:t>
            </w:r>
          </w:p>
        </w:tc>
      </w:tr>
      <w:tr>
        <w:trPr>
          <w:trHeight w:hRule="exact" w:val="448"/>
        </w:trPr>
        <w:tc>
          <w:tcPr>
            <w:tcW w:type="dxa" w:w="44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Total current assets</w:t>
            </w:r>
          </w:p>
        </w:tc>
        <w:tc>
          <w:tcPr>
            <w:tcW w:type="dxa" w:w="17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697,966</w:t>
            </w:r>
          </w:p>
        </w:tc>
        <w:tc>
          <w:tcPr>
            <w:tcW w:type="dxa" w:w="19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757,956</w:t>
            </w:r>
          </w:p>
        </w:tc>
        <w:tc>
          <w:tcPr>
            <w:tcW w:type="dxa" w:w="19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103,887</w:t>
            </w:r>
          </w:p>
        </w:tc>
      </w:tr>
      <w:tr>
        <w:trPr>
          <w:trHeight w:hRule="exact" w:val="42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Equity securities and other investments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245,737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247,820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33,966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Prepayments, receivables and other assets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110,926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109,784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15,047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Investments in equity method investees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207,380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208,289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28,548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Property and equipment, net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176,031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179,436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24,594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Intangible assets, net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46,913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41,592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5,701</w:t>
            </w:r>
          </w:p>
        </w:tc>
      </w:tr>
      <w:tr>
        <w:trPr>
          <w:trHeight w:hRule="exact" w:val="312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Goodwill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268,091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266,713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36,556</w:t>
            </w:r>
          </w:p>
        </w:tc>
      </w:tr>
      <w:tr>
        <w:trPr>
          <w:trHeight w:hRule="exact" w:val="336"/>
        </w:trPr>
        <w:tc>
          <w:tcPr>
            <w:tcW w:type="dxa" w:w="447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Total assets</w:t>
            </w:r>
          </w:p>
        </w:tc>
        <w:tc>
          <w:tcPr>
            <w:tcW w:type="dxa" w:w="1768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1,753,044</w:t>
            </w:r>
          </w:p>
        </w:tc>
        <w:tc>
          <w:tcPr>
            <w:tcW w:type="dxa" w:w="198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1,811,590</w:t>
            </w:r>
          </w:p>
        </w:tc>
        <w:tc>
          <w:tcPr>
            <w:tcW w:type="dxa" w:w="198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248,299</w:t>
            </w:r>
          </w:p>
        </w:tc>
      </w:tr>
    </w:tbl>
    <w:p>
      <w:pPr>
        <w:autoSpaceDN w:val="0"/>
        <w:autoSpaceDE w:val="0"/>
        <w:widowControl/>
        <w:spacing w:line="280" w:lineRule="exact" w:before="334" w:after="6"/>
        <w:ind w:left="0" w:right="648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Liabilities, Mezzanine Equity and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Shareholders’ Equity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Current liabilities: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8"/>
        <w:gridCol w:w="2558"/>
        <w:gridCol w:w="2558"/>
        <w:gridCol w:w="2558"/>
      </w:tblGrid>
      <w:tr>
        <w:trPr>
          <w:trHeight w:hRule="exact" w:val="272"/>
        </w:trPr>
        <w:tc>
          <w:tcPr>
            <w:tcW w:type="dxa" w:w="4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Current bank borrowings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9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7,466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50" w:right="576" w:hanging="324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8,187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36" w:right="0" w:hanging="324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1,122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4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Current unsecured senior notes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69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4,800</w:t>
            </w:r>
          </w:p>
        </w:tc>
        <w:tc>
          <w:tcPr>
            <w:tcW w:type="dxa" w:w="2558"/>
            <w:vMerge/>
            <w:tcBorders/>
          </w:tcPr>
          <w:p/>
        </w:tc>
        <w:tc>
          <w:tcPr>
            <w:tcW w:type="dxa" w:w="2558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4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Income tax payable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69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12,543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8,507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1,166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Accrued expenses, accounts payable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8"/>
        <w:gridCol w:w="2558"/>
        <w:gridCol w:w="2558"/>
        <w:gridCol w:w="2558"/>
      </w:tblGrid>
      <w:tr>
        <w:trPr>
          <w:trHeight w:hRule="exact" w:val="272"/>
        </w:trPr>
        <w:tc>
          <w:tcPr>
            <w:tcW w:type="dxa" w:w="3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24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and other liabilities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57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275,950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286,604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39,283</w:t>
            </w:r>
          </w:p>
        </w:tc>
      </w:tr>
      <w:tr>
        <w:trPr>
          <w:trHeight w:hRule="exact" w:val="290"/>
        </w:trPr>
        <w:tc>
          <w:tcPr>
            <w:tcW w:type="dxa" w:w="3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Merchant deposits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7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13,297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63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12,603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1,727</w:t>
            </w:r>
          </w:p>
        </w:tc>
      </w:tr>
    </w:tbl>
    <w:p>
      <w:pPr>
        <w:autoSpaceDN w:val="0"/>
        <w:autoSpaceDE w:val="0"/>
        <w:widowControl/>
        <w:spacing w:line="266" w:lineRule="exact" w:before="6" w:after="8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Deferred revenue and customer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8"/>
        <w:gridCol w:w="2558"/>
        <w:gridCol w:w="2558"/>
        <w:gridCol w:w="2558"/>
      </w:tblGrid>
      <w:tr>
        <w:trPr>
          <w:trHeight w:hRule="exact" w:val="306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4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advances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71,295</w:t>
            </w:r>
          </w:p>
        </w:tc>
        <w:tc>
          <w:tcPr>
            <w:tcW w:type="dxa" w:w="2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73,909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10,130</w:t>
            </w:r>
          </w:p>
        </w:tc>
      </w:tr>
      <w:tr>
        <w:trPr>
          <w:trHeight w:hRule="exact" w:val="366"/>
        </w:trPr>
        <w:tc>
          <w:tcPr>
            <w:tcW w:type="dxa" w:w="44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Total current liabilities</w:t>
            </w:r>
          </w:p>
        </w:tc>
        <w:tc>
          <w:tcPr>
            <w:tcW w:type="dxa" w:w="17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385,351</w:t>
            </w:r>
          </w:p>
        </w:tc>
        <w:tc>
          <w:tcPr>
            <w:tcW w:type="dxa" w:w="22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389,810</w:t>
            </w:r>
          </w:p>
        </w:tc>
        <w:tc>
          <w:tcPr>
            <w:tcW w:type="dxa" w:w="17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53,428</w:t>
            </w:r>
          </w:p>
        </w:tc>
      </w:tr>
    </w:tbl>
    <w:p>
      <w:pPr>
        <w:autoSpaceDN w:val="0"/>
        <w:autoSpaceDE w:val="0"/>
        <w:widowControl/>
        <w:spacing w:line="268" w:lineRule="exact" w:before="3532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20</w:t>
      </w:r>
    </w:p>
    <w:p>
      <w:pPr>
        <w:sectPr>
          <w:pgSz w:w="11906" w:h="15874"/>
          <w:pgMar w:top="420" w:right="824" w:bottom="46" w:left="850" w:header="720" w:footer="720" w:gutter="0"/>
          <w:cols w:space="720" w:num="1" w:equalWidth="0"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222"/>
        <w:ind w:left="0" w:right="2592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>UNAUDITED CONSOLIDATED BALANCE SHEETS (CONTINUED)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74.0" w:type="dxa"/>
      </w:tblPr>
      <w:tblGrid>
        <w:gridCol w:w="3435"/>
        <w:gridCol w:w="3435"/>
        <w:gridCol w:w="3435"/>
      </w:tblGrid>
      <w:tr>
        <w:trPr>
          <w:trHeight w:hRule="exact" w:val="370"/>
        </w:trPr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1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As of March 31,</w:t>
            </w:r>
          </w:p>
        </w:tc>
        <w:tc>
          <w:tcPr>
            <w:tcW w:type="dxa" w:w="3752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As of September 30,</w:t>
            </w:r>
          </w:p>
        </w:tc>
      </w:tr>
      <w:tr>
        <w:trPr>
          <w:trHeight w:hRule="exact" w:val="340"/>
        </w:trPr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85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3752"/>
            <w:gridSpan w:val="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</w:tr>
      <w:tr>
        <w:trPr>
          <w:trHeight w:hRule="exact" w:val="342"/>
        </w:trPr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81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6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8" w:after="232"/>
        <w:ind w:left="0" w:right="230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3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Deferred revenue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3,560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3,771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517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Deferred tax liabilities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61,745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57,692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7,907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Non-current bank borrowings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52,023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55,116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7,554</w:t>
            </w:r>
          </w:p>
        </w:tc>
      </w:tr>
      <w:tr>
        <w:trPr>
          <w:trHeight w:hRule="exact" w:val="280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Non-current unsecured senior notes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97,065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103,441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14,178</w:t>
            </w:r>
          </w:p>
        </w:tc>
      </w:tr>
      <w:tr>
        <w:trPr>
          <w:trHeight w:hRule="exact" w:val="312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Other liabilities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30,379</w:t>
            </w:r>
          </w:p>
        </w:tc>
        <w:tc>
          <w:tcPr>
            <w:tcW w:type="dxa" w:w="2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31,714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4,347</w:t>
            </w:r>
          </w:p>
        </w:tc>
      </w:tr>
      <w:tr>
        <w:trPr>
          <w:trHeight w:hRule="exact" w:val="340"/>
        </w:trPr>
        <w:tc>
          <w:tcPr>
            <w:tcW w:type="dxa" w:w="44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Total liabilities</w:t>
            </w:r>
          </w:p>
        </w:tc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630,123</w:t>
            </w:r>
          </w:p>
        </w:tc>
        <w:tc>
          <w:tcPr>
            <w:tcW w:type="dxa" w:w="220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641,544</w:t>
            </w:r>
          </w:p>
        </w:tc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87,931</w:t>
            </w:r>
          </w:p>
        </w:tc>
      </w:tr>
    </w:tbl>
    <w:p>
      <w:pPr>
        <w:autoSpaceDN w:val="0"/>
        <w:autoSpaceDE w:val="0"/>
        <w:widowControl/>
        <w:spacing w:line="268" w:lineRule="exact" w:before="318" w:after="232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Commitments and contingencies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450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Mezzanine equity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9,858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10,328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1,415</w:t>
            </w:r>
          </w:p>
        </w:tc>
      </w:tr>
      <w:tr>
        <w:trPr>
          <w:trHeight w:hRule="exact" w:val="442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Shareholders’ equity: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67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08" w:after="0"/>
              <w:ind w:left="0" w:right="84" w:firstLine="0"/>
              <w:jc w:val="right"/>
            </w:pP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Ordinary shares</w:t>
            </w:r>
          </w:p>
        </w:tc>
        <w:tc>
          <w:tcPr>
            <w:tcW w:type="dxa" w:w="2576"/>
            <w:vMerge/>
            <w:tcBorders/>
          </w:tcPr>
          <w:p/>
        </w:tc>
        <w:tc>
          <w:tcPr>
            <w:tcW w:type="dxa" w:w="2576"/>
            <w:vMerge/>
            <w:tcBorders/>
          </w:tcPr>
          <w:p/>
        </w:tc>
        <w:tc>
          <w:tcPr>
            <w:tcW w:type="dxa" w:w="257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Additional paid-in capital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416,880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7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407,748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55,887</w:t>
            </w:r>
          </w:p>
        </w:tc>
      </w:tr>
      <w:tr>
        <w:trPr>
          <w:trHeight w:hRule="exact" w:val="280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Treasury shares at cost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3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(28,763)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0" w:val="left"/>
              </w:tabs>
              <w:autoSpaceDE w:val="0"/>
              <w:widowControl/>
              <w:spacing w:line="274" w:lineRule="exact" w:before="0" w:after="0"/>
              <w:ind w:left="588" w:right="576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(28,555)</w:t>
            </w:r>
            <w:r>
              <w:br/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74" w:lineRule="exact" w:before="0" w:after="0"/>
              <w:ind w:left="66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(3,914)</w:t>
            </w:r>
            <w:r>
              <w:tab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Subscription receivables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3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(49)</w:t>
            </w:r>
          </w:p>
        </w:tc>
        <w:tc>
          <w:tcPr>
            <w:tcW w:type="dxa" w:w="2576"/>
            <w:vMerge/>
            <w:tcBorders/>
          </w:tcPr>
          <w:p/>
        </w:tc>
        <w:tc>
          <w:tcPr>
            <w:tcW w:type="dxa" w:w="2576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Statutory reserves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61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12,977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14,416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1,976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Accumulated other comprehensive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276"/>
        </w:trPr>
        <w:tc>
          <w:tcPr>
            <w:tcW w:type="dxa" w:w="4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4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(loss) income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(10,417)</w:t>
            </w:r>
          </w:p>
        </w:tc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5,809</w:t>
            </w:r>
          </w:p>
        </w:tc>
        <w:tc>
          <w:tcPr>
            <w:tcW w:type="dxa" w:w="1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796</w:t>
            </w:r>
          </w:p>
        </w:tc>
      </w:tr>
      <w:tr>
        <w:trPr>
          <w:trHeight w:hRule="exact" w:val="312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Retained earnings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599,028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635,663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87,125</w:t>
            </w:r>
          </w:p>
        </w:tc>
      </w:tr>
      <w:tr>
        <w:trPr>
          <w:trHeight w:hRule="exact" w:val="588"/>
        </w:trPr>
        <w:tc>
          <w:tcPr>
            <w:tcW w:type="dxa" w:w="44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8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Total shareholders’ equity</w:t>
            </w:r>
          </w:p>
        </w:tc>
        <w:tc>
          <w:tcPr>
            <w:tcW w:type="dxa" w:w="19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989,657</w:t>
            </w:r>
          </w:p>
        </w:tc>
        <w:tc>
          <w:tcPr>
            <w:tcW w:type="dxa" w:w="17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1,035,082</w:t>
            </w:r>
          </w:p>
        </w:tc>
        <w:tc>
          <w:tcPr>
            <w:tcW w:type="dxa" w:w="19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141,870</w:t>
            </w:r>
          </w:p>
        </w:tc>
      </w:tr>
      <w:tr>
        <w:trPr>
          <w:trHeight w:hRule="exact" w:val="312"/>
        </w:trPr>
        <w:tc>
          <w:tcPr>
            <w:tcW w:type="dxa" w:w="44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Noncontrolling interests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123,406</w:t>
            </w:r>
          </w:p>
        </w:tc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124,636</w:t>
            </w:r>
          </w:p>
        </w:tc>
        <w:tc>
          <w:tcPr>
            <w:tcW w:type="dxa" w:w="19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17,083</w:t>
            </w:r>
          </w:p>
        </w:tc>
      </w:tr>
      <w:tr>
        <w:trPr>
          <w:trHeight w:hRule="exact" w:val="618"/>
        </w:trPr>
        <w:tc>
          <w:tcPr>
            <w:tcW w:type="dxa" w:w="44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Total equity</w:t>
            </w:r>
          </w:p>
        </w:tc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1,113,063</w:t>
            </w:r>
          </w:p>
        </w:tc>
        <w:tc>
          <w:tcPr>
            <w:tcW w:type="dxa" w:w="176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1,159,718</w:t>
            </w:r>
          </w:p>
        </w:tc>
        <w:tc>
          <w:tcPr>
            <w:tcW w:type="dxa" w:w="198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158,953</w:t>
            </w:r>
          </w:p>
        </w:tc>
      </w:tr>
    </w:tbl>
    <w:p>
      <w:pPr>
        <w:autoSpaceDN w:val="0"/>
        <w:autoSpaceDE w:val="0"/>
        <w:widowControl/>
        <w:spacing w:line="278" w:lineRule="exact" w:before="310" w:after="2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Total liabilities, mezzanine equity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08"/>
        </w:trPr>
        <w:tc>
          <w:tcPr>
            <w:tcW w:type="dxa" w:w="447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 equity</w:t>
            </w:r>
          </w:p>
        </w:tc>
        <w:tc>
          <w:tcPr>
            <w:tcW w:type="dxa" w:w="177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1,753,044</w:t>
            </w:r>
          </w:p>
        </w:tc>
        <w:tc>
          <w:tcPr>
            <w:tcW w:type="dxa" w:w="2196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1,811,590</w:t>
            </w:r>
          </w:p>
        </w:tc>
        <w:tc>
          <w:tcPr>
            <w:tcW w:type="dxa" w:w="1772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248,299</w:t>
            </w:r>
          </w:p>
        </w:tc>
      </w:tr>
    </w:tbl>
    <w:p>
      <w:pPr>
        <w:autoSpaceDN w:val="0"/>
        <w:autoSpaceDE w:val="0"/>
        <w:widowControl/>
        <w:spacing w:line="268" w:lineRule="exact" w:before="4086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21</w:t>
      </w:r>
    </w:p>
    <w:p>
      <w:pPr>
        <w:sectPr>
          <w:pgSz w:w="11906" w:h="15874"/>
          <w:pgMar w:top="420" w:right="750" w:bottom="46" w:left="850" w:header="720" w:footer="720" w:gutter="0"/>
          <w:cols w:space="720" w:num="1" w:equalWidth="0"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1152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>UNAUDITED CONDENSED CONSOLIDATED STATEMENTS OF CASH FLOWS</w:t>
      </w:r>
    </w:p>
    <w:p>
      <w:pPr>
        <w:autoSpaceDN w:val="0"/>
        <w:autoSpaceDE w:val="0"/>
        <w:widowControl/>
        <w:spacing w:line="278" w:lineRule="exact" w:before="282" w:after="26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4.0" w:type="dxa"/>
      </w:tblPr>
      <w:tblGrid>
        <w:gridCol w:w="2576"/>
        <w:gridCol w:w="2576"/>
        <w:gridCol w:w="2576"/>
        <w:gridCol w:w="2576"/>
      </w:tblGrid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232"/>
        <w:ind w:left="0" w:right="145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30"/>
        </w:trPr>
        <w:tc>
          <w:tcPr>
            <w:tcW w:type="dxa" w:w="5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cash provided by operating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80,981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94,537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12,957</w:t>
            </w:r>
          </w:p>
        </w:tc>
      </w:tr>
      <w:tr>
        <w:trPr>
          <w:trHeight w:hRule="exact" w:val="280"/>
        </w:trPr>
        <w:tc>
          <w:tcPr>
            <w:tcW w:type="dxa" w:w="5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cash used in investing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(35,755)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(11,166)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(1,530)</w:t>
            </w:r>
          </w:p>
        </w:tc>
      </w:tr>
      <w:tr>
        <w:trPr>
          <w:trHeight w:hRule="exact" w:val="284"/>
        </w:trPr>
        <w:tc>
          <w:tcPr>
            <w:tcW w:type="dxa" w:w="5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cash used in financing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5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(32,492)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(37,018)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(5,074)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Effect of exchange rate changes on cash and cash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576"/>
        <w:gridCol w:w="2576"/>
        <w:gridCol w:w="2576"/>
        <w:gridCol w:w="2576"/>
      </w:tblGrid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equivalents, restricted cash and escrow receivables</w:t>
            </w:r>
          </w:p>
        </w:tc>
        <w:tc>
          <w:tcPr>
            <w:tcW w:type="dxa" w:w="12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6,763</w:t>
            </w:r>
          </w:p>
        </w:tc>
        <w:tc>
          <w:tcPr>
            <w:tcW w:type="dxa" w:w="141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5,132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704</w:t>
            </w:r>
          </w:p>
        </w:tc>
      </w:tr>
    </w:tbl>
    <w:p>
      <w:pPr>
        <w:autoSpaceDN w:val="0"/>
        <w:autoSpaceDE w:val="0"/>
        <w:widowControl/>
        <w:spacing w:line="268" w:lineRule="exact" w:before="318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Increase in cash and cash equivalents, restricted cash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280"/>
        </w:trPr>
        <w:tc>
          <w:tcPr>
            <w:tcW w:type="dxa" w:w="4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escrow receivables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19,497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51,485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7,057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Cash and cash equivalents, restricted cash and escrow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08"/>
        </w:trPr>
        <w:tc>
          <w:tcPr>
            <w:tcW w:type="dxa" w:w="61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receivables at beginning of period</w:t>
            </w:r>
          </w:p>
        </w:tc>
        <w:tc>
          <w:tcPr>
            <w:tcW w:type="dxa" w:w="12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227,353</w:t>
            </w:r>
          </w:p>
        </w:tc>
        <w:tc>
          <w:tcPr>
            <w:tcW w:type="dxa" w:w="141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229,510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31,457</w:t>
            </w:r>
          </w:p>
        </w:tc>
      </w:tr>
    </w:tbl>
    <w:p>
      <w:pPr>
        <w:autoSpaceDN w:val="0"/>
        <w:autoSpaceDE w:val="0"/>
        <w:widowControl/>
        <w:spacing w:line="268" w:lineRule="exact" w:before="38" w:after="6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Cash and cash equivalents, restricted cash and escrow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04"/>
        </w:trPr>
        <w:tc>
          <w:tcPr>
            <w:tcW w:type="dxa" w:w="6174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receivables at end of period</w:t>
            </w:r>
          </w:p>
        </w:tc>
        <w:tc>
          <w:tcPr>
            <w:tcW w:type="dxa" w:w="1416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246,850</w:t>
            </w:r>
          </w:p>
        </w:tc>
        <w:tc>
          <w:tcPr>
            <w:tcW w:type="dxa" w:w="1204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280,995</w:t>
            </w:r>
          </w:p>
        </w:tc>
        <w:tc>
          <w:tcPr>
            <w:tcW w:type="dxa" w:w="1418"/>
            <w:tcBorders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38,514</w:t>
            </w:r>
          </w:p>
        </w:tc>
      </w:tr>
    </w:tbl>
    <w:p>
      <w:pPr>
        <w:autoSpaceDN w:val="0"/>
        <w:autoSpaceDE w:val="0"/>
        <w:widowControl/>
        <w:spacing w:line="268" w:lineRule="exact" w:before="8746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22</w:t>
      </w:r>
    </w:p>
    <w:p>
      <w:pPr>
        <w:sectPr>
          <w:pgSz w:w="11906" w:h="15874"/>
          <w:pgMar w:top="420" w:right="750" w:bottom="46" w:left="850" w:header="720" w:footer="720" w:gutter="0"/>
          <w:cols w:space="720" w:num="1" w:equalWidth="0"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OF NON-GAAP MEASURES TO THE NEAREST COMPARABLE </w:t>
      </w:r>
      <w:r>
        <w:rPr>
          <w:rFonts w:ascii="TimesLTStd" w:hAnsi="TimesLTStd" w:eastAsia="TimesLTStd"/>
          <w:b/>
          <w:i w:val="0"/>
          <w:color w:val="221F1F"/>
          <w:sz w:val="24"/>
        </w:rPr>
        <w:t>U.S. GAAP MEASURES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table below sets forth a reconciliation of our net (loss) income to adjusted EBITA and adjusted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EBITDA for the periods indicated:</w:t>
      </w:r>
    </w:p>
    <w:p>
      <w:pPr>
        <w:autoSpaceDN w:val="0"/>
        <w:autoSpaceDE w:val="0"/>
        <w:widowControl/>
        <w:spacing w:line="278" w:lineRule="exact" w:before="282" w:after="28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4.0" w:type="dxa"/>
      </w:tblPr>
      <w:tblGrid>
        <w:gridCol w:w="2576"/>
        <w:gridCol w:w="2576"/>
        <w:gridCol w:w="2576"/>
        <w:gridCol w:w="2576"/>
      </w:tblGrid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222"/>
        <w:ind w:left="0" w:right="145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44"/>
        </w:trPr>
        <w:tc>
          <w:tcPr>
            <w:tcW w:type="dxa" w:w="4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Net (loss) income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32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(2,169)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328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59,696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8,182</w:t>
            </w:r>
          </w:p>
        </w:tc>
      </w:tr>
    </w:tbl>
    <w:p>
      <w:pPr>
        <w:autoSpaceDN w:val="0"/>
        <w:autoSpaceDE w:val="0"/>
        <w:widowControl/>
        <w:spacing w:line="276" w:lineRule="exact" w:before="0" w:after="6"/>
        <w:ind w:left="0" w:right="460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Adjustments to reconcile net (loss) income to adjusted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EBITA and adjusted EBITDA: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276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Interest and investment income, net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37,083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104</w:t>
            </w:r>
          </w:p>
        </w:tc>
      </w:tr>
      <w:tr>
        <w:trPr>
          <w:trHeight w:hRule="exact" w:val="28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Interest expense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2,632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3,638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499</w:t>
            </w:r>
          </w:p>
        </w:tc>
      </w:tr>
      <w:tr>
        <w:trPr>
          <w:trHeight w:hRule="exact" w:val="28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Other income, net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(3,053)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(2,755)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(377)</w:t>
            </w:r>
          </w:p>
        </w:tc>
      </w:tr>
      <w:tr>
        <w:trPr>
          <w:trHeight w:hRule="exact" w:val="28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Income tax expenses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7,971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11,819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1,620</w:t>
            </w:r>
          </w:p>
        </w:tc>
      </w:tr>
      <w:tr>
        <w:trPr>
          <w:trHeight w:hRule="exact" w:val="312"/>
        </w:trPr>
        <w:tc>
          <w:tcPr>
            <w:tcW w:type="dxa" w:w="61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Share of results of equity method investees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7,616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2,914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399</w:t>
            </w:r>
          </w:p>
        </w:tc>
      </w:tr>
      <w:tr>
        <w:trPr>
          <w:trHeight w:hRule="exact" w:val="308"/>
        </w:trPr>
        <w:tc>
          <w:tcPr>
            <w:tcW w:type="dxa" w:w="61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Income from operations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50,080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76,074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10,427</w:t>
            </w:r>
          </w:p>
        </w:tc>
      </w:tr>
      <w:tr>
        <w:trPr>
          <w:trHeight w:hRule="exact" w:val="28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Share-based compensation expense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14,512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5,201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713</w:t>
            </w:r>
          </w:p>
        </w:tc>
      </w:tr>
      <w:tr>
        <w:trPr>
          <w:trHeight w:hRule="exact" w:val="28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Amortization of intangible assets</w:t>
            </w:r>
          </w:p>
        </w:tc>
        <w:tc>
          <w:tcPr>
            <w:tcW w:type="dxa" w:w="14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58" w:right="144" w:hanging="324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5,480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4,910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673</w:t>
            </w:r>
          </w:p>
        </w:tc>
      </w:tr>
      <w:tr>
        <w:trPr>
          <w:trHeight w:hRule="exact" w:val="260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Impairment of goodwill</w:t>
            </w:r>
          </w:p>
        </w:tc>
        <w:tc>
          <w:tcPr>
            <w:tcW w:type="dxa" w:w="2576"/>
            <w:vMerge/>
            <w:tcBorders/>
          </w:tcPr>
          <w:p/>
        </w:tc>
        <w:tc>
          <w:tcPr>
            <w:tcW w:type="dxa" w:w="1418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56" w:right="144" w:hanging="324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2,031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2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56" w:right="0" w:hanging="132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278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332"/>
        </w:trPr>
        <w:tc>
          <w:tcPr>
            <w:tcW w:type="dxa" w:w="61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Equity-settled donation expense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511</w:t>
            </w:r>
          </w:p>
        </w:tc>
        <w:tc>
          <w:tcPr>
            <w:tcW w:type="dxa" w:w="2576"/>
            <w:vMerge/>
            <w:tcBorders>
              <w:bottom w:sz="4.0" w:val="single" w:color="#221F1F"/>
            </w:tcBorders>
          </w:tcPr>
          <w:p/>
        </w:tc>
        <w:tc>
          <w:tcPr>
            <w:tcW w:type="dxa" w:w="2576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12"/>
        </w:trPr>
        <w:tc>
          <w:tcPr>
            <w:tcW w:type="dxa" w:w="61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Adjusted EBITA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70,583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88,216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12,091</w:t>
            </w:r>
          </w:p>
        </w:tc>
      </w:tr>
    </w:tbl>
    <w:p>
      <w:pPr>
        <w:autoSpaceDN w:val="0"/>
        <w:autoSpaceDE w:val="0"/>
        <w:widowControl/>
        <w:spacing w:line="276" w:lineRule="exact" w:before="0" w:after="6"/>
        <w:ind w:left="0" w:right="518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Depreciation and impairment of property and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equipment, and operating lease cost relating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08"/>
        </w:trPr>
        <w:tc>
          <w:tcPr>
            <w:tcW w:type="dxa" w:w="61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land use rights</w:t>
            </w:r>
          </w:p>
        </w:tc>
        <w:tc>
          <w:tcPr>
            <w:tcW w:type="dxa" w:w="12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13,842</w:t>
            </w:r>
          </w:p>
        </w:tc>
        <w:tc>
          <w:tcPr>
            <w:tcW w:type="dxa" w:w="141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13,073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1,792</w:t>
            </w:r>
          </w:p>
        </w:tc>
      </w:tr>
      <w:tr>
        <w:trPr>
          <w:trHeight w:hRule="exact" w:val="336"/>
        </w:trPr>
        <w:tc>
          <w:tcPr>
            <w:tcW w:type="dxa" w:w="6174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Adjusted EBITDA</w:t>
            </w:r>
          </w:p>
        </w:tc>
        <w:tc>
          <w:tcPr>
            <w:tcW w:type="dxa" w:w="1202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84,425</w:t>
            </w:r>
          </w:p>
        </w:tc>
        <w:tc>
          <w:tcPr>
            <w:tcW w:type="dxa" w:w="1416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101,289</w:t>
            </w:r>
          </w:p>
        </w:tc>
        <w:tc>
          <w:tcPr>
            <w:tcW w:type="dxa" w:w="1418"/>
            <w:tcBorders>
              <w:top w:sz="4.0" w:val="single" w:color="#221F1F"/>
              <w:bottom w:sz="5.32800006866455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13,883</w:t>
            </w:r>
          </w:p>
        </w:tc>
      </w:tr>
    </w:tbl>
    <w:p>
      <w:pPr>
        <w:autoSpaceDN w:val="0"/>
        <w:autoSpaceDE w:val="0"/>
        <w:widowControl/>
        <w:spacing w:line="268" w:lineRule="exact" w:before="5886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23</w:t>
      </w:r>
    </w:p>
    <w:p>
      <w:pPr>
        <w:sectPr>
          <w:pgSz w:w="11906" w:h="15874"/>
          <w:pgMar w:top="420" w:right="750" w:bottom="46" w:left="850" w:header="720" w:footer="720" w:gutter="0"/>
          <w:cols w:space="720" w:num="1" w:equalWidth="0"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4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OF NON-GAAP MEASURES TO THE NEAREST COMPARABLE </w:t>
      </w:r>
      <w:r>
        <w:rPr>
          <w:rFonts w:ascii="TimesLTStd" w:hAnsi="TimesLTStd" w:eastAsia="TimesLTStd"/>
          <w:b/>
          <w:i w:val="0"/>
          <w:color w:val="221F1F"/>
          <w:sz w:val="24"/>
        </w:rPr>
        <w:t>U.S. GAAP MEASURES (CONTINUED)</w:t>
      </w:r>
    </w:p>
    <w:p>
      <w:pPr>
        <w:autoSpaceDN w:val="0"/>
        <w:autoSpaceDE w:val="0"/>
        <w:widowControl/>
        <w:spacing w:line="280" w:lineRule="exact" w:before="280" w:after="0"/>
        <w:ind w:left="4" w:right="288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table below sets forth a reconciliation of our net (loss) income to non-GAAP net income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the periods indicated:</w:t>
      </w:r>
    </w:p>
    <w:p>
      <w:pPr>
        <w:autoSpaceDN w:val="0"/>
        <w:autoSpaceDE w:val="0"/>
        <w:widowControl/>
        <w:spacing w:line="278" w:lineRule="exact" w:before="282" w:after="28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8.0" w:type="dxa"/>
      </w:tblPr>
      <w:tblGrid>
        <w:gridCol w:w="2577"/>
        <w:gridCol w:w="2577"/>
        <w:gridCol w:w="2577"/>
        <w:gridCol w:w="2577"/>
      </w:tblGrid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222"/>
        <w:ind w:left="0" w:right="145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34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Net (loss) income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32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(2,169)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328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59,696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8,182</w:t>
            </w:r>
          </w:p>
        </w:tc>
      </w:tr>
    </w:tbl>
    <w:p>
      <w:pPr>
        <w:autoSpaceDN w:val="0"/>
        <w:autoSpaceDE w:val="0"/>
        <w:widowControl/>
        <w:spacing w:line="276" w:lineRule="exact" w:before="0" w:after="6"/>
        <w:ind w:left="4" w:right="547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Adjustments to reconcile net (loss) income to </w:t>
      </w:r>
      <w:r>
        <w:br/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non-GAAP net income: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27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Share-based compensation expense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14,512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5,201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713</w:t>
            </w:r>
          </w:p>
        </w:tc>
      </w:tr>
      <w:tr>
        <w:trPr>
          <w:trHeight w:hRule="exact" w:val="28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Amortization of intangible assets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5,480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4,910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673</w:t>
            </w:r>
          </w:p>
        </w:tc>
      </w:tr>
      <w:tr>
        <w:trPr>
          <w:trHeight w:hRule="exact" w:val="284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Impairment of goodwill and investments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5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13,134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11,873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1,627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6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Loss on deemed disposals/disposals/revaluation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2"/>
        <w:gridCol w:w="2062"/>
        <w:gridCol w:w="2062"/>
        <w:gridCol w:w="2062"/>
        <w:gridCol w:w="2062"/>
      </w:tblGrid>
      <w:tr>
        <w:trPr>
          <w:trHeight w:hRule="exact" w:val="276"/>
        </w:trPr>
        <w:tc>
          <w:tcPr>
            <w:tcW w:type="dxa" w:w="5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25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investments and others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39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36,848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780" w:right="288" w:hanging="326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7,307</w:t>
            </w:r>
            <w:r>
              <w:br/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776" w:right="0" w:hanging="324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1,001</w:t>
            </w: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5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Equity-settled donation expense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98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511</w:t>
            </w:r>
          </w:p>
        </w:tc>
        <w:tc>
          <w:tcPr>
            <w:tcW w:type="dxa" w:w="2062"/>
            <w:vMerge/>
            <w:tcBorders/>
          </w:tcPr>
          <w:p/>
        </w:tc>
        <w:tc>
          <w:tcPr>
            <w:tcW w:type="dxa" w:w="2062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6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Tax effects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32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(4,244)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(3,877)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(531)</w:t>
            </w:r>
          </w:p>
        </w:tc>
      </w:tr>
      <w:tr>
        <w:trPr>
          <w:trHeight w:hRule="exact" w:val="488"/>
        </w:trPr>
        <w:tc>
          <w:tcPr>
            <w:tcW w:type="dxa" w:w="5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Non-GAAP net income</w:t>
            </w:r>
          </w:p>
        </w:tc>
        <w:tc>
          <w:tcPr>
            <w:tcW w:type="dxa" w:w="268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0" w:right="40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64,072</w:t>
            </w:r>
          </w:p>
        </w:tc>
        <w:tc>
          <w:tcPr>
            <w:tcW w:type="dxa" w:w="142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85,110</w:t>
            </w:r>
          </w:p>
        </w:tc>
        <w:tc>
          <w:tcPr>
            <w:tcW w:type="dxa" w:w="1100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11,665</w:t>
            </w:r>
          </w:p>
        </w:tc>
      </w:tr>
      <w:tr>
        <w:trPr>
          <w:trHeight w:hRule="exact" w:val="244"/>
        </w:trPr>
        <w:tc>
          <w:tcPr>
            <w:tcW w:type="dxa" w:w="509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  <w:tc>
          <w:tcPr>
            <w:tcW w:type="dxa" w:w="2062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00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860"/>
            <w:gridSpan w:val="4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2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Tax effects primarily comprise tax effects relating to share-based compensation expense, amortization of </w:t>
            </w:r>
          </w:p>
        </w:tc>
      </w:tr>
    </w:tbl>
    <w:p>
      <w:pPr>
        <w:autoSpaceDN w:val="0"/>
        <w:autoSpaceDE w:val="0"/>
        <w:widowControl/>
        <w:spacing w:line="224" w:lineRule="exact" w:before="8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>intangible assets and certain gains and losses from investments, and others.</w:t>
      </w:r>
    </w:p>
    <w:p>
      <w:pPr>
        <w:autoSpaceDN w:val="0"/>
        <w:autoSpaceDE w:val="0"/>
        <w:widowControl/>
        <w:spacing w:line="268" w:lineRule="exact" w:before="6910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24</w:t>
      </w:r>
    </w:p>
    <w:p>
      <w:pPr>
        <w:sectPr>
          <w:pgSz w:w="11906" w:h="15874"/>
          <w:pgMar w:top="420" w:right="750" w:bottom="46" w:left="846" w:header="720" w:footer="720" w:gutter="0"/>
          <w:cols w:space="720" w:num="1" w:equalWidth="0"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4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OF NON-GAAP MEASURES TO THE NEAREST COMPARABLE </w:t>
      </w:r>
      <w:r>
        <w:rPr>
          <w:rFonts w:ascii="TimesLTStd" w:hAnsi="TimesLTStd" w:eastAsia="TimesLTStd"/>
          <w:b/>
          <w:i w:val="0"/>
          <w:color w:val="221F1F"/>
          <w:sz w:val="24"/>
        </w:rPr>
        <w:t>U.S. GAAP MEASURES (CONTINUED)</w:t>
      </w:r>
    </w:p>
    <w:p>
      <w:pPr>
        <w:autoSpaceDN w:val="0"/>
        <w:autoSpaceDE w:val="0"/>
        <w:widowControl/>
        <w:spacing w:line="280" w:lineRule="exact" w:before="280" w:after="0"/>
        <w:ind w:left="4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table below sets forth a reconciliation of our diluted earnings per share/ADS to non-GAAP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diluted earnings per share/ADS for the periods indicated:</w:t>
      </w:r>
    </w:p>
    <w:p>
      <w:pPr>
        <w:autoSpaceDN w:val="0"/>
        <w:autoSpaceDE w:val="0"/>
        <w:widowControl/>
        <w:spacing w:line="278" w:lineRule="exact" w:before="282" w:after="28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8.0" w:type="dxa"/>
      </w:tblPr>
      <w:tblGrid>
        <w:gridCol w:w="2577"/>
        <w:gridCol w:w="2577"/>
        <w:gridCol w:w="2577"/>
        <w:gridCol w:w="2577"/>
      </w:tblGrid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0"/>
        <w:ind w:left="0" w:right="220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millions, except per share data)</w:t>
      </w:r>
    </w:p>
    <w:p>
      <w:pPr>
        <w:autoSpaceDN w:val="0"/>
        <w:autoSpaceDE w:val="0"/>
        <w:widowControl/>
        <w:spacing w:line="276" w:lineRule="exact" w:before="282" w:after="2"/>
        <w:ind w:left="4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Net income attributable to ordinary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 shareholders – basic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2,178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62,038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8,503</w:t>
            </w:r>
          </w:p>
        </w:tc>
      </w:tr>
    </w:tbl>
    <w:p>
      <w:pPr>
        <w:autoSpaceDN w:val="0"/>
        <w:autoSpaceDE w:val="0"/>
        <w:widowControl/>
        <w:spacing w:line="276" w:lineRule="exact" w:before="0" w:after="6"/>
        <w:ind w:left="4" w:right="475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Dilution effect on earnings arising from share-based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awards operated by equity method investees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subsidiaries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(1)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(134)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(18)</w:t>
            </w:r>
          </w:p>
        </w:tc>
      </w:tr>
      <w:tr>
        <w:trPr>
          <w:trHeight w:hRule="exact" w:val="312"/>
        </w:trPr>
        <w:tc>
          <w:tcPr>
            <w:tcW w:type="dxa" w:w="618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Net income attributable to ordinary shareholders – diluted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2,177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61,904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8,485</w:t>
            </w:r>
          </w:p>
        </w:tc>
      </w:tr>
    </w:tbl>
    <w:p>
      <w:pPr>
        <w:autoSpaceDN w:val="0"/>
        <w:autoSpaceDE w:val="0"/>
        <w:widowControl/>
        <w:spacing w:line="268" w:lineRule="exact" w:before="6" w:after="6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Non-GAAP adjustments to net income attributable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308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ordinary shareholders</w:t>
            </w:r>
            <w:r>
              <w:rPr>
                <w:rFonts w:ascii="TimesLTStd" w:hAnsi="TimesLTStd" w:eastAsia="TimesLTStd"/>
                <w:b w:val="0"/>
                <w:i w:val="0"/>
                <w:color w:val="221F1F"/>
                <w:sz w:val="14"/>
              </w:rPr>
              <w:t>(1)</w:t>
            </w:r>
          </w:p>
        </w:tc>
        <w:tc>
          <w:tcPr>
            <w:tcW w:type="dxa" w:w="12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63,525</w:t>
            </w:r>
          </w:p>
        </w:tc>
        <w:tc>
          <w:tcPr>
            <w:tcW w:type="dxa" w:w="141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22,949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3,145</w:t>
            </w:r>
          </w:p>
        </w:tc>
      </w:tr>
    </w:tbl>
    <w:p>
      <w:pPr>
        <w:autoSpaceDN w:val="0"/>
        <w:autoSpaceDE w:val="0"/>
        <w:widowControl/>
        <w:spacing w:line="280" w:lineRule="exact" w:before="306" w:after="0"/>
        <w:ind w:left="4" w:right="4752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Non-GAAP net income attributable to ordinary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shareholders for computing non-GAAP diluted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77"/>
        <w:gridCol w:w="2577"/>
        <w:gridCol w:w="2577"/>
        <w:gridCol w:w="2577"/>
      </w:tblGrid>
      <w:tr>
        <w:trPr>
          <w:trHeight w:hRule="exact" w:val="314"/>
        </w:trPr>
        <w:tc>
          <w:tcPr>
            <w:tcW w:type="dxa" w:w="61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 earnings per share/ADS</w:t>
            </w:r>
          </w:p>
        </w:tc>
        <w:tc>
          <w:tcPr>
            <w:tcW w:type="dxa" w:w="120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6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65,702</w:t>
            </w:r>
          </w:p>
        </w:tc>
        <w:tc>
          <w:tcPr>
            <w:tcW w:type="dxa" w:w="16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84,853</w:t>
            </w:r>
          </w:p>
        </w:tc>
        <w:tc>
          <w:tcPr>
            <w:tcW w:type="dxa" w:w="1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11,630</w:t>
            </w:r>
          </w:p>
        </w:tc>
      </w:tr>
    </w:tbl>
    <w:p>
      <w:pPr>
        <w:autoSpaceDN w:val="0"/>
        <w:autoSpaceDE w:val="0"/>
        <w:widowControl/>
        <w:spacing w:line="280" w:lineRule="exact" w:before="306" w:after="0"/>
        <w:ind w:left="4" w:right="432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Weighted average number of shares on a diluted basis 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 for computing non-GAAP diluted earnings 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2"/>
        <w:gridCol w:w="2062"/>
        <w:gridCol w:w="2062"/>
        <w:gridCol w:w="2062"/>
        <w:gridCol w:w="2062"/>
      </w:tblGrid>
      <w:tr>
        <w:trPr>
          <w:trHeight w:hRule="exact" w:val="402"/>
        </w:trPr>
        <w:tc>
          <w:tcPr>
            <w:tcW w:type="dxa" w:w="5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 xml:space="preserve"> share/ADS (million shares)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(2)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21,329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368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20,567</w:t>
            </w:r>
          </w:p>
        </w:tc>
      </w:tr>
      <w:tr>
        <w:trPr>
          <w:trHeight w:hRule="exact" w:val="560"/>
        </w:trPr>
        <w:tc>
          <w:tcPr>
            <w:tcW w:type="dxa" w:w="5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Diluted earnings per share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(2)(3)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0.10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48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3.01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0.41</w:t>
            </w:r>
          </w:p>
        </w:tc>
      </w:tr>
      <w:tr>
        <w:trPr>
          <w:trHeight w:hRule="exact" w:val="560"/>
        </w:trPr>
        <w:tc>
          <w:tcPr>
            <w:tcW w:type="dxa" w:w="5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Non-GAAP diluted earnings per share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(2)(4)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3.08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48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4.13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0.57</w:t>
            </w:r>
          </w:p>
        </w:tc>
      </w:tr>
      <w:tr>
        <w:trPr>
          <w:trHeight w:hRule="exact" w:val="560"/>
        </w:trPr>
        <w:tc>
          <w:tcPr>
            <w:tcW w:type="dxa" w:w="5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Diluted earnings per ADS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(2)(3)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0.82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24.08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3.30</w:t>
            </w:r>
          </w:p>
        </w:tc>
      </w:tr>
      <w:tr>
        <w:trPr>
          <w:trHeight w:hRule="exact" w:val="630"/>
        </w:trPr>
        <w:tc>
          <w:tcPr>
            <w:tcW w:type="dxa" w:w="5594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0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Non-GAAP diluted earnings per ADS</w:t>
            </w:r>
            <w:r>
              <w:rPr>
                <w:rFonts w:ascii="TimesLTStd" w:hAnsi="TimesLTStd" w:eastAsia="TimesLTStd"/>
                <w:b/>
                <w:i w:val="0"/>
                <w:color w:val="221F1F"/>
                <w:sz w:val="14"/>
              </w:rPr>
              <w:t>(2)(4)</w:t>
            </w:r>
          </w:p>
        </w:tc>
        <w:tc>
          <w:tcPr>
            <w:tcW w:type="dxa" w:w="21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24.64</w:t>
            </w:r>
          </w:p>
        </w:tc>
        <w:tc>
          <w:tcPr>
            <w:tcW w:type="dxa" w:w="15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33.00</w:t>
            </w:r>
          </w:p>
        </w:tc>
        <w:tc>
          <w:tcPr>
            <w:tcW w:type="dxa" w:w="10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0" w:after="0"/>
              <w:ind w:left="0" w:right="6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4.52</w:t>
            </w:r>
          </w:p>
        </w:tc>
      </w:tr>
      <w:tr>
        <w:trPr>
          <w:trHeight w:hRule="exact" w:val="296"/>
        </w:trPr>
        <w:tc>
          <w:tcPr>
            <w:tcW w:type="dxa" w:w="4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" w:after="0"/>
              <w:ind w:left="4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(1) </w:t>
            </w:r>
          </w:p>
        </w:tc>
        <w:tc>
          <w:tcPr>
            <w:tcW w:type="dxa" w:w="9840"/>
            <w:gridSpan w:val="4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8" w:after="0"/>
              <w:ind w:left="138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0"/>
              </w:rPr>
              <w:t xml:space="preserve">See the table above for the reconciliation of net (loss) income to non-GAAP net income for more information of </w:t>
            </w:r>
          </w:p>
        </w:tc>
      </w:tr>
    </w:tbl>
    <w:p>
      <w:pPr>
        <w:autoSpaceDN w:val="0"/>
        <w:autoSpaceDE w:val="0"/>
        <w:widowControl/>
        <w:spacing w:line="224" w:lineRule="exact" w:before="8" w:after="0"/>
        <w:ind w:left="572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>these non-GAAP adjustments.</w:t>
      </w:r>
    </w:p>
    <w:p>
      <w:pPr>
        <w:autoSpaceDN w:val="0"/>
        <w:tabs>
          <w:tab w:pos="572" w:val="left"/>
        </w:tabs>
        <w:autoSpaceDE w:val="0"/>
        <w:widowControl/>
        <w:spacing w:line="224" w:lineRule="exact" w:before="256" w:after="0"/>
        <w:ind w:left="4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Each ADS represents eight ordinary shares.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Diluted earnings per share is derived from dividing net income attributable to ordinary shareholders by the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weighted average number of outstanding ordinary shares, on a diluted basis. Diluted earnings per ADS is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derived from the diluted earnings per share after adjusting for the ordinary share-to-ADS ratio.</w:t>
      </w:r>
    </w:p>
    <w:p>
      <w:pPr>
        <w:autoSpaceDN w:val="0"/>
        <w:tabs>
          <w:tab w:pos="572" w:val="left"/>
        </w:tabs>
        <w:autoSpaceDE w:val="0"/>
        <w:widowControl/>
        <w:spacing w:line="240" w:lineRule="exact" w:before="240" w:after="0"/>
        <w:ind w:left="4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Non-GAAP diluted earnings per share is derived from dividing non-GAAP net income attributable to ordinary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shareholders by the weighted average number of outstanding ordinary shares for computing non-GAAP diluted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 xml:space="preserve">earnings per share, on a diluted basis. Non-GAAP diluted earnings per ADS is derived from the non-GAAP </w:t>
      </w:r>
      <w:r>
        <w:tab/>
      </w:r>
      <w:r>
        <w:rPr>
          <w:rFonts w:ascii="TimesLTStd" w:hAnsi="TimesLTStd" w:eastAsia="TimesLTStd"/>
          <w:b w:val="0"/>
          <w:i w:val="0"/>
          <w:color w:val="221F1F"/>
          <w:sz w:val="20"/>
        </w:rPr>
        <w:t>diluted earnings per share after adjusting for the ordinary share-to-ADS ratio.</w:t>
      </w:r>
    </w:p>
    <w:p>
      <w:pPr>
        <w:autoSpaceDN w:val="0"/>
        <w:autoSpaceDE w:val="0"/>
        <w:widowControl/>
        <w:spacing w:line="268" w:lineRule="exact" w:before="876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25</w:t>
      </w:r>
    </w:p>
    <w:p>
      <w:pPr>
        <w:sectPr>
          <w:pgSz w:w="11906" w:h="15874"/>
          <w:pgMar w:top="420" w:right="750" w:bottom="46" w:left="846" w:header="720" w:footer="720" w:gutter="0"/>
          <w:cols w:space="720" w:num="1" w:equalWidth="0"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288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OF NON-GAAP MEASURES TO THE NEAREST COMPARABLE </w:t>
      </w:r>
      <w:r>
        <w:rPr>
          <w:rFonts w:ascii="TimesLTStd" w:hAnsi="TimesLTStd" w:eastAsia="TimesLTStd"/>
          <w:b/>
          <w:i w:val="0"/>
          <w:color w:val="221F1F"/>
          <w:sz w:val="24"/>
        </w:rPr>
        <w:t>U.S. GAAP MEASURES (CONTINUED)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table below sets forth a reconciliation of net cash provided by operating activities to free cash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flow for the periods indicated:</w:t>
      </w:r>
    </w:p>
    <w:p>
      <w:pPr>
        <w:autoSpaceDN w:val="0"/>
        <w:autoSpaceDE w:val="0"/>
        <w:widowControl/>
        <w:spacing w:line="278" w:lineRule="exact" w:before="282" w:after="28"/>
        <w:ind w:left="0" w:right="344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Six months ended September 30,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4.0" w:type="dxa"/>
      </w:tblPr>
      <w:tblGrid>
        <w:gridCol w:w="2576"/>
        <w:gridCol w:w="2576"/>
        <w:gridCol w:w="2576"/>
        <w:gridCol w:w="2576"/>
      </w:tblGrid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2022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2023</w:t>
            </w:r>
          </w:p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20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117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0" w:right="7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RMB</w:t>
            </w:r>
          </w:p>
        </w:tc>
        <w:tc>
          <w:tcPr>
            <w:tcW w:type="dxa" w:w="7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2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US$</w:t>
            </w:r>
          </w:p>
        </w:tc>
      </w:tr>
    </w:tbl>
    <w:p>
      <w:pPr>
        <w:autoSpaceDN w:val="0"/>
        <w:autoSpaceDE w:val="0"/>
        <w:widowControl/>
        <w:spacing w:line="278" w:lineRule="exact" w:before="24" w:after="222"/>
        <w:ind w:left="0" w:right="1458" w:firstLine="0"/>
        <w:jc w:val="right"/>
      </w:pPr>
      <w:r>
        <w:rPr>
          <w:rFonts w:ascii="TimesLTStd" w:hAnsi="TimesLTStd" w:eastAsia="TimesLTStd"/>
          <w:b/>
          <w:i w:val="0"/>
          <w:color w:val="221F1F"/>
          <w:sz w:val="24"/>
        </w:rPr>
        <w:t>(in millions)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344"/>
        </w:trPr>
        <w:tc>
          <w:tcPr>
            <w:tcW w:type="dxa" w:w="5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Net cash provided by operating activities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360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80,981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94,537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4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12,957</w:t>
            </w:r>
          </w:p>
        </w:tc>
      </w:tr>
    </w:tbl>
    <w:p>
      <w:pPr>
        <w:autoSpaceDN w:val="0"/>
        <w:autoSpaceDE w:val="0"/>
        <w:widowControl/>
        <w:spacing w:line="276" w:lineRule="exact" w:before="0" w:after="6"/>
        <w:ind w:left="0" w:right="432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Less: Purchase of property and equipment (excluding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 land use rights and construction in progress relating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276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office campuses)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(22,067)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(10,119)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(1,386)</w:t>
            </w:r>
          </w:p>
        </w:tc>
      </w:tr>
      <w:tr>
        <w:trPr>
          <w:trHeight w:hRule="exact" w:val="284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Less: Purchase of intangible assets (excluding those </w:t>
            </w:r>
          </w:p>
        </w:tc>
        <w:tc>
          <w:tcPr>
            <w:tcW w:type="dxa" w:w="14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(22)</w:t>
            </w:r>
          </w:p>
        </w:tc>
        <w:tc>
          <w:tcPr>
            <w:tcW w:type="dxa" w:w="14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32" w:after="0"/>
              <w:ind w:left="0" w:right="222" w:firstLine="0"/>
              <w:jc w:val="right"/>
            </w:pP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32" w:after="0"/>
              <w:ind w:left="0" w:right="84" w:firstLine="0"/>
              <w:jc w:val="right"/>
            </w:pPr>
            <w:r>
              <w:rPr>
                <w:rFonts w:ascii="MSungHK" w:hAnsi="MSungHK" w:eastAsia="MSungHK"/>
                <w:b w:val="0"/>
                <w:i w:val="0"/>
                <w:color w:val="221F1F"/>
                <w:sz w:val="24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6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 xml:space="preserve"> acquired through acquisitions)</w:t>
            </w:r>
          </w:p>
        </w:tc>
        <w:tc>
          <w:tcPr>
            <w:tcW w:type="dxa" w:w="2576"/>
            <w:vMerge/>
            <w:tcBorders/>
          </w:tcPr>
          <w:p/>
        </w:tc>
        <w:tc>
          <w:tcPr>
            <w:tcW w:type="dxa" w:w="2576"/>
            <w:vMerge/>
            <w:tcBorders/>
          </w:tcPr>
          <w:p/>
        </w:tc>
        <w:tc>
          <w:tcPr>
            <w:tcW w:type="dxa" w:w="2576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617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2" w:right="0" w:firstLine="0"/>
              <w:jc w:val="lef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Less: Changes in the buyer protection fund deposits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140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(1,010)</w:t>
            </w:r>
          </w:p>
        </w:tc>
        <w:tc>
          <w:tcPr>
            <w:tcW w:type="dxa" w:w="14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142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(109)</w:t>
            </w:r>
          </w:p>
        </w:tc>
        <w:tc>
          <w:tcPr>
            <w:tcW w:type="dxa" w:w="12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4" w:firstLine="0"/>
              <w:jc w:val="right"/>
            </w:pPr>
            <w:r>
              <w:rPr>
                <w:rFonts w:ascii="TimesLTStd" w:hAnsi="TimesLTStd" w:eastAsia="TimesLTStd"/>
                <w:b w:val="0"/>
                <w:i w:val="0"/>
                <w:color w:val="221F1F"/>
                <w:sz w:val="24"/>
              </w:rPr>
              <w:t>(15)</w:t>
            </w:r>
          </w:p>
        </w:tc>
      </w:tr>
      <w:tr>
        <w:trPr>
          <w:trHeight w:hRule="exact" w:val="631"/>
        </w:trPr>
        <w:tc>
          <w:tcPr>
            <w:tcW w:type="dxa" w:w="617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0" w:firstLine="0"/>
              <w:jc w:val="lef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Free cash flow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57,882</w:t>
            </w:r>
          </w:p>
        </w:tc>
        <w:tc>
          <w:tcPr>
            <w:tcW w:type="dxa" w:w="141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222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84,309</w:t>
            </w:r>
          </w:p>
        </w:tc>
        <w:tc>
          <w:tcPr>
            <w:tcW w:type="dxa" w:w="12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84" w:firstLine="0"/>
              <w:jc w:val="right"/>
            </w:pPr>
            <w:r>
              <w:rPr>
                <w:rFonts w:ascii="TimesLTStd" w:hAnsi="TimesLTStd" w:eastAsia="TimesLTStd"/>
                <w:b/>
                <w:i w:val="0"/>
                <w:color w:val="221F1F"/>
                <w:sz w:val="24"/>
              </w:rPr>
              <w:t>11,556</w:t>
            </w:r>
          </w:p>
        </w:tc>
      </w:tr>
    </w:tbl>
    <w:p>
      <w:pPr>
        <w:autoSpaceDN w:val="0"/>
        <w:autoSpaceDE w:val="0"/>
        <w:widowControl/>
        <w:spacing w:line="268" w:lineRule="exact" w:before="8512" w:after="0"/>
        <w:ind w:left="0" w:right="5080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26</w:t>
      </w:r>
    </w:p>
    <w:p>
      <w:pPr>
        <w:sectPr>
          <w:pgSz w:w="11906" w:h="15874"/>
          <w:pgMar w:top="420" w:right="750" w:bottom="46" w:left="850" w:header="720" w:footer="720" w:gutter="0"/>
          <w:cols w:space="720" w:num="1" w:equalWidth="0"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consolidated financial statements are prepared in accordance with U.S. GAAP, which differ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certain respects from International Financial Reporting Standards (“</w:t>
      </w:r>
      <w:r>
        <w:rPr>
          <w:rFonts w:ascii="TimesLTStd" w:hAnsi="TimesLTStd" w:eastAsia="TimesLTStd"/>
          <w:b/>
          <w:i w:val="0"/>
          <w:color w:val="221F1F"/>
          <w:sz w:val="24"/>
        </w:rPr>
        <w:t>IFRS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”). The effects of material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differences in the financial position and financial performance of the Company as of and for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six months ended September 30, 2023 between U.S. GAAP and IFRS (“</w:t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 between </w:t>
      </w:r>
      <w:r>
        <w:rPr>
          <w:rFonts w:ascii="TimesLTStd" w:hAnsi="TimesLTStd" w:eastAsia="TimesLTStd"/>
          <w:b/>
          <w:i w:val="0"/>
          <w:color w:val="221F1F"/>
          <w:sz w:val="24"/>
        </w:rPr>
        <w:t>U.S. GAAP and IFRS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”) are as follows.</w:t>
      </w:r>
    </w:p>
    <w:p>
      <w:pPr>
        <w:autoSpaceDN w:val="0"/>
        <w:autoSpaceDE w:val="0"/>
        <w:widowControl/>
        <w:spacing w:line="280" w:lineRule="exact" w:before="280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PricewaterhouseCoopers, the auditor of the Company in Hong Kong, has performed a limited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assurance engagement on the Reconciliation between U.S. GAAP and IFRS in accordance with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International Standard on Assurance Engagements 3000 (Revised) “Assurance Engagements Other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than Audits or Reviews of Historical Financial Information” issued by the International Auditing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and Assurance Standards Board.</w:t>
      </w:r>
    </w:p>
    <w:p>
      <w:pPr>
        <w:autoSpaceDN w:val="0"/>
        <w:autoSpaceDE w:val="0"/>
        <w:widowControl/>
        <w:spacing w:line="268" w:lineRule="exact" w:before="10476" w:after="0"/>
        <w:ind w:left="0" w:right="5068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27</w:t>
      </w:r>
    </w:p>
    <w:p>
      <w:pPr>
        <w:sectPr>
          <w:pgSz w:w="11906" w:h="15874"/>
          <w:pgMar w:top="420" w:right="762" w:bottom="46" w:left="850" w:header="720" w:footer="720" w:gutter="0"/>
          <w:cols w:space="720" w:num="1" w:equalWidth="0"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autoSpaceDE w:val="0"/>
        <w:widowControl/>
        <w:spacing w:line="268" w:lineRule="exact" w:before="292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Reconciliation of Consolidated Balance Sheets (Extract)</w:t>
      </w:r>
    </w:p>
    <w:p>
      <w:pPr>
        <w:autoSpaceDN w:val="0"/>
        <w:autoSpaceDE w:val="0"/>
        <w:widowControl/>
        <w:spacing w:line="278" w:lineRule="exact" w:before="282" w:after="0"/>
        <w:ind w:left="0" w:right="3754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As of March 31, 2023</w:t>
      </w:r>
    </w:p>
    <w:p>
      <w:pPr>
        <w:autoSpaceDN w:val="0"/>
        <w:autoSpaceDE w:val="0"/>
        <w:widowControl/>
        <w:spacing w:line="280" w:lineRule="exact" w:before="60" w:after="0"/>
        <w:ind w:left="3694" w:right="5904" w:firstLine="160"/>
        <w:jc w:val="lef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 xml:space="preserve">Equity </w:t>
      </w:r>
      <w:r>
        <w:br/>
      </w: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8.0" w:type="dxa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>
        <w:trPr>
          <w:trHeight w:hRule="exact" w:val="26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Amounts </w:t>
            </w:r>
          </w:p>
        </w:tc>
        <w:tc>
          <w:tcPr>
            <w:tcW w:type="dxa" w:w="8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Consolidation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without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Equity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Share-based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Operating</w:t>
            </w:r>
          </w:p>
        </w:tc>
        <w:tc>
          <w:tcPr>
            <w:tcW w:type="dxa" w:w="19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6" w:after="0"/>
              <w:ind w:left="26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Redeemable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Amounts</w:t>
            </w:r>
          </w:p>
        </w:tc>
      </w:tr>
      <w:tr>
        <w:trPr>
          <w:trHeight w:hRule="exact" w:val="2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as reported 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readily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2276"/>
            <w:gridSpan w:val="2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under U.S. 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3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and business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202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determinable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method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19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1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noncontrolling</w:t>
            </w:r>
          </w:p>
        </w:tc>
        <w:tc>
          <w:tcPr>
            <w:tcW w:type="dxa" w:w="113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7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10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GAAP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9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combinations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fair value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investments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awards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leases</w:t>
            </w:r>
          </w:p>
        </w:tc>
        <w:tc>
          <w:tcPr>
            <w:tcW w:type="dxa" w:w="19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484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interests Hyperinflation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under IFRS</w:t>
            </w:r>
          </w:p>
        </w:tc>
      </w:tr>
      <w:tr>
        <w:trPr>
          <w:trHeight w:hRule="exact" w:val="312"/>
        </w:trPr>
        <w:tc>
          <w:tcPr>
            <w:tcW w:type="dxa" w:w="1138"/>
            <w:vMerge/>
            <w:tcBorders>
              <w:bottom w:sz="4.0" w:val="single" w:color="#221F1F"/>
            </w:tcBorders>
          </w:tcPr>
          <w:p/>
        </w:tc>
        <w:tc>
          <w:tcPr>
            <w:tcW w:type="dxa" w:w="8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(vii)</w:t>
            </w:r>
          </w:p>
        </w:tc>
        <w:tc>
          <w:tcPr>
            <w:tcW w:type="dxa" w:w="1138"/>
            <w:vMerge/>
            <w:tcBorders>
              <w:bottom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78" w:lineRule="exact" w:before="28" w:after="232"/>
        <w:ind w:left="0" w:right="3774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(in millions of RMB)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33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Equity securities and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245,737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33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3,609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2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5,537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258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254,883</w:t>
            </w:r>
          </w:p>
        </w:tc>
      </w:tr>
      <w:tr>
        <w:trPr>
          <w:trHeight w:hRule="exact" w:val="284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other investments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w w:val="98.88264338175455"/>
          <w:rFonts w:ascii="TimesLTStd" w:hAnsi="TimesLTStd" w:eastAsia="TimesLTStd"/>
          <w:b w:val="0"/>
          <w:i w:val="0"/>
          <w:color w:val="221F1F"/>
          <w:sz w:val="18"/>
        </w:rPr>
        <w:t xml:space="preserve">Prepayments,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receivables and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110,926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(310)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(482)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(1,819)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(1,758)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712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107,269</w:t>
            </w:r>
          </w:p>
        </w:tc>
      </w:tr>
      <w:tr>
        <w:trPr>
          <w:trHeight w:hRule="exact" w:val="260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other assets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Investments in equity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207,380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(241)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(2,303)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204,836</w:t>
            </w:r>
          </w:p>
        </w:tc>
      </w:tr>
      <w:tr>
        <w:trPr>
          <w:trHeight w:hRule="exact" w:val="25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method investees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Property and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176,031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353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176,384</w:t>
            </w:r>
          </w:p>
        </w:tc>
      </w:tr>
      <w:tr>
        <w:trPr>
          <w:trHeight w:hRule="exact" w:val="25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equipment, net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Intangible assets, net</w:t>
            </w:r>
          </w:p>
        </w:tc>
        <w:tc>
          <w:tcPr>
            <w:tcW w:type="dxa" w:w="1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46,913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(2,541)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432</w:t>
            </w:r>
          </w:p>
        </w:tc>
        <w:tc>
          <w:tcPr>
            <w:tcW w:type="dxa" w:w="1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44,804</w:t>
            </w:r>
          </w:p>
        </w:tc>
      </w:tr>
      <w:tr>
        <w:trPr>
          <w:trHeight w:hRule="exact" w:val="332"/>
        </w:trPr>
        <w:tc>
          <w:tcPr>
            <w:tcW w:type="dxa" w:w="148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Goodwill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268,091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(47,033)</w:t>
            </w:r>
          </w:p>
        </w:tc>
        <w:tc>
          <w:tcPr>
            <w:tcW w:type="dxa" w:w="7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2,400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223,458</w:t>
            </w:r>
          </w:p>
        </w:tc>
      </w:tr>
      <w:tr>
        <w:trPr>
          <w:trHeight w:hRule="exact" w:val="628"/>
        </w:trPr>
        <w:tc>
          <w:tcPr>
            <w:tcW w:type="dxa" w:w="148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assets</w:t>
            </w:r>
          </w:p>
        </w:tc>
        <w:tc>
          <w:tcPr>
            <w:tcW w:type="dxa" w:w="100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1,753,044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(50,125)</w:t>
            </w:r>
          </w:p>
        </w:tc>
        <w:tc>
          <w:tcPr>
            <w:tcW w:type="dxa" w:w="776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3,609</w:t>
            </w:r>
          </w:p>
        </w:tc>
        <w:tc>
          <w:tcPr>
            <w:tcW w:type="dxa" w:w="120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2,752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(1,819)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(1,758)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3,897</w:t>
            </w:r>
          </w:p>
        </w:tc>
        <w:tc>
          <w:tcPr>
            <w:tcW w:type="dxa" w:w="100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1,709,600</w:t>
            </w:r>
          </w:p>
        </w:tc>
      </w:tr>
      <w:tr>
        <w:trPr>
          <w:trHeight w:hRule="exact" w:val="604"/>
        </w:trPr>
        <w:tc>
          <w:tcPr>
            <w:tcW w:type="dxa" w:w="148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Deferred tax liabilities</w:t>
            </w:r>
          </w:p>
        </w:tc>
        <w:tc>
          <w:tcPr>
            <w:tcW w:type="dxa" w:w="1008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61,745</w:t>
            </w:r>
          </w:p>
        </w:tc>
        <w:tc>
          <w:tcPr>
            <w:tcW w:type="dxa" w:w="992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(920)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432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450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72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84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8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61,359</w:t>
            </w:r>
          </w:p>
        </w:tc>
      </w:tr>
      <w:tr>
        <w:trPr>
          <w:trHeight w:hRule="exact" w:val="311"/>
        </w:trPr>
        <w:tc>
          <w:tcPr>
            <w:tcW w:type="dxa" w:w="148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Other liabilities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30,379</w:t>
            </w:r>
          </w:p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10,627</w:t>
            </w:r>
          </w:p>
        </w:tc>
        <w:tc>
          <w:tcPr>
            <w:tcW w:type="dxa" w:w="7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41,004</w:t>
            </w:r>
          </w:p>
        </w:tc>
      </w:tr>
      <w:tr>
        <w:trPr>
          <w:trHeight w:hRule="exact" w:val="620"/>
        </w:trPr>
        <w:tc>
          <w:tcPr>
            <w:tcW w:type="dxa" w:w="148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liabilities</w:t>
            </w:r>
          </w:p>
        </w:tc>
        <w:tc>
          <w:tcPr>
            <w:tcW w:type="dxa" w:w="10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630,123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(920)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450</w:t>
            </w:r>
          </w:p>
        </w:tc>
        <w:tc>
          <w:tcPr>
            <w:tcW w:type="dxa" w:w="12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84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10,627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640,362</w:t>
            </w:r>
          </w:p>
        </w:tc>
      </w:tr>
      <w:tr>
        <w:trPr>
          <w:trHeight w:hRule="exact" w:val="646"/>
        </w:trPr>
        <w:tc>
          <w:tcPr>
            <w:tcW w:type="dxa" w:w="148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Mezzanine equity</w:t>
            </w:r>
          </w:p>
        </w:tc>
        <w:tc>
          <w:tcPr>
            <w:tcW w:type="dxa" w:w="100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9,858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(9,858)</w:t>
            </w:r>
          </w:p>
        </w:tc>
        <w:tc>
          <w:tcPr>
            <w:tcW w:type="dxa" w:w="77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80" w:lineRule="exact" w:before="220" w:after="6"/>
        <w:ind w:left="0" w:right="0" w:firstLine="0"/>
        <w:jc w:val="left"/>
      </w:pPr>
      <w:r>
        <w:rPr>
          <w:w w:val="98.88264338175455"/>
          <w:rFonts w:ascii="TimesLTStd" w:hAnsi="TimesLTStd" w:eastAsia="TimesLTStd"/>
          <w:b w:val="0"/>
          <w:i w:val="0"/>
          <w:color w:val="221F1F"/>
          <w:sz w:val="18"/>
        </w:rPr>
        <w:t xml:space="preserve">Total shareholders’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equity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989,657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(9,198)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2,860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2,668</w:t>
            </w:r>
          </w:p>
        </w:tc>
        <w:tc>
          <w:tcPr>
            <w:tcW w:type="dxa" w:w="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(1,819)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(1,756)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(1,832)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1,560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982,140</w:t>
            </w:r>
          </w:p>
        </w:tc>
      </w:tr>
      <w:tr>
        <w:trPr>
          <w:trHeight w:hRule="exact" w:val="28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Noncontrolling 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123,406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(40,007)</w:t>
            </w:r>
          </w:p>
        </w:tc>
        <w:tc>
          <w:tcPr>
            <w:tcW w:type="dxa" w:w="77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299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1,063</w:t>
            </w:r>
          </w:p>
        </w:tc>
        <w:tc>
          <w:tcPr>
            <w:tcW w:type="dxa" w:w="77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2,337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87,098</w:t>
            </w:r>
          </w:p>
        </w:tc>
      </w:tr>
      <w:tr>
        <w:trPr>
          <w:trHeight w:hRule="exact" w:val="308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interests</w:t>
            </w:r>
          </w:p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620"/>
        </w:trPr>
        <w:tc>
          <w:tcPr>
            <w:tcW w:type="dxa" w:w="149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equity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1,113,063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(49,205)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3,159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2,668</w:t>
            </w:r>
          </w:p>
        </w:tc>
        <w:tc>
          <w:tcPr>
            <w:tcW w:type="dxa" w:w="12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(1,819)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(1,756)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(769)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3,897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1,069,238</w:t>
            </w:r>
          </w:p>
        </w:tc>
      </w:tr>
    </w:tbl>
    <w:p>
      <w:pPr>
        <w:autoSpaceDN w:val="0"/>
        <w:autoSpaceDE w:val="0"/>
        <w:widowControl/>
        <w:spacing w:line="276" w:lineRule="exact" w:before="310" w:after="2"/>
        <w:ind w:left="0" w:right="0" w:firstLine="0"/>
        <w:jc w:val="lef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 xml:space="preserve">Total liabilities,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mezzanine equity </w:t>
            </w:r>
          </w:p>
        </w:tc>
        <w:tc>
          <w:tcPr>
            <w:tcW w:type="dxa" w:w="806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1,753,044</w:t>
            </w:r>
          </w:p>
        </w:tc>
        <w:tc>
          <w:tcPr>
            <w:tcW w:type="dxa" w:w="1180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(50,125)</w:t>
            </w:r>
          </w:p>
        </w:tc>
        <w:tc>
          <w:tcPr>
            <w:tcW w:type="dxa" w:w="80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3,609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2,752</w:t>
            </w:r>
          </w:p>
        </w:tc>
        <w:tc>
          <w:tcPr>
            <w:tcW w:type="dxa" w:w="1180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(1,819)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(1,758)</w:t>
            </w:r>
          </w:p>
        </w:tc>
        <w:tc>
          <w:tcPr>
            <w:tcW w:type="dxa" w:w="80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0" w:after="0"/>
              <w:ind w:left="0" w:right="2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3,897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1,709,600</w:t>
            </w:r>
          </w:p>
        </w:tc>
      </w:tr>
      <w:tr>
        <w:trPr>
          <w:trHeight w:hRule="exact" w:val="326"/>
        </w:trPr>
        <w:tc>
          <w:tcPr>
            <w:tcW w:type="dxa" w:w="1482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and equity</w:t>
            </w:r>
          </w:p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68" w:lineRule="exact" w:before="968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28</w:t>
      </w:r>
    </w:p>
    <w:p>
      <w:pPr>
        <w:sectPr>
          <w:pgSz w:w="11906" w:h="15874"/>
          <w:pgMar w:top="420" w:right="810" w:bottom="46" w:left="850" w:header="720" w:footer="720" w:gutter="0"/>
          <w:cols w:space="720" w:num="1" w:equalWidth="0"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autoSpaceDE w:val="0"/>
        <w:widowControl/>
        <w:spacing w:line="268" w:lineRule="exact" w:before="292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Reconciliation of Consolidated Balance Sheets (Extract) (Continued)</w:t>
      </w:r>
    </w:p>
    <w:p>
      <w:pPr>
        <w:autoSpaceDN w:val="0"/>
        <w:autoSpaceDE w:val="0"/>
        <w:widowControl/>
        <w:spacing w:line="278" w:lineRule="exact" w:before="282" w:after="0"/>
        <w:ind w:left="0" w:right="3634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As of September 30, 2023</w:t>
      </w:r>
    </w:p>
    <w:p>
      <w:pPr>
        <w:autoSpaceDN w:val="0"/>
        <w:autoSpaceDE w:val="0"/>
        <w:widowControl/>
        <w:spacing w:line="280" w:lineRule="exact" w:before="60" w:after="0"/>
        <w:ind w:left="3694" w:right="5904" w:firstLine="160"/>
        <w:jc w:val="lef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 xml:space="preserve">Equity </w:t>
      </w:r>
      <w:r>
        <w:br/>
      </w: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8.0" w:type="dxa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>
        <w:trPr>
          <w:trHeight w:hRule="exact" w:val="26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Amounts </w:t>
            </w:r>
          </w:p>
        </w:tc>
        <w:tc>
          <w:tcPr>
            <w:tcW w:type="dxa" w:w="8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Consolidation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without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Equity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Share-based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Operating</w:t>
            </w:r>
          </w:p>
        </w:tc>
        <w:tc>
          <w:tcPr>
            <w:tcW w:type="dxa" w:w="19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6" w:after="0"/>
              <w:ind w:left="26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Redeemable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6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Amounts</w:t>
            </w:r>
          </w:p>
        </w:tc>
      </w:tr>
      <w:tr>
        <w:trPr>
          <w:trHeight w:hRule="exact" w:val="2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as reported 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readily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2276"/>
            <w:gridSpan w:val="2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under U.S. 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3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and business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202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determinable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method</w:t>
            </w:r>
          </w:p>
        </w:tc>
        <w:tc>
          <w:tcPr>
            <w:tcW w:type="dxa" w:w="1138"/>
            <w:vMerge/>
            <w:tcBorders/>
          </w:tcPr>
          <w:p/>
        </w:tc>
        <w:tc>
          <w:tcPr>
            <w:tcW w:type="dxa" w:w="1138"/>
            <w:vMerge/>
            <w:tcBorders/>
          </w:tcPr>
          <w:p/>
        </w:tc>
        <w:tc>
          <w:tcPr>
            <w:tcW w:type="dxa" w:w="19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1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noncontrolling</w:t>
            </w:r>
          </w:p>
        </w:tc>
        <w:tc>
          <w:tcPr>
            <w:tcW w:type="dxa" w:w="113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7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0" w:right="10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GAAP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" w:after="0"/>
              <w:ind w:left="9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combinations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fair value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investments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awards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leases</w:t>
            </w:r>
          </w:p>
        </w:tc>
        <w:tc>
          <w:tcPr>
            <w:tcW w:type="dxa" w:w="19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484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interests Hyperinflation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under IFRS</w:t>
            </w:r>
          </w:p>
        </w:tc>
      </w:tr>
      <w:tr>
        <w:trPr>
          <w:trHeight w:hRule="exact" w:val="312"/>
        </w:trPr>
        <w:tc>
          <w:tcPr>
            <w:tcW w:type="dxa" w:w="1138"/>
            <w:vMerge/>
            <w:tcBorders>
              <w:bottom w:sz="4.0" w:val="single" w:color="#221F1F"/>
            </w:tcBorders>
          </w:tcPr>
          <w:p/>
        </w:tc>
        <w:tc>
          <w:tcPr>
            <w:tcW w:type="dxa" w:w="8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(vii)</w:t>
            </w:r>
          </w:p>
        </w:tc>
        <w:tc>
          <w:tcPr>
            <w:tcW w:type="dxa" w:w="1138"/>
            <w:vMerge/>
            <w:tcBorders>
              <w:bottom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78" w:lineRule="exact" w:before="28" w:after="232"/>
        <w:ind w:left="0" w:right="3774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(in millions of RMB)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330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Equity securities and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247,820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33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2,898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2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5,804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0" w:firstLine="0"/>
              <w:jc w:val="center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98" w:after="0"/>
              <w:ind w:left="0" w:right="258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256,522</w:t>
            </w:r>
          </w:p>
        </w:tc>
      </w:tr>
      <w:tr>
        <w:trPr>
          <w:trHeight w:hRule="exact" w:val="284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other investments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6" w:after="6"/>
        <w:ind w:left="0" w:right="0" w:firstLine="0"/>
        <w:jc w:val="left"/>
      </w:pPr>
      <w:r>
        <w:rPr>
          <w:w w:val="98.88264338175455"/>
          <w:rFonts w:ascii="TimesLTStd" w:hAnsi="TimesLTStd" w:eastAsia="TimesLTStd"/>
          <w:b w:val="0"/>
          <w:i w:val="0"/>
          <w:color w:val="221F1F"/>
          <w:sz w:val="18"/>
        </w:rPr>
        <w:t xml:space="preserve">Prepayments,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receivables and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109,784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(258)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(111)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(992)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(1,767)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223</w:t>
            </w:r>
          </w:p>
        </w:tc>
        <w:tc>
          <w:tcPr>
            <w:tcW w:type="dxa" w:w="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106,879</w:t>
            </w:r>
          </w:p>
        </w:tc>
      </w:tr>
      <w:tr>
        <w:trPr>
          <w:trHeight w:hRule="exact" w:val="260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other assets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Investments in equity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208,289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(241)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(3,029)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08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205,019</w:t>
            </w:r>
          </w:p>
        </w:tc>
      </w:tr>
      <w:tr>
        <w:trPr>
          <w:trHeight w:hRule="exact" w:val="25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method investees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Property and </w:t>
            </w:r>
          </w:p>
        </w:tc>
        <w:tc>
          <w:tcPr>
            <w:tcW w:type="dxa" w:w="1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179,436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(43)</w:t>
            </w:r>
          </w:p>
        </w:tc>
        <w:tc>
          <w:tcPr>
            <w:tcW w:type="dxa" w:w="8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179,393</w:t>
            </w:r>
          </w:p>
        </w:tc>
      </w:tr>
      <w:tr>
        <w:trPr>
          <w:trHeight w:hRule="exact" w:val="25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equipment, net</w:t>
            </w:r>
          </w:p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  <w:tc>
          <w:tcPr>
            <w:tcW w:type="dxa" w:w="10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Intangible assets, net</w:t>
            </w:r>
          </w:p>
        </w:tc>
        <w:tc>
          <w:tcPr>
            <w:tcW w:type="dxa" w:w="1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41,592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(2,353)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363</w:t>
            </w:r>
          </w:p>
        </w:tc>
        <w:tc>
          <w:tcPr>
            <w:tcW w:type="dxa" w:w="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39,602</w:t>
            </w:r>
          </w:p>
        </w:tc>
      </w:tr>
      <w:tr>
        <w:trPr>
          <w:trHeight w:hRule="exact" w:val="332"/>
        </w:trPr>
        <w:tc>
          <w:tcPr>
            <w:tcW w:type="dxa" w:w="148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Goodwill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266,713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(45,024)</w:t>
            </w:r>
          </w:p>
        </w:tc>
        <w:tc>
          <w:tcPr>
            <w:tcW w:type="dxa" w:w="77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2,035</w:t>
            </w:r>
          </w:p>
        </w:tc>
        <w:tc>
          <w:tcPr>
            <w:tcW w:type="dxa" w:w="80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223,724</w:t>
            </w:r>
          </w:p>
        </w:tc>
      </w:tr>
      <w:tr>
        <w:trPr>
          <w:trHeight w:hRule="exact" w:val="628"/>
        </w:trPr>
        <w:tc>
          <w:tcPr>
            <w:tcW w:type="dxa" w:w="148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2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assets</w:t>
            </w:r>
          </w:p>
        </w:tc>
        <w:tc>
          <w:tcPr>
            <w:tcW w:type="dxa" w:w="100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1,811,590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(47,876)</w:t>
            </w:r>
          </w:p>
        </w:tc>
        <w:tc>
          <w:tcPr>
            <w:tcW w:type="dxa" w:w="776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2,898</w:t>
            </w:r>
          </w:p>
        </w:tc>
        <w:tc>
          <w:tcPr>
            <w:tcW w:type="dxa" w:w="120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2,664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(992)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(1,767)</w:t>
            </w:r>
          </w:p>
        </w:tc>
        <w:tc>
          <w:tcPr>
            <w:tcW w:type="dxa" w:w="992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2,578</w:t>
            </w:r>
          </w:p>
        </w:tc>
        <w:tc>
          <w:tcPr>
            <w:tcW w:type="dxa" w:w="806"/>
            <w:tcBorders>
              <w:top w:sz="4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1,769,095</w:t>
            </w:r>
          </w:p>
        </w:tc>
      </w:tr>
      <w:tr>
        <w:trPr>
          <w:trHeight w:hRule="exact" w:val="600"/>
        </w:trPr>
        <w:tc>
          <w:tcPr>
            <w:tcW w:type="dxa" w:w="148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Deferred tax liabilities</w:t>
            </w:r>
          </w:p>
        </w:tc>
        <w:tc>
          <w:tcPr>
            <w:tcW w:type="dxa" w:w="1008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57,692</w:t>
            </w:r>
          </w:p>
        </w:tc>
        <w:tc>
          <w:tcPr>
            <w:tcW w:type="dxa" w:w="992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(810)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432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413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720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445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133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78"/>
            <w:vMerge w:val="restart"/>
            <w:tcBorders>
              <w:top w:sz="16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4" w:after="0"/>
              <w:ind w:left="576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34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06"/>
            <w:tcBorders>
              <w:top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57,907</w:t>
            </w:r>
          </w:p>
        </w:tc>
      </w:tr>
      <w:tr>
        <w:trPr>
          <w:trHeight w:hRule="exact" w:val="316"/>
        </w:trPr>
        <w:tc>
          <w:tcPr>
            <w:tcW w:type="dxa" w:w="148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Other liabilities</w:t>
            </w:r>
          </w:p>
        </w:tc>
        <w:tc>
          <w:tcPr>
            <w:tcW w:type="dxa" w:w="10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31,714</w:t>
            </w:r>
          </w:p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11,361</w:t>
            </w:r>
          </w:p>
        </w:tc>
        <w:tc>
          <w:tcPr>
            <w:tcW w:type="dxa" w:w="1025"/>
            <w:vMerge/>
            <w:tcBorders>
              <w:top w:sz="16.0" w:val="single" w:color="#221F1F"/>
              <w:bottom w:sz="4.0" w:val="single" w:color="#221F1F"/>
            </w:tcBorders>
          </w:tcPr>
          <w:p/>
        </w:tc>
        <w:tc>
          <w:tcPr>
            <w:tcW w:type="dxa" w:w="80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43,074</w:t>
            </w:r>
          </w:p>
        </w:tc>
      </w:tr>
      <w:tr>
        <w:trPr>
          <w:trHeight w:hRule="exact" w:val="620"/>
        </w:trPr>
        <w:tc>
          <w:tcPr>
            <w:tcW w:type="dxa" w:w="148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liabilities</w:t>
            </w:r>
          </w:p>
        </w:tc>
        <w:tc>
          <w:tcPr>
            <w:tcW w:type="dxa" w:w="10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641,544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(810)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413</w:t>
            </w:r>
          </w:p>
        </w:tc>
        <w:tc>
          <w:tcPr>
            <w:tcW w:type="dxa" w:w="12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445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133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11,361</w:t>
            </w:r>
          </w:p>
        </w:tc>
        <w:tc>
          <w:tcPr>
            <w:tcW w:type="dxa" w:w="97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34</w:t>
            </w:r>
          </w:p>
        </w:tc>
        <w:tc>
          <w:tcPr>
            <w:tcW w:type="dxa" w:w="80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653,119</w:t>
            </w:r>
          </w:p>
        </w:tc>
      </w:tr>
      <w:tr>
        <w:trPr>
          <w:trHeight w:hRule="exact" w:val="646"/>
        </w:trPr>
        <w:tc>
          <w:tcPr>
            <w:tcW w:type="dxa" w:w="148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Mezzanine equity</w:t>
            </w:r>
          </w:p>
        </w:tc>
        <w:tc>
          <w:tcPr>
            <w:tcW w:type="dxa" w:w="100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10,328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77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(10,328)</w:t>
            </w:r>
          </w:p>
        </w:tc>
        <w:tc>
          <w:tcPr>
            <w:tcW w:type="dxa" w:w="97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08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0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2" w:after="0"/>
              <w:ind w:left="0" w:right="2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80" w:lineRule="exact" w:before="220" w:after="6"/>
        <w:ind w:left="0" w:right="0" w:firstLine="0"/>
        <w:jc w:val="left"/>
      </w:pPr>
      <w:r>
        <w:rPr>
          <w:w w:val="98.88264338175455"/>
          <w:rFonts w:ascii="TimesLTStd" w:hAnsi="TimesLTStd" w:eastAsia="TimesLTStd"/>
          <w:b w:val="0"/>
          <w:i w:val="0"/>
          <w:color w:val="221F1F"/>
          <w:sz w:val="18"/>
        </w:rPr>
        <w:t xml:space="preserve">Total shareholders’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equity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1,035,082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(8,695)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2,186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2,219</w:t>
            </w:r>
          </w:p>
        </w:tc>
        <w:tc>
          <w:tcPr>
            <w:tcW w:type="dxa" w:w="1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(1,125)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(1,766)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(2,035)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1,173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1,027,039</w:t>
            </w:r>
          </w:p>
        </w:tc>
      </w:tr>
      <w:tr>
        <w:trPr>
          <w:trHeight w:hRule="exact" w:val="28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Noncontrolling 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124,636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(38,371)</w:t>
            </w:r>
          </w:p>
        </w:tc>
        <w:tc>
          <w:tcPr>
            <w:tcW w:type="dxa" w:w="77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299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208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1,002</w:t>
            </w:r>
          </w:p>
        </w:tc>
        <w:tc>
          <w:tcPr>
            <w:tcW w:type="dxa" w:w="77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1,371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88,937</w:t>
            </w:r>
          </w:p>
        </w:tc>
      </w:tr>
      <w:tr>
        <w:trPr>
          <w:trHeight w:hRule="exact" w:val="308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interests</w:t>
            </w:r>
          </w:p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  <w:tc>
          <w:tcPr>
            <w:tcW w:type="dxa" w:w="1025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620"/>
        </w:trPr>
        <w:tc>
          <w:tcPr>
            <w:tcW w:type="dxa" w:w="149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Total equity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1,159,718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(47,066)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2,485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2,219</w:t>
            </w:r>
          </w:p>
        </w:tc>
        <w:tc>
          <w:tcPr>
            <w:tcW w:type="dxa" w:w="12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(1,125)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(1,766)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(1,033)</w:t>
            </w:r>
          </w:p>
        </w:tc>
        <w:tc>
          <w:tcPr>
            <w:tcW w:type="dxa" w:w="77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2,544</w:t>
            </w:r>
          </w:p>
        </w:tc>
        <w:tc>
          <w:tcPr>
            <w:tcW w:type="dxa" w:w="99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1,115,976</w:t>
            </w:r>
          </w:p>
        </w:tc>
      </w:tr>
    </w:tbl>
    <w:p>
      <w:pPr>
        <w:autoSpaceDN w:val="0"/>
        <w:autoSpaceDE w:val="0"/>
        <w:widowControl/>
        <w:spacing w:line="276" w:lineRule="exact" w:before="310" w:after="2"/>
        <w:ind w:left="0" w:right="0" w:firstLine="0"/>
        <w:jc w:val="lef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 xml:space="preserve">Total liabilities,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hRule="exact" w:val="276"/>
        </w:trPr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mezzanine equity </w:t>
            </w:r>
          </w:p>
        </w:tc>
        <w:tc>
          <w:tcPr>
            <w:tcW w:type="dxa" w:w="806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1,811,590</w:t>
            </w:r>
          </w:p>
        </w:tc>
        <w:tc>
          <w:tcPr>
            <w:tcW w:type="dxa" w:w="1180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(47,876)</w:t>
            </w:r>
          </w:p>
        </w:tc>
        <w:tc>
          <w:tcPr>
            <w:tcW w:type="dxa" w:w="80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2,898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2,664</w:t>
            </w:r>
          </w:p>
        </w:tc>
        <w:tc>
          <w:tcPr>
            <w:tcW w:type="dxa" w:w="1180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(992)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16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(1,767)</w:t>
            </w:r>
          </w:p>
        </w:tc>
        <w:tc>
          <w:tcPr>
            <w:tcW w:type="dxa" w:w="80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50" w:after="0"/>
              <w:ind w:left="0" w:right="20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4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2,578</w:t>
            </w:r>
          </w:p>
        </w:tc>
        <w:tc>
          <w:tcPr>
            <w:tcW w:type="dxa" w:w="992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1,769,095</w:t>
            </w:r>
          </w:p>
        </w:tc>
      </w:tr>
      <w:tr>
        <w:trPr>
          <w:trHeight w:hRule="exact" w:val="326"/>
        </w:trPr>
        <w:tc>
          <w:tcPr>
            <w:tcW w:type="dxa" w:w="1482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and equity</w:t>
            </w:r>
          </w:p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  <w:tc>
          <w:tcPr>
            <w:tcW w:type="dxa" w:w="1025"/>
            <w:vMerge/>
            <w:tcBorders>
              <w:bottom w:sz="16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68" w:lineRule="exact" w:before="968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29</w:t>
      </w:r>
    </w:p>
    <w:p>
      <w:pPr>
        <w:sectPr>
          <w:pgSz w:w="11906" w:h="15874"/>
          <w:pgMar w:top="420" w:right="810" w:bottom="46" w:left="850" w:header="720" w:footer="720" w:gutter="0"/>
          <w:cols w:space="720" w:num="1" w:equalWidth="0">
            <w:col w:w="10246" w:space="0"/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58" w:lineRule="exact" w:before="18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autoSpaceDE w:val="0"/>
        <w:widowControl/>
        <w:spacing w:line="266" w:lineRule="exact" w:before="254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Reconciliation of Consolidated Income Statements (Extract)</w:t>
      </w:r>
    </w:p>
    <w:p>
      <w:pPr>
        <w:autoSpaceDN w:val="0"/>
        <w:autoSpaceDE w:val="0"/>
        <w:widowControl/>
        <w:spacing w:line="278" w:lineRule="exact" w:before="244" w:after="28"/>
        <w:ind w:left="0" w:right="3282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Six months ended September 30,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8.0" w:type="dxa"/>
      </w:tblPr>
      <w:tblGrid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>
        <w:trPr>
          <w:trHeight w:hRule="exact" w:val="268"/>
        </w:trPr>
        <w:tc>
          <w:tcPr>
            <w:tcW w:type="dxa" w:w="87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6" w:after="0"/>
              <w:ind w:left="0" w:right="6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Amounts </w:t>
            </w:r>
          </w:p>
        </w:tc>
        <w:tc>
          <w:tcPr>
            <w:tcW w:type="dxa" w:w="89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76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Consolidation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Equity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7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Equity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3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Share-based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36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Operating</w:t>
            </w:r>
          </w:p>
        </w:tc>
        <w:tc>
          <w:tcPr>
            <w:tcW w:type="dxa" w:w="2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0" w:after="0"/>
              <w:ind w:left="26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Redeemable</w:t>
            </w:r>
          </w:p>
        </w:tc>
        <w:tc>
          <w:tcPr>
            <w:tcW w:type="dxa" w:w="77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34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Amounts</w:t>
            </w:r>
          </w:p>
        </w:tc>
      </w:tr>
      <w:tr>
        <w:trPr>
          <w:trHeight w:hRule="exact" w:val="260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securities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82"/>
            <w:gridSpan w:val="2"/>
            <w:vMerge/>
            <w:tcBorders/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60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without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82"/>
            <w:gridSpan w:val="2"/>
            <w:vMerge/>
            <w:tcBorders/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6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as reported 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readily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82"/>
            <w:gridSpan w:val="2"/>
            <w:vMerge/>
            <w:tcBorders/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6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under U.S. 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3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and business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02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determinable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method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16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noncontrolling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52"/>
        </w:trPr>
        <w:tc>
          <w:tcPr>
            <w:tcW w:type="dxa" w:w="87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0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GAAP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combinations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fair value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investments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awards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leases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84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interests Hyperinflation</w:t>
            </w:r>
          </w:p>
        </w:tc>
        <w:tc>
          <w:tcPr>
            <w:tcW w:type="dxa" w:w="77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under IFRS</w:t>
            </w:r>
          </w:p>
        </w:tc>
      </w:tr>
      <w:tr>
        <w:trPr>
          <w:trHeight w:hRule="exact" w:val="312"/>
        </w:trPr>
        <w:tc>
          <w:tcPr>
            <w:tcW w:type="dxa" w:w="1141"/>
            <w:vMerge/>
            <w:tcBorders>
              <w:bottom w:sz="4.0" w:val="single" w:color="#221F1F"/>
            </w:tcBorders>
          </w:tcPr>
          <w:p/>
        </w:tc>
        <w:tc>
          <w:tcPr>
            <w:tcW w:type="dxa" w:w="8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(iii)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(v)</w:t>
            </w:r>
          </w:p>
        </w:tc>
        <w:tc>
          <w:tcPr>
            <w:tcW w:type="dxa" w:w="99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(vi)</w:t>
            </w:r>
          </w:p>
        </w:tc>
        <w:tc>
          <w:tcPr>
            <w:tcW w:type="dxa" w:w="12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(vii)</w:t>
            </w:r>
          </w:p>
        </w:tc>
        <w:tc>
          <w:tcPr>
            <w:tcW w:type="dxa" w:w="1141"/>
            <w:vMerge/>
            <w:tcBorders>
              <w:bottom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78" w:lineRule="exact" w:before="4" w:after="150"/>
        <w:ind w:left="0" w:right="3796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(in millions of RMB)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>
        <w:trPr>
          <w:trHeight w:hRule="exact" w:val="35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Revenue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412,731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99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412,830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Cost of revenue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(260,867)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(28)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462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(178)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(260,611)</w:t>
            </w:r>
          </w:p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Product development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(29,343)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14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(29,334)</w:t>
            </w:r>
          </w:p>
        </w:tc>
      </w:tr>
      <w:tr>
        <w:trPr>
          <w:trHeight w:hRule="exact" w:val="24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Sales and marketing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(47,937)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1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(115)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(48,074)</w:t>
            </w:r>
          </w:p>
        </w:tc>
      </w:tr>
      <w:tr>
        <w:trPr>
          <w:trHeight w:hRule="exact" w:val="24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General and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(19,024)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39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(18,985)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administrative 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Amortization of 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(5,480)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236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(5,241)</w:t>
            </w:r>
          </w:p>
        </w:tc>
      </w:tr>
      <w:tr>
        <w:trPr>
          <w:trHeight w:hRule="exact" w:val="300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intangible assets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528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Income from 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50,080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236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9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9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(57)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502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9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(176)</w:t>
            </w:r>
          </w:p>
        </w:tc>
        <w:tc>
          <w:tcPr>
            <w:tcW w:type="dxa" w:w="81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50,585</w:t>
            </w:r>
          </w:p>
        </w:tc>
      </w:tr>
      <w:tr>
        <w:trPr>
          <w:trHeight w:hRule="exact" w:val="40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operations</w:t>
            </w:r>
          </w:p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394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Interest and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(37,083)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638" w:right="222" w:firstLine="0"/>
              <w:jc w:val="both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638" w:right="222" w:hanging="72"/>
              <w:jc w:val="both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397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(159)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638" w:right="222" w:firstLine="0"/>
              <w:jc w:val="both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37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492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(36,316)</w:t>
            </w:r>
          </w:p>
        </w:tc>
      </w:tr>
      <w:tr>
        <w:trPr>
          <w:trHeight w:hRule="exact" w:val="25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investment 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income, net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Interest expense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(2,632)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(744)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(381)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(3,757)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Other income, net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3,053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(40)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3,013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Income tax expenses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(7,971)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(12)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(561)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(45)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45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(63)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(8,605)</w:t>
            </w:r>
          </w:p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Share of results 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(7,616)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3,697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(3,920)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of equity method 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298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investees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530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Net (loss) income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(2,169)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224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399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2,977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(103)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(197)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(344)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213</w:t>
            </w:r>
          </w:p>
        </w:tc>
        <w:tc>
          <w:tcPr>
            <w:tcW w:type="dxa" w:w="81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1,000</w:t>
            </w:r>
          </w:p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Net loss attributable 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4,395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(110)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(130)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7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570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9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2" w:after="0"/>
              <w:ind w:left="0" w:right="4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4,731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to noncontrolling 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interests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Accretion of 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(48)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48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28" w:after="0"/>
              <w:ind w:left="0" w:right="4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mezzanine equity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530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Net income 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2,178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114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269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2,977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(106)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(197)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274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222</w:t>
            </w:r>
          </w:p>
        </w:tc>
        <w:tc>
          <w:tcPr>
            <w:tcW w:type="dxa" w:w="81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5,731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attributable to </w:t>
            </w:r>
          </w:p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ordinary </w:t>
            </w:r>
          </w:p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32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shareholders</w:t>
            </w:r>
          </w:p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68" w:lineRule="exact" w:before="786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30</w:t>
      </w:r>
    </w:p>
    <w:p>
      <w:pPr>
        <w:sectPr>
          <w:pgSz w:w="11906" w:h="15874"/>
          <w:pgMar w:top="420" w:right="788" w:bottom="46" w:left="850" w:header="720" w:footer="720" w:gutter="0"/>
          <w:cols w:space="720" w:num="1" w:equalWidth="0">
            <w:col w:w="10268" w:space="0"/>
            <w:col w:w="10246" w:space="0"/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50" w:lineRule="exact" w:before="28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autoSpaceDE w:val="0"/>
        <w:widowControl/>
        <w:spacing w:line="268" w:lineRule="exact" w:before="232" w:after="0"/>
        <w:ind w:left="0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Reconciliation of Consolidated Income Statements (Extract) (Continued)</w:t>
      </w:r>
    </w:p>
    <w:p>
      <w:pPr>
        <w:autoSpaceDN w:val="0"/>
        <w:autoSpaceDE w:val="0"/>
        <w:widowControl/>
        <w:spacing w:line="278" w:lineRule="exact" w:before="222" w:after="28"/>
        <w:ind w:left="0" w:right="3282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Six months ended September 30,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8.0" w:type="dxa"/>
      </w:tblPr>
      <w:tblGrid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>
        <w:trPr>
          <w:trHeight w:hRule="exact" w:val="508"/>
        </w:trPr>
        <w:tc>
          <w:tcPr>
            <w:tcW w:type="dxa" w:w="85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22" w:after="0"/>
              <w:ind w:left="0" w:right="8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Amounts </w:t>
            </w:r>
            <w:r>
              <w:br/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as reported 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under U.S.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8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GAAP</w:t>
            </w:r>
          </w:p>
        </w:tc>
        <w:tc>
          <w:tcPr>
            <w:tcW w:type="dxa" w:w="100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5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Consolidation 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and business 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combinations</w:t>
            </w:r>
          </w:p>
        </w:tc>
        <w:tc>
          <w:tcPr>
            <w:tcW w:type="dxa" w:w="10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8" w:after="0"/>
              <w:ind w:left="344" w:right="0" w:firstLine="16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Equity 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securities</w:t>
            </w:r>
          </w:p>
        </w:tc>
        <w:tc>
          <w:tcPr>
            <w:tcW w:type="dxa" w:w="98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28" w:after="0"/>
              <w:ind w:left="0" w:right="12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Equity</w:t>
            </w:r>
          </w:p>
        </w:tc>
        <w:tc>
          <w:tcPr>
            <w:tcW w:type="dxa" w:w="104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4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Share-based</w:t>
            </w:r>
          </w:p>
        </w:tc>
        <w:tc>
          <w:tcPr>
            <w:tcW w:type="dxa" w:w="86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4" w:after="0"/>
              <w:ind w:left="212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Operating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32" w:after="0"/>
              <w:ind w:left="232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Redeemable</w:t>
            </w:r>
          </w:p>
        </w:tc>
        <w:tc>
          <w:tcPr>
            <w:tcW w:type="dxa" w:w="860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4" w:after="0"/>
              <w:ind w:left="0" w:right="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Amounts</w:t>
            </w:r>
          </w:p>
        </w:tc>
      </w:tr>
      <w:tr>
        <w:trPr>
          <w:trHeight w:hRule="exact" w:val="256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3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without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82"/>
            <w:gridSpan w:val="2"/>
            <w:vMerge/>
            <w:tcBorders/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44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3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readily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282"/>
            <w:gridSpan w:val="2"/>
            <w:vMerge/>
            <w:tcBorders/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56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determinable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2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method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8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noncontrolling</w:t>
            </w:r>
          </w:p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44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3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fair value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investments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7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awards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4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leases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448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interests Hyperinflation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5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under IFRS</w:t>
            </w:r>
          </w:p>
        </w:tc>
      </w:tr>
      <w:tr>
        <w:trPr>
          <w:trHeight w:hRule="exact" w:val="284"/>
        </w:trPr>
        <w:tc>
          <w:tcPr>
            <w:tcW w:type="dxa" w:w="1141"/>
            <w:vMerge/>
            <w:tcBorders>
              <w:top w:sz="4.0" w:val="single" w:color="#221F1F"/>
            </w:tcBorders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9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3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2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(iii)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7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(iv)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4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(v)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370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13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(vii)</w:t>
            </w:r>
          </w:p>
        </w:tc>
        <w:tc>
          <w:tcPr>
            <w:tcW w:type="dxa" w:w="11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12" w:after="130"/>
        <w:ind w:left="0" w:right="3796" w:firstLine="0"/>
        <w:jc w:val="right"/>
      </w:pP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 xml:space="preserve">(in </w:t>
      </w: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millions of R</w:t>
      </w:r>
      <w:r>
        <w:rPr>
          <w:w w:val="98.88264338175455"/>
          <w:rFonts w:ascii="TimesLTStd" w:hAnsi="TimesLTStd" w:eastAsia="TimesLTStd"/>
          <w:b/>
          <w:i w:val="0"/>
          <w:color w:val="221F1F"/>
          <w:sz w:val="18"/>
        </w:rPr>
        <w:t>MB)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>
        <w:trPr>
          <w:trHeight w:hRule="exact" w:val="35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Revenue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458,946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18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18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18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18" w:after="0"/>
              <w:ind w:left="576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444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459,390</w:t>
            </w:r>
          </w:p>
        </w:tc>
      </w:tr>
      <w:tr>
        <w:trPr>
          <w:trHeight w:hRule="exact" w:val="25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Cost of revenue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(282,011)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(1,335)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716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(587)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(283,217)</w:t>
            </w:r>
          </w:p>
        </w:tc>
      </w:tr>
      <w:tr>
        <w:trPr>
          <w:trHeight w:hRule="exact" w:val="125"/>
        </w:trPr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Product development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(24,683)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(2,558)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6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(57)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(27,298)</w:t>
            </w:r>
          </w:p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Sales and marketing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(52,532)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(767)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7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(220)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(53,518)</w:t>
            </w:r>
          </w:p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General and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administrative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(16,705)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(2,227)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66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(54)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(18,920)</w:t>
            </w:r>
          </w:p>
        </w:tc>
      </w:tr>
      <w:tr>
        <w:trPr>
          <w:trHeight w:hRule="exact" w:val="24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expenses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Amortization of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(4,910)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188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9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14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(4,708)</w:t>
            </w:r>
          </w:p>
        </w:tc>
      </w:tr>
      <w:tr>
        <w:trPr>
          <w:trHeight w:hRule="exact" w:val="24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intangible assets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Impairment of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(2,031)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2,031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4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goodwill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768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62" w:after="0"/>
              <w:ind w:left="0" w:right="72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Income from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operations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76,074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2,219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(6,887)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783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4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(460)</w:t>
            </w:r>
          </w:p>
        </w:tc>
        <w:tc>
          <w:tcPr>
            <w:tcW w:type="dxa" w:w="81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71,729</w:t>
            </w:r>
          </w:p>
        </w:tc>
      </w:tr>
      <w:tr>
        <w:trPr>
          <w:trHeight w:hRule="exact" w:val="498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Interest and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(762)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50" w:after="0"/>
              <w:ind w:left="638" w:right="222" w:firstLine="0"/>
              <w:jc w:val="both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54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(712)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54" w:after="0"/>
              <w:ind w:left="576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(83)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50" w:after="0"/>
              <w:ind w:left="638" w:right="222" w:firstLine="0"/>
              <w:jc w:val="both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90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23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659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(875)</w:t>
            </w:r>
          </w:p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investment 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income, net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Interest expense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(3,638)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(819)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432" w:right="144" w:firstLine="0"/>
              <w:jc w:val="center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(385)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  <w:r>
              <w:br/>
            </w: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(20)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(4,862)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Other income, net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2,755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(31)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2,724</w:t>
            </w:r>
          </w:p>
        </w:tc>
      </w:tr>
      <w:tr>
        <w:trPr>
          <w:trHeight w:hRule="exact" w:val="24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Income tax expenses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(11,819)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(58)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37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(68)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635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26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(322)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(11,569)</w:t>
            </w:r>
          </w:p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Share of results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(2,914)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(52)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(76)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5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(3,042)</w:t>
            </w:r>
          </w:p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of equity method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290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investees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520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8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Net income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59,696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2,161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(675)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(203)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(6,328)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(10)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(362)</w:t>
            </w:r>
          </w:p>
        </w:tc>
        <w:tc>
          <w:tcPr>
            <w:tcW w:type="dxa" w:w="992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(174)</w:t>
            </w:r>
          </w:p>
        </w:tc>
        <w:tc>
          <w:tcPr>
            <w:tcW w:type="dxa" w:w="816"/>
            <w:vMerge w:val="restart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54,105</w:t>
            </w:r>
          </w:p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Net loss attributable</w:t>
            </w:r>
          </w:p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  <w:tc>
          <w:tcPr>
            <w:tcW w:type="dxa" w:w="1027"/>
            <w:vMerge/>
            <w:tcBorders>
              <w:top w:sz="4.0" w:val="single" w:color="#221F1F"/>
            </w:tcBorders>
          </w:tcPr>
          <w:p/>
        </w:tc>
      </w:tr>
      <w:tr>
        <w:trPr>
          <w:trHeight w:hRule="exact" w:val="25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to noncontrolling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2,393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(671)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309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82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176</w:t>
            </w:r>
          </w:p>
        </w:tc>
        <w:tc>
          <w:tcPr>
            <w:tcW w:type="dxa" w:w="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42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46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2,249</w:t>
            </w:r>
          </w:p>
        </w:tc>
      </w:tr>
      <w:tr>
        <w:trPr>
          <w:trHeight w:hRule="exact" w:val="24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interests</w:t>
            </w:r>
          </w:p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  <w:tc>
          <w:tcPr>
            <w:tcW w:type="dxa" w:w="10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Accretion of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(51)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51</w:t>
            </w:r>
          </w:p>
        </w:tc>
        <w:tc>
          <w:tcPr>
            <w:tcW w:type="dxa" w:w="992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222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  <w:tc>
          <w:tcPr>
            <w:tcW w:type="dxa" w:w="81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8" w:after="0"/>
              <w:ind w:left="0" w:right="46" w:firstLine="0"/>
              <w:jc w:val="right"/>
            </w:pPr>
            <w:r>
              <w:rPr>
                <w:w w:val="98.88264338175455"/>
                <w:rFonts w:ascii="MSungHK" w:hAnsi="MSungHK" w:eastAsia="MSungHK"/>
                <w:b w:val="0"/>
                <w:i w:val="0"/>
                <w:color w:val="221F1F"/>
                <w:sz w:val="18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4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 xml:space="preserve"> mezzanine equity</w:t>
            </w:r>
          </w:p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  <w:tc>
          <w:tcPr>
            <w:tcW w:type="dxa" w:w="1027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1329"/>
        </w:trPr>
        <w:tc>
          <w:tcPr>
            <w:tcW w:type="dxa" w:w="14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72" w:after="0"/>
              <w:ind w:left="0" w:right="432" w:firstLine="0"/>
              <w:jc w:val="left"/>
            </w:pP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>Net income</w:t>
            </w:r>
            <w:r>
              <w:br/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attributable to</w:t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ordinary</w:t>
            </w:r>
            <w:r>
              <w:br/>
            </w:r>
            <w:r>
              <w:rPr>
                <w:w w:val="98.88264338175455"/>
                <w:rFonts w:ascii="TimesLTStd" w:hAnsi="TimesLTStd" w:eastAsia="TimesLTStd"/>
                <w:b/>
                <w:i w:val="0"/>
                <w:color w:val="221F1F"/>
                <w:sz w:val="18"/>
              </w:rPr>
              <w:t xml:space="preserve"> shareholders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62,038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222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1,490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(675)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(203)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(6,019)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(10)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(135)</w:t>
            </w:r>
          </w:p>
        </w:tc>
        <w:tc>
          <w:tcPr>
            <w:tcW w:type="dxa" w:w="99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178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(132)</w:t>
            </w:r>
          </w:p>
        </w:tc>
        <w:tc>
          <w:tcPr>
            <w:tcW w:type="dxa" w:w="81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44" w:firstLine="0"/>
              <w:jc w:val="right"/>
            </w:pPr>
            <w:r>
              <w:rPr>
                <w:w w:val="98.88264338175455"/>
                <w:rFonts w:ascii="TimesLTStd" w:hAnsi="TimesLTStd" w:eastAsia="TimesLTStd"/>
                <w:b w:val="0"/>
                <w:i w:val="0"/>
                <w:color w:val="221F1F"/>
                <w:sz w:val="18"/>
              </w:rPr>
              <w:t>56,354</w:t>
            </w:r>
          </w:p>
        </w:tc>
      </w:tr>
    </w:tbl>
    <w:p>
      <w:pPr>
        <w:autoSpaceDN w:val="0"/>
        <w:autoSpaceDE w:val="0"/>
        <w:widowControl/>
        <w:spacing w:line="268" w:lineRule="exact" w:before="794" w:after="0"/>
        <w:ind w:left="0" w:right="0" w:firstLine="0"/>
        <w:jc w:val="center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31</w:t>
      </w:r>
    </w:p>
    <w:p>
      <w:pPr>
        <w:sectPr>
          <w:pgSz w:w="11906" w:h="15874"/>
          <w:pgMar w:top="420" w:right="788" w:bottom="46" w:left="850" w:header="720" w:footer="720" w:gutter="0"/>
          <w:cols w:space="720" w:num="1" w:equalWidth="0">
            <w:col w:w="10268" w:space="0"/>
            <w:col w:w="10268" w:space="0"/>
            <w:col w:w="10246" w:space="0"/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tabs>
          <w:tab w:pos="568" w:val="left"/>
        </w:tabs>
        <w:autoSpaceDE w:val="0"/>
        <w:widowControl/>
        <w:spacing w:line="278" w:lineRule="exact" w:before="282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(i)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Consolidation and business combinations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consolidates an entity when the Company obtains control over the entity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deconsolidates the entity upon the loss of control. Under U.S. GAAP, control generally exists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when the Company obtains a controlling financial interest over an entity, whereby the usual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condition is ownership of over 50% of the voting shares. Under IFRS, de facto control exists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when the Company has the practical ability to direct the relevant activities of the entity, even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if the Company owns less than 50% of the voting shares.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recognizes noncontrolling interests to reflect the portion of equity of 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subsidiary that is not attributable to the Company. Under U.S. GAAP, noncontrolling interests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are measured at fair value and full goodwill in relation to the acquiree is recognized in a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business combination. Under IFRS, the Company can elect, on a transaction-by-transaction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basis, to measure noncontrolling interests at the noncontrolling interests’ proportionate share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of the acquiree’s net identifiable assets and partial goodwill is recognized to reflect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controlling interests only.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recognizes an impairment loss when the Company determines that the carrying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value of goodwill is not recoverable. Under U.S. GAAP, the impairment loss is measured by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comparing the carrying value of the reporting unit, including goodwill, with its fair value.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IFRS, the carrying value is compared with the recoverable amount, which is the higher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of fair value less costs of disposal and value in use.</w:t>
      </w:r>
    </w:p>
    <w:p>
      <w:pPr>
        <w:autoSpaceDN w:val="0"/>
        <w:autoSpaceDE w:val="0"/>
        <w:widowControl/>
        <w:spacing w:line="276" w:lineRule="exact" w:before="284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(ii) Equity securities without readily determinable fair value</w:t>
      </w:r>
    </w:p>
    <w:p>
      <w:pPr>
        <w:autoSpaceDN w:val="0"/>
        <w:autoSpaceDE w:val="0"/>
        <w:widowControl/>
        <w:spacing w:line="280" w:lineRule="exact" w:before="280" w:after="0"/>
        <w:ind w:left="568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U.S. GAAP, the Company can elect, on an instrument-by-instrument basis,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apply the measurement alternative to record the investments in equity securities without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readily determinable fair values at cost, less impairment, with subsequent adjustments for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observable price changes recognized in the consolidated income statements. Under IFRS,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these investments are measured at fair value with changes in fair value recognized in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consolidated income statements.</w:t>
      </w:r>
    </w:p>
    <w:p>
      <w:pPr>
        <w:autoSpaceDN w:val="0"/>
        <w:autoSpaceDE w:val="0"/>
        <w:widowControl/>
        <w:spacing w:line="276" w:lineRule="exact" w:before="284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(iii) Equity method investments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generally applies the equity method to account for equity investments over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which it has significant influence. Under U.S. GAAP, significant influence is presumed to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exist for an investment in limited partnership or unincorporated entity, unless the investment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is so minor that the Company has virtually no influence over the entity’s operating and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financial policies. Under IFRS, significant influence is presumed to exist for an investment of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over 20% of the voting rights of an entity.</w:t>
      </w:r>
    </w:p>
    <w:p>
      <w:pPr>
        <w:autoSpaceDN w:val="0"/>
        <w:autoSpaceDE w:val="0"/>
        <w:widowControl/>
        <w:spacing w:line="280" w:lineRule="exact" w:before="280" w:after="0"/>
        <w:ind w:left="568" w:right="144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records its share of the post-acquisition results of its equity method investees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and adjusts for the basis differences that exist between the carrying values of the equity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method investments and the Company’s proportionate share of the carrying value of the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investee’s net assets. Adjustments are made to the financial statements of the equity method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investees prepared under U.S. GAAP in order to conform to the Company’s accounting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policies under IFRS and to reflect the basis differences of the equity method investments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under IFRS, if different from those under U.S. GAAP.</w:t>
      </w:r>
    </w:p>
    <w:p>
      <w:pPr>
        <w:autoSpaceDN w:val="0"/>
        <w:autoSpaceDE w:val="0"/>
        <w:widowControl/>
        <w:spacing w:line="268" w:lineRule="exact" w:before="116" w:after="0"/>
        <w:ind w:left="0" w:right="5062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32</w:t>
      </w:r>
    </w:p>
    <w:p>
      <w:pPr>
        <w:sectPr>
          <w:pgSz w:w="11906" w:h="15874"/>
          <w:pgMar w:top="420" w:right="768" w:bottom="46" w:left="850" w:header="720" w:footer="720" w:gutter="0"/>
          <w:cols w:space="720" w:num="1" w:equalWidth="0">
            <w:col w:w="10288" w:space="0"/>
            <w:col w:w="10268" w:space="0"/>
            <w:col w:w="10268" w:space="0"/>
            <w:col w:w="10246" w:space="0"/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864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ALIBABA GROUP HOLDING LIMITED </w:t>
      </w:r>
      <w:r>
        <w:br/>
      </w:r>
      <w:r>
        <w:rPr>
          <w:rFonts w:ascii="TimesLTStd" w:hAnsi="TimesLTStd" w:eastAsia="TimesLTStd"/>
          <w:b/>
          <w:i w:val="0"/>
          <w:color w:val="221F1F"/>
          <w:sz w:val="24"/>
        </w:rPr>
        <w:t xml:space="preserve">RECONCILIATIONS BETWEEN U.S. GAAP AND INTERNATIONAL FINANCIAL </w:t>
      </w:r>
      <w:r>
        <w:rPr>
          <w:rFonts w:ascii="TimesLTStd" w:hAnsi="TimesLTStd" w:eastAsia="TimesLTStd"/>
          <w:b/>
          <w:i w:val="0"/>
          <w:color w:val="221F1F"/>
          <w:sz w:val="24"/>
        </w:rPr>
        <w:t>REPORTING STANDARDS (CONTINUED)</w:t>
      </w:r>
    </w:p>
    <w:p>
      <w:pPr>
        <w:autoSpaceDN w:val="0"/>
        <w:autoSpaceDE w:val="0"/>
        <w:widowControl/>
        <w:spacing w:line="278" w:lineRule="exact" w:before="282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(iv) Share-based awards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employees of the Company hold share-based awards relating to an equity method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investee of the Company that were granted and will be settled by related parties or economic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interest holders of the Company. Under U.S. GAAP, the cost related to these awards is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recognized over the requisite service period, with subsequent changes in fair value of these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awards recognized in the consolidated income statements. Under IFRS, these awards are not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considered as share based payments of the Company and the cost relating to these awards is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not recognized.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The Company accounts for income tax effects of share-based awards that ordinarily give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rise to tax deduction. Under U.S. GAAP, deferred taxes for these awards are measured based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on share-based compensation expenses recognized in the consolidated financial statements. </w:t>
      </w:r>
    </w:p>
    <w:p>
      <w:pPr>
        <w:autoSpaceDN w:val="0"/>
        <w:autoSpaceDE w:val="0"/>
        <w:widowControl/>
        <w:spacing w:line="280" w:lineRule="exact" w:before="0" w:after="0"/>
        <w:ind w:left="568" w:right="432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IFRS, deferred taxes for these awards are measured based on future tax deduction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estimated at the end of each reporting period.</w:t>
      </w:r>
    </w:p>
    <w:p>
      <w:pPr>
        <w:autoSpaceDN w:val="0"/>
        <w:tabs>
          <w:tab w:pos="568" w:val="left"/>
        </w:tabs>
        <w:autoSpaceDE w:val="0"/>
        <w:widowControl/>
        <w:spacing w:line="278" w:lineRule="exact" w:before="282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 xml:space="preserve">(v) </w:t>
      </w:r>
      <w:r>
        <w:tab/>
      </w:r>
      <w:r>
        <w:rPr>
          <w:rFonts w:ascii="TimesLTStd" w:hAnsi="TimesLTStd" w:eastAsia="TimesLTStd"/>
          <w:b/>
          <w:i w:val="0"/>
          <w:color w:val="221F1F"/>
          <w:sz w:val="24"/>
        </w:rPr>
        <w:t>Operating leases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U.S. GAAP, the amortization of right-of-use assets and the interest expense related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to lease liabilities are recorded together as lease expense and recognized in the consolidated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income statements on a straight-line basis. Under IFRS, the right-of-use assets are amortized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on a straight-line basis while the interest expense related to lease liabilities are recognized in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the consolidated income statements using effective interest method.</w:t>
      </w:r>
    </w:p>
    <w:p>
      <w:pPr>
        <w:autoSpaceDN w:val="0"/>
        <w:autoSpaceDE w:val="0"/>
        <w:widowControl/>
        <w:spacing w:line="276" w:lineRule="exact" w:before="284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(vi) Redeemable noncontrolling interests</w:t>
      </w:r>
    </w:p>
    <w:p>
      <w:pPr>
        <w:autoSpaceDN w:val="0"/>
        <w:autoSpaceDE w:val="0"/>
        <w:widowControl/>
        <w:spacing w:line="268" w:lineRule="exact" w:before="292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Equity interests issued by certain subsidiaries of the Company are redeemable. Under U.S. </w:t>
      </w:r>
    </w:p>
    <w:p>
      <w:pPr>
        <w:autoSpaceDN w:val="0"/>
        <w:autoSpaceDE w:val="0"/>
        <w:widowControl/>
        <w:spacing w:line="280" w:lineRule="exact" w:before="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GAAP, redeemable equity interests are classified as mezzanine equity if the redemption is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outside the Company’s control and as noncontrolling interests if equity interests issued by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finite-lived subsidiaries are mandatorily redeemable only upon liquidation. Under IFRS, these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redeemable equity interests are generally classified as financial liabilities.</w:t>
      </w:r>
    </w:p>
    <w:p>
      <w:pPr>
        <w:autoSpaceDN w:val="0"/>
        <w:autoSpaceDE w:val="0"/>
        <w:widowControl/>
        <w:spacing w:line="276" w:lineRule="exact" w:before="284" w:after="0"/>
        <w:ind w:left="0" w:right="0" w:firstLine="0"/>
        <w:jc w:val="left"/>
      </w:pPr>
      <w:r>
        <w:rPr>
          <w:rFonts w:ascii="TimesLTStd" w:hAnsi="TimesLTStd" w:eastAsia="TimesLTStd"/>
          <w:b/>
          <w:i w:val="0"/>
          <w:color w:val="221F1F"/>
          <w:sz w:val="24"/>
        </w:rPr>
        <w:t>(vii) Hyperinflation</w:t>
      </w:r>
    </w:p>
    <w:p>
      <w:pPr>
        <w:autoSpaceDN w:val="0"/>
        <w:autoSpaceDE w:val="0"/>
        <w:widowControl/>
        <w:spacing w:line="280" w:lineRule="exact" w:before="28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U.S. GAAP, when the Company determines that a subsidiary is operating in a highly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inflationary economy, the financial statements of this subsidiary are remeasured prospectively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as if its functional currency was the functional currency of its immediate parent company. </w:t>
      </w:r>
    </w:p>
    <w:p>
      <w:pPr>
        <w:autoSpaceDN w:val="0"/>
        <w:autoSpaceDE w:val="0"/>
        <w:widowControl/>
        <w:spacing w:line="280" w:lineRule="exact" w:before="0" w:after="0"/>
        <w:ind w:left="568" w:right="0" w:firstLine="0"/>
        <w:jc w:val="lef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 xml:space="preserve">Under IFRS, the financial statements of the subsidiary operating in a highly inflationary </w:t>
      </w:r>
      <w:r>
        <w:rPr>
          <w:rFonts w:ascii="TimesLTStd" w:hAnsi="TimesLTStd" w:eastAsia="TimesLTStd"/>
          <w:b w:val="0"/>
          <w:i w:val="0"/>
          <w:color w:val="221F1F"/>
          <w:sz w:val="24"/>
        </w:rPr>
        <w:t>economy are restated in terms of the measuring unit current at the end of the reporting period.</w:t>
      </w:r>
    </w:p>
    <w:p>
      <w:pPr>
        <w:autoSpaceDN w:val="0"/>
        <w:autoSpaceDE w:val="0"/>
        <w:widowControl/>
        <w:spacing w:line="268" w:lineRule="exact" w:before="2636" w:after="0"/>
        <w:ind w:left="0" w:right="5066" w:firstLine="0"/>
        <w:jc w:val="right"/>
      </w:pPr>
      <w:r>
        <w:rPr>
          <w:rFonts w:ascii="TimesLTStd" w:hAnsi="TimesLTStd" w:eastAsia="TimesLTStd"/>
          <w:b w:val="0"/>
          <w:i w:val="0"/>
          <w:color w:val="221F1F"/>
          <w:sz w:val="24"/>
        </w:rPr>
        <w:t>33</w:t>
      </w:r>
    </w:p>
    <w:p>
      <w:pPr>
        <w:sectPr>
          <w:pgSz w:w="11906" w:h="15874"/>
          <w:pgMar w:top="420" w:right="764" w:bottom="46" w:left="850" w:header="720" w:footer="720" w:gutter="0"/>
          <w:cols w:space="720" w:num="1" w:equalWidth="0">
            <w:col w:w="10292" w:space="0"/>
            <w:col w:w="10288" w:space="0"/>
            <w:col w:w="10268" w:space="0"/>
            <w:col w:w="10268" w:space="0"/>
            <w:col w:w="10246" w:space="0"/>
            <w:col w:w="10246" w:space="0"/>
            <w:col w:w="10294" w:space="0"/>
            <w:col w:w="10306" w:space="0"/>
            <w:col w:w="10310" w:space="0"/>
            <w:col w:w="10310" w:space="0"/>
            <w:col w:w="10306" w:space="0"/>
            <w:col w:w="10306" w:space="0"/>
            <w:col w:w="10306" w:space="0"/>
            <w:col w:w="10232" w:space="0"/>
            <w:col w:w="10310" w:space="0"/>
            <w:col w:w="10144" w:space="0"/>
            <w:col w:w="10298" w:space="0"/>
            <w:col w:w="10288" w:space="0"/>
            <w:col w:w="10268" w:space="0"/>
            <w:col w:w="10302" w:space="0"/>
            <w:col w:w="10310" w:space="0"/>
            <w:col w:w="10290" w:space="0"/>
            <w:col w:w="10284" w:space="0"/>
            <w:col w:w="10304" w:space="0"/>
            <w:col w:w="10236" w:space="0"/>
            <w:col w:w="10304" w:space="0"/>
            <w:col w:w="10290" w:space="0"/>
            <w:col w:w="10296" w:space="0"/>
            <w:col w:w="10234" w:space="0"/>
            <w:col w:w="10302" w:space="0"/>
            <w:col w:w="10234" w:space="0"/>
            <w:col w:w="10168" w:space="0"/>
            <w:col w:w="1026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0083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083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5874"/>
      <w:pgMar w:top="0" w:right="0" w:bottom="0" w:left="0" w:header="720" w:footer="720" w:gutter="0"/>
      <w:cols w:space="720" w:num="1" w:equalWidth="0">
        <w:col w:w="11906" w:space="0"/>
        <w:col w:w="10292" w:space="0"/>
        <w:col w:w="10288" w:space="0"/>
        <w:col w:w="10268" w:space="0"/>
        <w:col w:w="10268" w:space="0"/>
        <w:col w:w="10246" w:space="0"/>
        <w:col w:w="10246" w:space="0"/>
        <w:col w:w="10294" w:space="0"/>
        <w:col w:w="10306" w:space="0"/>
        <w:col w:w="10310" w:space="0"/>
        <w:col w:w="10310" w:space="0"/>
        <w:col w:w="10306" w:space="0"/>
        <w:col w:w="10306" w:space="0"/>
        <w:col w:w="10306" w:space="0"/>
        <w:col w:w="10232" w:space="0"/>
        <w:col w:w="10310" w:space="0"/>
        <w:col w:w="10144" w:space="0"/>
        <w:col w:w="10298" w:space="0"/>
        <w:col w:w="10288" w:space="0"/>
        <w:col w:w="10268" w:space="0"/>
        <w:col w:w="10302" w:space="0"/>
        <w:col w:w="10310" w:space="0"/>
        <w:col w:w="10290" w:space="0"/>
        <w:col w:w="10284" w:space="0"/>
        <w:col w:w="10304" w:space="0"/>
        <w:col w:w="10236" w:space="0"/>
        <w:col w:w="10304" w:space="0"/>
        <w:col w:w="10290" w:space="0"/>
        <w:col w:w="10296" w:space="0"/>
        <w:col w:w="10234" w:space="0"/>
        <w:col w:w="10302" w:space="0"/>
        <w:col w:w="10234" w:space="0"/>
        <w:col w:w="10168" w:space="0"/>
        <w:col w:w="1026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