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 xml:space="preserve">SIL-PROPOSTA</w:t>
      </w:r>
    </w:p>
    <w:p>
      <w:pPr>
        <w:spacing w:after="40"/>
        <w:jc w:val="center"/>
      </w:pPr>
      <w:r>
        <w:rPr>
          <w:color w:val="2E75B6"/>
          <w:sz w:val="26"/>
          <w:szCs w:val="26"/>
        </w:rPr>
        <w:t xml:space="preserve">Sistema Inteligente de Propostas SAP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4"/>
        </w:pBdr>
        <w:spacing w:after="320"/>
        <w:jc w:val="center"/>
      </w:pPr>
      <w:r>
        <w:rPr>
          <w:b/>
          <w:bCs/>
          <w:color w:val="1F4E79"/>
          <w:sz w:val="24"/>
          <w:szCs w:val="24"/>
        </w:rPr>
        <w:t xml:space="preserve">Documento de Requisitos Funcionais — v1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Sil-Proposta 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 — Inicial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Abril /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Arquiteto de Soluções 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Visão Geral do Produto</w:t>
      </w:r>
    </w:p>
    <w:p>
      <w:pPr>
        <w:spacing w:after="120"/>
      </w:pPr>
      <w:r>
        <w:rPr>
          <w:sz w:val="22"/>
          <w:szCs w:val="22"/>
        </w:rPr>
        <w:t xml:space="preserve">O Sil-Proposta é uma aplicação de inteligência artificial especializada em geração automatizada de propostas de consultoria SAP. O sistema recebe uma solicitação do cliente (RFQ, RFP ou descrição livre), analisa o escopo por meio de agentes especialistas em cada domínio SAP, e produz um Documento de Arquitetura de Melhoria (DAM) e Work Package (WP) prontos para envio ao cliente, no padrão da consultoria.</w:t>
      </w:r>
    </w:p>
    <w:p>
      <w:pPr>
        <w:spacing w:after="120"/>
      </w:pPr>
      <w:r>
        <w:rPr>
          <w:sz w:val="22"/>
          <w:szCs w:val="22"/>
        </w:rPr>
        <w:t xml:space="preserve">O produto é destinado a consultorias SAP que desejam reduzir o tempo de elaboração de propostas, aumentar a precisão técnica e comercial, e acumular inteligência sobre seus projetos históricos para melhorar estimativas futuras.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1.1 Objetivos do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Reduzir de dias para minutos o tempo de elaboração de propostas técnicas SAP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Garantir cobertura técnica completa via agentes especialistas por módulo e esfera fiscal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Padronizar o formato de proposta (DAM Word + WP Excel) conforme template da consultoria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Calcular estimativas de horas e equipe com paralelismo de recursos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Registrar custo interno de pré-venda separado do escopo faturável ao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Acumular inteligência histórica de propostas para calibrar estimativas futuras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1.2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Papel no sistema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Arquiteto SAP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 principal. Faz o intake, revisa o rascunho v1, adiciona observações e aprova o DAM final.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Consultor funcional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Pode submeter solicitações e revisar escopos funcionais (SD, FI, MM, PP etc.).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Gerente de projetos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 propostas em aberto, aprova WP e condições comerciais.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 da consultoria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Acessa analytics de conversão, custo de pré-venda e rentabilidade por tipo de escopo.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Tela de Intake — Entrada da Solicitação</w:t>
      </w:r>
    </w:p>
    <w:p>
      <w:pPr>
        <w:spacing w:after="120"/>
      </w:pPr>
      <w:r>
        <w:rPr>
          <w:sz w:val="22"/>
          <w:szCs w:val="22"/>
        </w:rPr>
        <w:t xml:space="preserve">O intake é a tela inicial onde o arquiteto fornece o contexto da proposta antes de acionar os agentes. Todos os campos obrigatórios devem ser preenchidos para que o orquestrador distribua as tarefas corretamente. Campos opcionais enriquecem o resultado mas não bloqueiam a geração.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2.1 Campos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Seleção única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AMS/sustentação · Projeto novo · Migração ECC→S/4HANA · Suporte emergencial. Define equipe, premissas comerciais e entregáveis de KT AMS.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Versão SAP do cliente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Seleção única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ECC ≤6.04 · ECC 6.05+ · S/4HANA On-premise · S/4HANA Cloud. Determina disponibilidade de notas SAP, BAdIs e arquitetura de middleware.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UF principal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Seleção múltipla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Estado(s) do cliente. Aciona agentes fiscais estaduais relevantes (cBenef, ICMS, IN específicas por UF).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Modelo comercial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Seleção única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fechado · T&amp;M · Baseline AMS. Configura agente comercial: faturamento, garantia, premissas e condições de pagamento.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Impacto Reforma Tributária (LC 214)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Seleção única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 · Não · Deixar o agente avaliar. Quando 'avaliar': o orquestrador detecta gatilhos na RFP (IBS, CBS, split payment, go-live pós jul/2026) e aciona o agente automaticamente.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RFP / Solicitação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ou texto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PDF, Word, e-mail ou texto livre descrevendo o que o cliente precisa. Base principal para os agentes identificarem módulos, legislação e escopo.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2.2 Campos opcionais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Horas de coleta de dados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(horas)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Horas já gastas pelo arquiteto em reuniões e levantamento antes de gerar o DAM. NÃO entram no DAM Word nem no WP Excel faturável. Usadas exclusivamente no cálculo interno de custo e margem da proposta.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Documentos complementares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múltiplo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Planilhas, e-mails, especificações técnicas ou legislação adicional que o arquiteto já possui. Incorporados ao contexto dos agentes.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 do arquiteto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Contexto adicional, restrições conhecidas ou decisões de escopo já tomadas. Exemplo: 'cliente tem CPI contratado', 'terminal Getnet com API REST disponível'.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Nova lei SAP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Seleção (Sim/Não)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 se o arquiteto já sabe que o escopo envolve legislação para a qual o SAP não tem nota publicada. Quando Sim: agente DRC aciona automaticamente o fluxo via CPI como middleware.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2.3 Lógica do campo 'Horas de coleta de dados'</w:t>
      </w:r>
    </w:p>
    <w:p>
      <w:pPr>
        <w:spacing w:after="120"/>
      </w:pPr>
      <w:r>
        <w:rPr>
          <w:sz w:val="22"/>
          <w:szCs w:val="22"/>
        </w:rPr>
        <w:t xml:space="preserve">O campo de horas de coleta de dados opera em camada separada do escopo faturável. Seu comportamento 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Quando preenchido (&gt; 0): registrado internamente como custo de pré-venda. O sistema calcula: custo real = custo WP faturável + custo horas coleta. Exibe para o arquiteto o percentual de custo oculto sobre o projeto.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DAM Word: campo não referenciado em nenhuma seção.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WP Excel: nenhuma linha de recurso adicionada.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investimento ao cliente: baseado exclusivamente nas horas do WP faturável.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gerencial: acumulado ao longo do tempo, responde quais tipos de demanda têm maior custo de pré-venda e quando faz sentido cobrar o levantamento separadamente.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Quando zero ou vazio: ignorado completamente, sem rastro na proposta.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Arquitetura de Agentes</w:t>
      </w:r>
    </w:p>
    <w:p>
      <w:pPr>
        <w:spacing w:after="120"/>
      </w:pPr>
      <w:r>
        <w:rPr>
          <w:sz w:val="22"/>
          <w:szCs w:val="22"/>
        </w:rPr>
        <w:t xml:space="preserve">O sistema é composto por 18 agentes especialistas organizados em quatro grupos. O orquestrador recebe o intake, analisa a RFP e distribui tarefas apenas para os agentes relevantes ao escopo detectado.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3.1 Orquestrador</w:t>
      </w:r>
    </w:p>
    <w:p>
      <w:pPr>
        <w:spacing w:after="120"/>
      </w:pPr>
      <w:r>
        <w:rPr>
          <w:sz w:val="22"/>
          <w:szCs w:val="22"/>
        </w:rPr>
        <w:t xml:space="preserve">Responsável por analisar a RFP, identificar módulos SAP impactados, detectar UF e legislação vigente, classificar o tipo de projeto e distribuir tarefas. Define também: se aciona agente de Reforma Tributária (detecção automática de gatilhos), se o evento fiscal tem suporte SAP nativo (aciona CPI quando não tem), e quais agentes fiscais são necessários.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3.2 Grupo 1 — Módulos funcionais SAP (11 agentes)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Agente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Vendas e Distribuição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Faturamento, NF-e saída, precificação, condições de expedição, fluxo VF01/VF04, Grupo YA, BAdI NF-e.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Materiais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Compras, recebimento, NF entrada, avaliação de estoque, integração com DRC para notas de entrada.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Planejamento Produção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MRP, ordens de produção, capacidade, PPCP, integração com MM e WM.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Finanças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Contabilidade geral, contas a pagar/receber, ativo fixo, trigger de eventos fiscais (ECONF, split payment).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Controladoria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Centro de custo, ordem interna, resultado analítico, impacto de novos tributos no plano de contas.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WM/EWM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Armazém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armazém, estoque descentralizado, WM clássico e EWM.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Manutenção de Planta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Ordens de manutenção, preventiva, corretiva, gestão de equipamentos.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HR/HCM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Folha de pagamento, administração de pessoal, benefícios, e-Social, EFD-Reinf.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BW/BI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BW, BW/4HANA, queries, cubos, relatórios gerenciais, integração com dados fiscais.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ABAP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Raciocínio de entregáveis derivados: BAdI → BAPI → RFC → iFlow CPI → monitor. Identifica conflitos entre BAdIs e eventos sem suporte SAP nativo.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Basis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Transportes, autorizações, tuning, RFC, upgrades, landscape, conectividade CPI↔ECC.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3.3 Grupo 2 — DRC (1 agente)</w:t>
      </w:r>
    </w:p>
    <w:p>
      <w:pPr>
        <w:spacing w:after="120"/>
      </w:pPr>
      <w:r>
        <w:rPr>
          <w:sz w:val="22"/>
          <w:szCs w:val="22"/>
        </w:rPr>
        <w:t xml:space="preserve">Agente especializado em SAP Document and Reporting Compliance para o Brasil. Cobre geração, transmissão, monitoramento e recebimento de documentos fiscais eletrônicos (NF-e, NFC-e, CT-e, MDF-e, NFS-e, SPED) nas versões ECC com GRC/PI e S/4HANA com DRC nativo.</w:t>
      </w:r>
    </w:p>
    <w:p>
      <w:pPr>
        <w:spacing w:after="120"/>
      </w:pPr>
      <w:r>
        <w:rPr>
          <w:sz w:val="22"/>
          <w:szCs w:val="22"/>
        </w:rPr>
        <w:t xml:space="preserve">Regra crítica: para cada evento NF-e novo (NT recente), o agente verifica ativamente se há nota SAP publicada com suporte. Se não houver, sinaliza que o SAP CPI é o canal de transmissão obrigatório — nunca assume que o DRC cobre nativamente. Exemplo aplicado: evento ECONF (110750) não tem suporte DRC — agente aciona fluxo via CPI automaticamente.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3.4 Grupo 3 — Especialistas fiscais brasileiros (3 agentes)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Esfera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Escopo principal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Fiscal Municipal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 / NFS-e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LC 116/2003, leis municipais, NFS-e padrão ABRASF, retenção ISS na fonte, alíquotas por município, regimes especiais, municípios críticos (SP, RJ, BH, Manaus), obrigações DES/DISS/DESIF.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Fiscal Estadual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ICMS / SEFAZ UF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RICMS por estado (27 UFs), substituição tributária, cBenef (tabelas oficiais por UF com atualização semanal), DIFAL, EFD ICMS/IPI, portarias e decretos estaduais. Campo tpIntegra=1 obrigatório para IN 1.608/2025-GSE (Goiás).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Fiscal Federal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IPI / PIS / COFINS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IPI, PIS/COFINS cumulativo e não cumulativo, IRPJ/CSLL, retenções na fonte, SPED Contribuições, ECF, e-Social, EFD-Reinf, Reforma Tributária 2026 (IBS/CBS), split payment, CFOP, NCM, CEST.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3.5 Grupo 4 — Agente Reforma Tributária do Consumo (1 agente)</w:t>
      </w:r>
    </w:p>
    <w:p>
      <w:pPr>
        <w:spacing w:after="120"/>
      </w:pPr>
      <w:r>
        <w:rPr>
          <w:sz w:val="22"/>
          <w:szCs w:val="22"/>
        </w:rPr>
        <w:t xml:space="preserve">Agente especializado na Lei Complementar 214/2021 e toda regulamentação derivada (EC 132/2023, regulamentos IBS/CBS/IS, lei do split payment, NTs NF-e para regime dual). Para cada tributo impactado no escopo, compara o regime atual (ICMS/ISS/PIS/COFINS/IPI) com o novo regime (IBS/CBS/IS) e determina o que precisa ser feito no SAP por fase da transição (2026–2033).</w:t>
      </w:r>
    </w:p>
    <w:p>
      <w:pPr>
        <w:spacing w:after="120"/>
      </w:pPr>
      <w:r>
        <w:rPr>
          <w:sz w:val="22"/>
          <w:szCs w:val="22"/>
        </w:rPr>
        <w:t xml:space="preserve">Lógica de decisão — 'fazer agora ou planejar':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Fazer agora (obrigatório): go-live após jul/2026 e escopo toca NF-e, SD ou FI. Entregáveis de reforma entram no escopo com horas estimadas.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Planejar (recomendado): go-live antes de jul/2026 mas módulos impactados no escopo. Seção 'roadmap reforma' gerada na proposta, sem horas no escopo atual.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Monitorar (informativo): escopo não toca tributos diretamente. Nota resumida inserida automaticamente.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3.6 Agentes de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Agente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Versão SAP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Detecta release exato do ECC (6.04 vs 6.05+) e sinaliza se notas SAP são aplicáveis ou se desenvolvimento Z é necessário.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Equipe e GP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equipe baseada no tipo de projeto. Calcula paralelismo de ABAPers quando há 4+ desenvolvimentos simultâneos. Inclui GP como recurso faturável quando o escopo exige. Em AMS: Basis implícito no ABAP.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Estimativa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Horas por fase e por entregável. Leva em conta: BAPI Z de integração com hardware externo (alta complexidade), paralelismo de recursos vs duração, histórico de propostas similares.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Comercial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 seção de investimento com valor total, parcelas de faturamento (50%/50%), validade (30 dias), garantia pós go-live (30 dias) e bloco de premissas no template da consultoria.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Template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 DAM Word e WP Excel no formato padrão da consultoria (ver seção 5).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Regras de Derivação do Agente ABAP Estrutural</w:t>
      </w:r>
    </w:p>
    <w:p>
      <w:pPr>
        <w:spacing w:after="120"/>
      </w:pPr>
      <w:r>
        <w:rPr>
          <w:sz w:val="22"/>
          <w:szCs w:val="22"/>
        </w:rPr>
        <w:t xml:space="preserve">O agente ABAP estrutural não apenas identifica a BAdI ou enhancement principal — ele raciocina em cadeia para derivar todos os entregáveis técnicos encadeados. As regras abaixo são obrigatórias e aplicadas automaticamente.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4.1 BAPI Z — Integração com hardware externo</w:t>
      </w:r>
    </w:p>
    <w:p>
      <w:pPr>
        <w:spacing w:after="120"/>
      </w:pPr>
      <w:r>
        <w:rPr>
          <w:sz w:val="22"/>
          <w:szCs w:val="22"/>
        </w:rPr>
        <w:t xml:space="preserve">Sempre que o escopo envolver integração com hardware externo (terminal de pagamento, POS, TEF, maquininha, balança, leitor de código, impressora fiscal), o agente inclui automaticamente uma BAPI Z como primeiro entregável ABAP. Sem ela, nenhum desenvolvimento subsequente funciona.</w:t>
      </w:r>
    </w:p>
    <w:p>
      <w:pPr>
        <w:spacing w:after="120"/>
      </w:pPr>
      <w:r>
        <w:rPr>
          <w:sz w:val="22"/>
          <w:szCs w:val="22"/>
        </w:rPr>
        <w:t xml:space="preserve">Premissa gerada automaticamente: 'Esta proposta não contempla a extração dos dados do [hardware]. A BAPI recebe os dados, mas não os extrai do equipamento.'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4.2 CPI — Eventos NF-e sem suporte SAP nativo</w:t>
      </w:r>
    </w:p>
    <w:p>
      <w:pPr>
        <w:spacing w:after="120"/>
      </w:pPr>
      <w:r>
        <w:rPr>
          <w:sz w:val="22"/>
          <w:szCs w:val="22"/>
        </w:rPr>
        <w:t xml:space="preserve">Para eventos NF-e com Nota Técnica publicada nos últimos 18 meses, o agente verifica se há nota SAP correspondente antes de propor o DRC como canal. Se não houver nota, a proposta aponta para SAP CPI como middleware e o agente Basis é acionado para qualificar disponibilidade de tenant e certificado digital.</w:t>
      </w:r>
    </w:p>
    <w:p>
      <w:pPr>
        <w:spacing w:after="120"/>
      </w:pPr>
      <w:r>
        <w:rPr>
          <w:sz w:val="22"/>
          <w:szCs w:val="22"/>
        </w:rPr>
        <w:t xml:space="preserve">Entregável CPI incluído automaticamente no escopo ABAP: iFlow do evento, iFlow de cancelamento, configuração de canais, certificado digital no Credential Store.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4.3 Paralelismo de ABAPers</w:t>
      </w:r>
    </w:p>
    <w:p>
      <w:pPr>
        <w:spacing w:after="120"/>
      </w:pPr>
      <w:r>
        <w:rPr>
          <w:sz w:val="22"/>
          <w:szCs w:val="22"/>
        </w:rPr>
        <w:t xml:space="preserve">Para projetos com 4 ou mais desenvolvimentos ABAP independentes entre si, o agente aloca múltiplos ABAPers em paralelo em vez de aumentar a duração. Cada ABAP recebe um conjunto de entregáveis sem dependência bloqueante com os dos outros.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Critério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 ABAP (sequencial)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ABAPers (paralelo)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entregas independentes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semanas de duração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semanas de duração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horas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Mesmas horas totais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Mesmas horas totais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Entregas com dependência entre si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Entregas independentes em paralelo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4.4 Cadeia de entregáveis ABAP — Objetos distintos</w:t>
      </w:r>
    </w:p>
    <w:p>
      <w:pPr>
        <w:spacing w:after="120"/>
      </w:pPr>
      <w:r>
        <w:rPr>
          <w:sz w:val="22"/>
          <w:szCs w:val="22"/>
        </w:rPr>
        <w:t xml:space="preserve">O agente trata BAPI, BAdI e RFC como objetos com responsabilidades diferentes — não são sinônimos: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Objeto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Exemplo (ECONF)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BAPI 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Receber dados externos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Recebe dados do terminal de pagamento (PINPAD/TEF) e os disponibiliza no SAP.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BAdI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Mapear estruturas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Mapeia campos do terminal (tpIntegra=1, IndPag, CNPJ, ID transação) para a estrutura do Grupo YA na NF-e.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RFC 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Transportar dados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 os dados do Grupo YA para dentro do XML da NF-e no momento da geração pelo SD.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iFlow CPI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Transmitir ao governo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Monta XML do evento ECONF (NT 2024.002), assina com certificado digital e transmite à SVRS SEFAZ.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Monitor 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Operacionalizar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 consulta, reenvio, cancelamento, visualização XML, status SEFAZ, erros/rejeições.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Outputs do Sistema — DAM e Work Package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5.1 Estrutura do DAM Word</w:t>
      </w:r>
    </w:p>
    <w:p>
      <w:pPr>
        <w:spacing w:after="120"/>
      </w:pPr>
      <w:r>
        <w:rPr>
          <w:sz w:val="22"/>
          <w:szCs w:val="22"/>
        </w:rPr>
        <w:t xml:space="preserve">O DAM é o documento formal entregue ao cliente. Seções obrigatórias: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Capa — título da demanda, código PMS, arquiteto,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Sumário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1. Necessidade — descrição do problema, cenários, processo atual e futuro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2. Solução — resumo técnico, escopo por módulo (tabela Mód/Entregável/Premissas), premissas gerais (21 itens padrão + específicas do projeto)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3. Equipe do projeto — consultores alocados (sem horas — horas ficam no WP)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4. Análise de impactos — matriz de riscos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5. Cronograma — macro (imagem Gantt do WP)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6. Investimento — valor total + condições de faturamento (50%/50%, garantia 30 dias, validade 30 dias)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Horas de coleta de dados do intake NÃO aparecem em nenhuma seção do DAM.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5.2 Estrutura do WP Excel</w:t>
      </w:r>
    </w:p>
    <w:p>
      <w:pPr>
        <w:spacing w:after="120"/>
      </w:pPr>
      <w:r>
        <w:rPr>
          <w:sz w:val="22"/>
          <w:szCs w:val="22"/>
        </w:rPr>
        <w:t xml:space="preserve">O WP é a planilha interna de alocação de recursos. Estrutura obrigatória: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Fases SAP Activate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Prepare → Explore → Realize → Homologação → Deploy (com KT AMS) → Go Live → Suporte pós Go-Live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Recursos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Frente (SD/FI/ABAP1/ABAP2/ABAP3/GP) · Nível (Sênior/Pleno) · Dias por semana · Total dias · Total horas (dias × 8)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KT AMS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Sempre incluído na fase Deploy. Transferência de conhecimento para o time de sustentação responsável pelo suporte em produção.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Horas de coleta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aparecem no WP. Registradas separadamente no cálculo interno de custo e margem.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Cálculo padrão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8h por dia · 168h por mês · Total horas = Total dias × 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5.3 Fluxo de geração — rascunho v1 → proposta final v2</w:t>
      </w:r>
    </w:p>
    <w:p>
      <w:pPr>
        <w:spacing w:after="120"/>
      </w:pPr>
      <w:r>
        <w:rPr>
          <w:sz w:val="22"/>
          <w:szCs w:val="22"/>
        </w:rPr>
        <w:t xml:space="preserve">O sistema produz dois momentos de 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Rascunho v1 (automático): gerado pelos agentes imediatamente após o intake. Editável pelo arquiteto. Inclui painel de confiança por item (fonte da estimativa: base histórica / RAG / inferência).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Proposta final v2 (após revisão humana): gerada após o arquiteto revisar o rascunho, ajustar escopo, horas e observações. Produz DAM Word e WP Excel no template da consultoria, prontos para envio.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Cálculo Interno de Custo e Margem</w:t>
      </w:r>
    </w:p>
    <w:p>
      <w:pPr>
        <w:spacing w:after="120"/>
      </w:pPr>
      <w:r>
        <w:rPr>
          <w:sz w:val="22"/>
          <w:szCs w:val="22"/>
        </w:rPr>
        <w:t xml:space="preserve">O sistema mantém dois contextos financeiros separados: o escopo faturável ao cliente (WP) e o custo real interno (WP + pré-venda).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6.1 Componentes do custo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Horas faturáveis (WP)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de horas dos recursos alocados no WP. Base do valor apresentado ao cliente.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Horas de pré-venda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Horas de coleta de dados informadas no intake. Custo real do arquiteto para elaborar a proposta.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Total horas consumidas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de horas faturáveis + pré-venda. Base para cálculo de margem real.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% custo oculto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(horas pré-venda / horas WP) × 100. Indica quanto da margem aparente é reduzida pelo custo de elaboração da proposta.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Analytics acumulado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Ao longo do tempo, o sistema agrega por tipo de demanda: demandas fiscais complexas (ECONF, cBenef) têm custo de pré-venda maior que demandas de configuração simples.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6.2 Exemplo — ECONF Goiás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Horas faturáveis ao cliente (WP)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528h (66 dias × 8h)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Horas de coleta / pré-venda (internas)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9h (informadas no intake)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horas consumidas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537h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 oculto de pré-venda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+1,7% sobre o WP faturável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Investimento ao cliente (referência)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R$ 121.181,46 (base: WP faturável apenas)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Fontes de Conhecimento e Base RAG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7.1 Fontes SAP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SAP Help Portal (indexado por módulo e versão)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SAP Community Q&amp;A (Brasil + 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SAP Notes / OSS — verificação obrigatória para eventos NF-e novos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SAP Activate Methodology — estimativas de tempo por fase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Release notes por versão (ECC, S/4HANA, BTP)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SAP Fiori Design Guidelines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7.2 Fontes fiscais brasileiras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SEFAZ por UF — portais oficiais das 27 UFs (cron semanal de re-indexação)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Tabelas cBenef por estado (atualização automática — alerta quando &gt; 7 dias sem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Portal Nacional NF-e — Notas Técnicas SEFAZ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SPED Fazenda — tabelas EFD, layouts de obrigações acessórias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RICMS por estado — regulamentos do ICMS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Portarias e Decretos estaduais e federais (DOU — cron semanal)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LC 214/2021 · EC 132/2023 · Regulamentos IBS/CBS/IS · Comitê Gestor IBS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7.3 Base histórica da consultoria</w:t>
      </w:r>
    </w:p>
    <w:p>
      <w:pPr>
        <w:spacing w:after="120"/>
      </w:pPr>
      <w:r>
        <w:rPr>
          <w:sz w:val="22"/>
          <w:szCs w:val="22"/>
        </w:rPr>
        <w:t xml:space="preserve">A base histórica é o principal diferencial competitivo do sistema. Acumula e aprende com cada proposta gerada: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DAMs aprovados — estrutura de escopo e entregáveis por tipo de demanda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WPs históricos — horas reais por módulo, frente e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Propostas ganhas vs perdidas — calibra estimativas para aumentar conversão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Padrões de entregáveis ABAP derivados — regras de cadeia (BAdI → BAPI → RFC → iFlow)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Template de premissas comerciais por cliente — reutilizável em propostas futuras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Valores de referência por recurso (Sênior/Pleno) por tipo de projeto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8. Casos de Validação — Aprendizados do Sistema</w:t>
      </w:r>
    </w:p>
    <w:p>
      <w:pPr>
        <w:spacing w:after="120"/>
      </w:pPr>
      <w:r>
        <w:rPr>
          <w:sz w:val="22"/>
          <w:szCs w:val="22"/>
        </w:rPr>
        <w:t xml:space="preserve">O sistema foi validado contra propostas reais da consultoria. Os casos abaixo documentam os aprendizados incorporados ao comportamento dos agentes.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8.1 Caso 1 — cBenef SAP ECC (São Paulo, Portaria SRE nº 70/2025)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Solução correta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BAdI J_1BNF_ADD_DATA (ou CL_NFE_PRINT) + tabela Z de mapeamento CST × UF × cBenef. Manutenível via SM30 sem ABAP.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Acertos do sistema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Identificou restrição de release (&lt; 6.05 = notas SAP inaplicáveis). Propôs desenvolvimento Z correto. Nomeou objetos técnicos certos. Sinalizou risco de conflito entre BAdIs.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Gaps identificados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não havia previsto: campo na tabela de NF, ajuste de telas J1B1N/J1B2N/J1B3N, ajuste de DANFE, validação CST × cBenef × UF (rejeição 931), cadastro dos 310 códigos SP, GP como recurso faturável, KT AMS.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Incorporado ao produto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 ABAP estrutural com raciocínio de cadeia de entregáveis. Tela de intake com contexto de tipo de projeto (AMS vs novo). Agente de equipe com GP e KT AMS.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8.2 Caso 2 — ECONF Goiás (IN 1.608/2025-GSE, NT 2024.002)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Gap crítico v1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propôs DRC como canal de transmissão do ECONF. Incorreto: DRC não tem suporte nativo ao evento 110750. Canal correto: SAP CPI como middleware.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Solução v2 correta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ECC/FI baixa → ABAP Z monta payload → CPI iFlow → SVRS SEFAZ → protocolo retorna ao ECC. BAPI Z para recepção de dados do terminal PINPAD/TEF como primeiro entregável.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Gap de estimativa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estimou 64h. Proposta real: 528h (SD 72h + FI 88h + GP 32h + 3× ABAP 336h). Fator 8× de diferença. Causa: não identificou BAPI Z e subestimou paralelismo de 3 ABAPers.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Campo tpIntegra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 tpIntegra=1 (integração tecnológica) obrigatório pela IN 1.608/25-GO não foi identificado na v1. Adicionado ao agente fiscal estadual.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Incorporado ao produto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Regra: evento NF-e sem nota SAP → CPI obrigatório. BAPI Z derivada automaticamente quando escopo envolve hardware externo. Agente de equipe calcula paralelismo. Campo tpIntegra no agente fiscal GO.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9. Premissas Padrão das Propostas</w:t>
      </w:r>
    </w:p>
    <w:p>
      <w:pPr>
        <w:spacing w:after="120"/>
      </w:pPr>
      <w:r>
        <w:rPr>
          <w:sz w:val="22"/>
          <w:szCs w:val="22"/>
        </w:rPr>
        <w:t xml:space="preserve">As premissas abaixo são geradas automaticamente pelo agente comercial em todas as propostas. Podem ser adaptadas conforme o escopo.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9.1 Premissas gerais — lista padrão (21 itens)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Esta proposta não contempla [item excluído específico do projeto] — ex: extração dos dados da maquininha.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 Cliente deverá manter os sistemas legados por um período adequado caso necessária extração de dados históricos.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Os acessos necessários deverão estar liberados até a data de início do projeto.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Os usuários disponibilizados deverão ter acesso para depuração no ambiente de Qualidade.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Criações/Manutenções em programas Z não fazem parte desta proposta, exceto os detalhados no escopo.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Todos os desenvolvimentos serão realizados utilizando linguagem ABAP.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Desenvolvimento/Correção de interfaces com outros sistemas não faz parte do escopo.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Início das atividades somente após aprovação formal do cronograma (disponibilização em até 30 dias).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Termo de aceite: 7 dias após GO-LIVE ou período de suporte, o que ocorrer primeiro.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Gerenciamento remoto durante toda a execução do projeto.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Falhas devem ser reportadas durante o período de testes acordado em cronograma.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Atividades realizadas de forma remota pelos consultores.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Manuais de usuários: responsabilidade do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Treinamento de multiplicadores e usuários finais: responsabilidade do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Revisão de manuais existentes: responsabilidade do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Colaboradores do Cliente devem ter conhecimento detalhado e poder de decisão.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Atraso por motivo do cliente não gera ônus à consultoria.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Paralisação do projeto tratada via solicitação de mudança de escopo.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Documentação entregue em língua portuguesa.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Cenários de teste em QAS disponíveis antes do início do projeto.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Dia de consultoria: 8h (08h30–12h / 13h30–18h), segunda a sexta. Horas extras via solicitação de mudança.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9.2 Definição de alteração de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Qualquer inclusão de novos itens ou alteração de já existentes não previstos nesta proposta.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Alteração de regras de negócio, lógicas, layout ou apresentações previamente acordadas.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Alteração de cronogramas sem aviso mínimo de 1 semana que impactem alocação de consultores.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Alocações em horários não definidos conforme esta proposta.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Liberação de consultores sem aviso prévio de 7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Quaisquer atividades não previstas neste documento.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9.3 Condições de faturamento padrão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Validade: 30 dias. Aprovações após este período podem comprometer o cronograma.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Valores incluem ISS, PIS e COFINS atualmente em vigor.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Faturamento: 50% na aprovação da proposta + 50% no Go-Live.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 caso de paralisação por solicitação do cliente: consultoria reserva-se o direito de faturar o % de avanço.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Custos de retomada do projeto: objeto de negociação específica no momento do replanejamento.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Garantia pós go-live: 30 dias.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10. Roadmap de Desenvolvimento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Fase 1 — MVP (semanas 1–6)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Tela de intake completa com todos os campos obrigatórios e opcionais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e parsing de RFP (PDF, Word, texto livre)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Pipeline de RAG com indexação das fontes SAP e fiscais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Agente orquestrador básico — identifica módulos e distribui tarefas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Rascunho v1 editável com painel de confiança por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 e multi-tenant por consultoria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Fase 2 — Agentes especialistas (semanas 7–14)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11 agentes de módulos funcionais SAP com raciocínio de entregáveis derivados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Agente DRC com regra de eventos sem suporte SAP → CPI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agentes fiscais brasileiros (Municipal, Estadual, Federal)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Agente Reforma Tributária do Consumo (LC 214)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Agente de versão SAP (detecção release, notas aplicáveis)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Agente de equipe (GP, paralelismo de ABAPers, KT AMS)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Fase 3 — Output final (semanas 15–20)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Agente comercial — seção de investimento, parcelas, premissas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Geração de DAM Word no template da consultoria (python-docx)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Geração de WP Excel no formato padrão (openpyxl)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Cálculo interno de custo: horas faturáveis vs horas pré-venda vs margem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Histórico de versões v1 → v2 com diff rastreável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Aprovação e envio via workflow interno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Fase 4 — Inteligência acumulada (semanas 21–28)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Feedback loop: propostas ganhas/perdidas retroalimentam estimativas dos agentes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de casos: cada proposta aprovada vira referência para projetos similares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Analytics de propostas: conversão, módulos mais frequentes, custo de pré-venda por 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Multi-tenant SaaS: plataforma para outras consultorias SAP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2E75B6" w:sz="4" w:space="4"/>
        </w:pBdr>
        <w:spacing w:after="80" w:before="320"/>
        <w:jc w:val="center"/>
      </w:pPr>
      <w:r>
        <w:rPr>
          <w:color w:val="888888"/>
          <w:sz w:val="18"/>
          <w:szCs w:val="18"/>
        </w:rPr>
        <w:t xml:space="preserve">Sil-Proposta V1 — Documento de Requisitos Funcionais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Confidencial — uso interno da consultoria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2026-04-04T21:29:09.102Z</dcterms:created>
  <dcterms:modified xsi:type="dcterms:W3CDTF">2026-04-04T21:29:09.103Z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